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60" w:lineRule="exact"/>
        <w:rPr>
          <w:sz w:val="24"/>
          <w:szCs w:val="24"/>
          <w:color w:val="auto"/>
        </w:rPr>
      </w:pPr>
    </w:p>
    <w:p>
      <w:pPr>
        <w:ind w:left="420" w:hanging="381"/>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50"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17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22"/>
          <w:szCs w:val="22"/>
          <w:b w:val="1"/>
          <w:bCs w:val="1"/>
          <w:color w:val="auto"/>
        </w:rPr>
        <w:t>TRANSITION REPORT PURSUANT TO SECTION 13 OR 15(d) OF THE SECURITIES EXCHANGE ACT OF</w:t>
      </w:r>
    </w:p>
    <w:p>
      <w:pPr>
        <w:ind w:left="420" w:hanging="381"/>
        <w:spacing w:after="0"/>
        <w:tabs>
          <w:tab w:leader="none" w:pos="4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1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1-14443</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GARTNER, INC.</w:t>
      </w:r>
    </w:p>
    <w:p>
      <w:pPr>
        <w:spacing w:after="0" w:line="6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 w:lineRule="exact"/>
        <w:rPr>
          <w:sz w:val="24"/>
          <w:szCs w:val="24"/>
          <w:color w:val="auto"/>
        </w:rPr>
      </w:pPr>
    </w:p>
    <w:tbl>
      <w:tblPr>
        <w:tblLayout w:type="fixed"/>
        <w:tblInd w:w="680" w:type="dxa"/>
        <w:tblCellMar>
          <w:top w:w="0" w:type="dxa"/>
          <w:left w:w="0" w:type="dxa"/>
          <w:bottom w:w="0" w:type="dxa"/>
          <w:right w:w="0" w:type="dxa"/>
        </w:tblCellMar>
      </w:tblPr>
      <w:tr>
        <w:trPr>
          <w:trHeight w:val="233"/>
        </w:trPr>
        <w:tc>
          <w:tcPr>
            <w:tcW w:w="53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04-3099750</w:t>
            </w:r>
          </w:p>
        </w:tc>
      </w:tr>
      <w:tr>
        <w:trPr>
          <w:trHeight w:val="226"/>
        </w:trPr>
        <w:tc>
          <w:tcPr>
            <w:tcW w:w="5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29"/>
        </w:trPr>
        <w:tc>
          <w:tcPr>
            <w:tcW w:w="53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P.O. Box 10212</w:t>
            </w:r>
          </w:p>
        </w:tc>
        <w:tc>
          <w:tcPr>
            <w:tcW w:w="3680" w:type="dxa"/>
            <w:vAlign w:val="bottom"/>
          </w:tcPr>
          <w:p>
            <w:pPr>
              <w:spacing w:after="0"/>
              <w:rPr>
                <w:sz w:val="19"/>
                <w:szCs w:val="19"/>
                <w:color w:val="auto"/>
              </w:rPr>
            </w:pPr>
          </w:p>
        </w:tc>
      </w:tr>
      <w:tr>
        <w:trPr>
          <w:trHeight w:val="229"/>
        </w:trPr>
        <w:tc>
          <w:tcPr>
            <w:tcW w:w="53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56 Top Gallant Road</w:t>
            </w:r>
          </w:p>
        </w:tc>
        <w:tc>
          <w:tcPr>
            <w:tcW w:w="3680" w:type="dxa"/>
            <w:vAlign w:val="bottom"/>
          </w:tcPr>
          <w:p>
            <w:pPr>
              <w:spacing w:after="0"/>
              <w:rPr>
                <w:sz w:val="19"/>
                <w:szCs w:val="19"/>
                <w:color w:val="auto"/>
              </w:rPr>
            </w:pPr>
          </w:p>
        </w:tc>
      </w:tr>
      <w:tr>
        <w:trPr>
          <w:trHeight w:val="230"/>
        </w:trPr>
        <w:tc>
          <w:tcPr>
            <w:tcW w:w="536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Stamford,</w:t>
            </w:r>
          </w:p>
        </w:tc>
        <w:tc>
          <w:tcPr>
            <w:tcW w:w="3680" w:type="dxa"/>
            <w:vAlign w:val="bottom"/>
          </w:tcPr>
          <w:p>
            <w:pPr>
              <w:spacing w:after="0"/>
              <w:rPr>
                <w:sz w:val="19"/>
                <w:szCs w:val="19"/>
                <w:color w:val="auto"/>
              </w:rPr>
            </w:pPr>
          </w:p>
        </w:tc>
      </w:tr>
      <w:tr>
        <w:trPr>
          <w:trHeight w:val="233"/>
        </w:trPr>
        <w:tc>
          <w:tcPr>
            <w:tcW w:w="53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Connecticut</w:t>
            </w:r>
          </w:p>
        </w:tc>
        <w:tc>
          <w:tcPr>
            <w:tcW w:w="368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06902-7700</w:t>
            </w:r>
          </w:p>
        </w:tc>
      </w:tr>
      <w:tr>
        <w:trPr>
          <w:trHeight w:val="234"/>
        </w:trPr>
        <w:tc>
          <w:tcPr>
            <w:tcW w:w="5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964-0096</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4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4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auto"/>
            </w:tcBorders>
            <w:vMerge w:val="continue"/>
          </w:tcPr>
          <w:p>
            <w:pPr>
              <w:spacing w:after="0"/>
              <w:rPr>
                <w:sz w:val="21"/>
                <w:szCs w:val="21"/>
                <w:color w:val="auto"/>
              </w:rPr>
            </w:pPr>
          </w:p>
        </w:tc>
        <w:tc>
          <w:tcPr>
            <w:tcW w:w="2640" w:type="dxa"/>
            <w:vAlign w:val="bottom"/>
            <w:tcBorders>
              <w:bottom w:val="single" w:sz="8" w:color="auto"/>
            </w:tcBorders>
            <w:vMerge w:val="continue"/>
          </w:tcPr>
          <w:p>
            <w:pPr>
              <w:spacing w:after="0"/>
              <w:rPr>
                <w:sz w:val="21"/>
                <w:szCs w:val="21"/>
                <w:color w:val="auto"/>
              </w:rPr>
            </w:pPr>
          </w:p>
        </w:tc>
        <w:tc>
          <w:tcPr>
            <w:tcW w:w="448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$0.0005 par value per share</w:t>
            </w:r>
          </w:p>
        </w:tc>
        <w:tc>
          <w:tcPr>
            <w:tcW w:w="26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IT</w:t>
            </w:r>
          </w:p>
        </w:tc>
        <w:tc>
          <w:tcPr>
            <w:tcW w:w="44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36" w:lineRule="exact"/>
        <w:rPr>
          <w:sz w:val="24"/>
          <w:szCs w:val="24"/>
          <w:color w:val="auto"/>
        </w:rPr>
      </w:pPr>
    </w:p>
    <w:p>
      <w:pPr>
        <w:ind w:right="1640"/>
        <w:spacing w:after="0" w:line="300"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88" w:right="339" w:bottom="0" w:gutter="0" w:footer="0" w:header="0"/>
        </w:sectPr>
      </w:pPr>
    </w:p>
    <w:p>
      <w:pPr>
        <w:spacing w:after="0" w:line="68" w:lineRule="exact"/>
        <w:rPr>
          <w:sz w:val="24"/>
          <w:szCs w:val="24"/>
          <w:color w:val="auto"/>
        </w:rPr>
      </w:pPr>
    </w:p>
    <w:p>
      <w:pPr>
        <w:ind w:left="20"/>
        <w:spacing w:after="0" w:line="297" w:lineRule="auto"/>
        <w:rPr>
          <w:sz w:val="20"/>
          <w:szCs w:val="20"/>
          <w:color w:val="auto"/>
        </w:rPr>
      </w:pPr>
      <w:r>
        <w:rPr>
          <w:rFonts w:ascii="Times New Roman" w:cs="Times New Roman" w:eastAsia="Times New Roman" w:hAnsi="Times New Roman"/>
          <w:sz w:val="18"/>
          <w:szCs w:val="18"/>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03" w:lineRule="exact"/>
        <w:rPr>
          <w:sz w:val="24"/>
          <w:szCs w:val="24"/>
          <w:color w:val="auto"/>
        </w:rPr>
      </w:pPr>
    </w:p>
    <w:p>
      <w:pPr>
        <w:sectPr>
          <w:pgSz w:w="11900" w:h="16838" w:orient="portrait"/>
          <w:cols w:equalWidth="0" w:num="6">
            <w:col w:w="2000" w:space="620"/>
            <w:col w:w="860" w:space="720"/>
            <w:col w:w="2240" w:space="720"/>
            <w:col w:w="880" w:space="720"/>
            <w:col w:w="1520" w:space="500"/>
            <w:col w:w="460"/>
          </w:cols>
          <w:pgMar w:left="320" w:top="988" w:right="339" w:bottom="0" w:gutter="0" w:footer="0" w:header="0"/>
          <w:type w:val="continuous"/>
        </w:sectPr>
      </w:pPr>
    </w:p>
    <w:p>
      <w:pPr>
        <w:ind w:left="20" w:right="140"/>
        <w:spacing w:after="0" w:line="21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2023, the aggregate market value of the registrant’s common stock held by non-affiliates of the registrant was $26.8 billion, based on the closing price as reported on the New York Stock Exchange.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February 2, 2024, there were 77,967,884 shares of the registrant’s common stock outstanding.</w:t>
      </w:r>
    </w:p>
    <w:p>
      <w:pPr>
        <w:spacing w:after="0" w:line="3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85" w:lineRule="exact"/>
        <w:rPr>
          <w:sz w:val="24"/>
          <w:szCs w:val="24"/>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definitive Proxy Statement for the Annual Meeting of Stockholders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2024 Proxy Statement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is incorporated by reference into Part III to the extent described therein.</w:t>
      </w:r>
    </w:p>
    <w:p>
      <w:pPr>
        <w:sectPr>
          <w:pgSz w:w="11900" w:h="16838" w:orient="portrait"/>
          <w:cols w:equalWidth="0" w:num="1">
            <w:col w:w="11240"/>
          </w:cols>
          <w:pgMar w:left="320" w:top="988" w:right="339" w:bottom="0" w:gutter="0" w:footer="0" w:header="0"/>
          <w:type w:val="continuous"/>
        </w:sectPr>
      </w:pPr>
    </w:p>
    <w:bookmarkStart w:id="1" w:name="page2"/>
    <w:bookmarkEnd w:id="1"/>
    <w:p>
      <w:pPr>
        <w:jc w:val="both"/>
        <w:spacing w:after="0" w:line="2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5416550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GARTNER,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REPORT ON FORM 10-K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4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1.</w:t>
            </w: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BUSINESS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1A.</w:t>
            </w:r>
          </w:p>
        </w:tc>
        <w:tc>
          <w:tcPr>
            <w:tcW w:w="420" w:type="dxa"/>
            <w:vAlign w:val="bottom"/>
            <w:gridSpan w:val="2"/>
          </w:tcPr>
          <w:p>
            <w:pPr>
              <w:spacing w:after="0"/>
              <w:rPr>
                <w:sz w:val="18"/>
                <w:szCs w:val="18"/>
                <w:color w:val="auto"/>
              </w:rPr>
            </w:pPr>
          </w:p>
        </w:tc>
        <w:tc>
          <w:tcPr>
            <w:tcW w:w="1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500" w:type="dxa"/>
            <w:vAlign w:val="bottom"/>
            <w:gridSpan w:val="30"/>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0" w:type="dxa"/>
            <w:vAlign w:val="bottom"/>
          </w:tcPr>
          <w:p>
            <w:pPr>
              <w:spacing w:after="0"/>
              <w:rPr>
                <w:sz w:val="1"/>
                <w:szCs w:val="1"/>
                <w:color w:val="auto"/>
              </w:rPr>
            </w:pPr>
          </w:p>
        </w:tc>
      </w:tr>
      <w:tr>
        <w:trPr>
          <w:trHeight w:val="209"/>
        </w:trPr>
        <w:tc>
          <w:tcPr>
            <w:tcW w:w="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1B.</w:t>
            </w:r>
          </w:p>
        </w:tc>
        <w:tc>
          <w:tcPr>
            <w:tcW w:w="460" w:type="dxa"/>
            <w:vAlign w:val="bottom"/>
            <w:gridSpan w:val="4"/>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0" w:type="dxa"/>
            <w:vAlign w:val="bottom"/>
          </w:tcPr>
          <w:p>
            <w:pPr>
              <w:spacing w:after="0"/>
              <w:rPr>
                <w:sz w:val="1"/>
                <w:szCs w:val="1"/>
                <w:color w:val="auto"/>
              </w:rPr>
            </w:pPr>
          </w:p>
        </w:tc>
      </w:tr>
      <w:tr>
        <w:trPr>
          <w:trHeight w:val="210"/>
        </w:trPr>
        <w:tc>
          <w:tcPr>
            <w:tcW w:w="7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1C.</w:t>
            </w:r>
          </w:p>
        </w:tc>
        <w:tc>
          <w:tcPr>
            <w:tcW w:w="2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28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940" w:type="dxa"/>
            <w:vAlign w:val="bottom"/>
            <w:gridSpan w:val="20"/>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0" w:type="dxa"/>
            <w:vAlign w:val="bottom"/>
          </w:tcPr>
          <w:p>
            <w:pPr>
              <w:spacing w:after="0"/>
              <w:rPr>
                <w:sz w:val="1"/>
                <w:szCs w:val="1"/>
                <w:color w:val="auto"/>
              </w:rPr>
            </w:pPr>
          </w:p>
        </w:tc>
      </w:tr>
      <w:tr>
        <w:trPr>
          <w:trHeight w:val="209"/>
        </w:trPr>
        <w:tc>
          <w:tcPr>
            <w:tcW w:w="8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2.</w:t>
            </w:r>
          </w:p>
        </w:tc>
        <w:tc>
          <w:tcPr>
            <w:tcW w:w="440" w:type="dxa"/>
            <w:vAlign w:val="bottom"/>
            <w:gridSpan w:val="3"/>
          </w:tcPr>
          <w:p>
            <w:pPr>
              <w:spacing w:after="0"/>
              <w:rPr>
                <w:sz w:val="18"/>
                <w:szCs w:val="18"/>
                <w:color w:val="auto"/>
              </w:rPr>
            </w:pPr>
          </w:p>
        </w:tc>
        <w:tc>
          <w:tcPr>
            <w:tcW w:w="14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280" w:type="dxa"/>
            <w:vAlign w:val="bottom"/>
            <w:gridSpan w:val="29"/>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3.</w:t>
            </w: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4.</w:t>
            </w: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MINE SAFETY DISCLOSURES (not applicable)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580" w:type="dxa"/>
            <w:vAlign w:val="bottom"/>
            <w:gridSpan w:val="9"/>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0" w:type="dxa"/>
            <w:vAlign w:val="bottom"/>
          </w:tcPr>
          <w:p>
            <w:pPr>
              <w:spacing w:after="0"/>
              <w:rPr>
                <w:sz w:val="1"/>
                <w:szCs w:val="1"/>
                <w:color w:val="auto"/>
              </w:rPr>
            </w:pPr>
          </w:p>
        </w:tc>
      </w:tr>
      <w:tr>
        <w:trPr>
          <w:trHeight w:val="163"/>
        </w:trPr>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tcBorders>
              <w:top w:val="single" w:sz="8" w:color="0000FF"/>
              <w:bottom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6"/>
                <w:szCs w:val="16"/>
                <w:color w:val="0000FF"/>
              </w:rPr>
              <w:t>PURCHASES OF EQUITY SECURITIES</w:t>
            </w:r>
          </w:p>
        </w:tc>
        <w:tc>
          <w:tcPr>
            <w:tcW w:w="5040" w:type="dxa"/>
            <w:vAlign w:val="bottom"/>
            <w:tcBorders>
              <w:top w:val="single" w:sz="8" w:color="0000FF"/>
            </w:tcBorders>
            <w:gridSpan w:val="15"/>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540" w:type="dxa"/>
            <w:vAlign w:val="bottom"/>
            <w:gridSpan w:val="8"/>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[RESERVED]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7.</w:t>
            </w:r>
          </w:p>
        </w:tc>
        <w:tc>
          <w:tcPr>
            <w:tcW w:w="540" w:type="dxa"/>
            <w:vAlign w:val="bottom"/>
            <w:gridSpan w:val="8"/>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7A.</w:t>
            </w:r>
          </w:p>
        </w:tc>
        <w:tc>
          <w:tcPr>
            <w:tcW w:w="420" w:type="dxa"/>
            <w:vAlign w:val="bottom"/>
            <w:gridSpan w:val="2"/>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210"/>
        </w:trPr>
        <w:tc>
          <w:tcPr>
            <w:tcW w:w="8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8.</w:t>
            </w:r>
          </w:p>
        </w:tc>
        <w:tc>
          <w:tcPr>
            <w:tcW w:w="420" w:type="dxa"/>
            <w:vAlign w:val="bottom"/>
            <w:gridSpan w:val="2"/>
          </w:tcPr>
          <w:p>
            <w:pPr>
              <w:spacing w:after="0"/>
              <w:rPr>
                <w:sz w:val="18"/>
                <w:szCs w:val="18"/>
                <w:color w:val="auto"/>
              </w:rPr>
            </w:pPr>
          </w:p>
        </w:tc>
        <w:tc>
          <w:tcPr>
            <w:tcW w:w="614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620" w:type="dxa"/>
            <w:vAlign w:val="bottom"/>
            <w:gridSpan w:val="7"/>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9.</w:t>
            </w: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9A.</w:t>
            </w:r>
          </w:p>
        </w:tc>
        <w:tc>
          <w:tcPr>
            <w:tcW w:w="420" w:type="dxa"/>
            <w:vAlign w:val="bottom"/>
            <w:gridSpan w:val="2"/>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09"/>
        </w:trPr>
        <w:tc>
          <w:tcPr>
            <w:tcW w:w="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9B.</w:t>
            </w:r>
          </w:p>
        </w:tc>
        <w:tc>
          <w:tcPr>
            <w:tcW w:w="20" w:type="dxa"/>
            <w:vAlign w:val="bottom"/>
            <w:tcBorders>
              <w:top w:val="single" w:sz="8" w:color="0000FF"/>
            </w:tcBorders>
          </w:tcPr>
          <w:p>
            <w:pPr>
              <w:spacing w:after="0"/>
              <w:rPr>
                <w:sz w:val="18"/>
                <w:szCs w:val="18"/>
                <w:color w:val="auto"/>
              </w:rPr>
            </w:pPr>
          </w:p>
        </w:tc>
        <w:tc>
          <w:tcPr>
            <w:tcW w:w="420" w:type="dxa"/>
            <w:vAlign w:val="bottom"/>
            <w:gridSpan w:val="2"/>
          </w:tcPr>
          <w:p>
            <w:pPr>
              <w:spacing w:after="0"/>
              <w:rPr>
                <w:sz w:val="18"/>
                <w:szCs w:val="18"/>
                <w:color w:val="auto"/>
              </w:rPr>
            </w:pPr>
          </w:p>
        </w:tc>
        <w:tc>
          <w:tcPr>
            <w:tcW w:w="19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00" w:type="dxa"/>
            <w:vAlign w:val="bottom"/>
            <w:tcBorders>
              <w:top w:val="single" w:sz="8" w:color="0000FF"/>
            </w:tcBorders>
            <w:gridSpan w:val="3"/>
          </w:tcPr>
          <w:p>
            <w:pPr>
              <w:spacing w:after="0"/>
              <w:rPr>
                <w:sz w:val="18"/>
                <w:szCs w:val="18"/>
                <w:color w:val="auto"/>
              </w:rPr>
            </w:pPr>
          </w:p>
        </w:tc>
        <w:tc>
          <w:tcPr>
            <w:tcW w:w="7160" w:type="dxa"/>
            <w:vAlign w:val="bottom"/>
            <w:gridSpan w:val="23"/>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10"/>
        </w:trPr>
        <w:tc>
          <w:tcPr>
            <w:tcW w:w="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9C.</w:t>
            </w:r>
          </w:p>
        </w:tc>
        <w:tc>
          <w:tcPr>
            <w:tcW w:w="460" w:type="dxa"/>
            <w:vAlign w:val="bottom"/>
            <w:gridSpan w:val="4"/>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439"/>
        </w:trPr>
        <w:tc>
          <w:tcPr>
            <w:tcW w:w="7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20" w:type="dxa"/>
            <w:vAlign w:val="bottom"/>
            <w:tcBorders>
              <w:top w:val="single" w:sz="8" w:color="0000FF"/>
            </w:tcBorders>
          </w:tcPr>
          <w:p>
            <w:pPr>
              <w:spacing w:after="0"/>
              <w:rPr>
                <w:sz w:val="24"/>
                <w:szCs w:val="24"/>
                <w:color w:val="auto"/>
              </w:rPr>
            </w:pPr>
          </w:p>
        </w:tc>
        <w:tc>
          <w:tcPr>
            <w:tcW w:w="460" w:type="dxa"/>
            <w:vAlign w:val="bottom"/>
            <w:gridSpan w:val="4"/>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10.</w:t>
            </w:r>
          </w:p>
        </w:tc>
        <w:tc>
          <w:tcPr>
            <w:tcW w:w="520" w:type="dxa"/>
            <w:vAlign w:val="bottom"/>
            <w:gridSpan w:val="7"/>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9"/>
        </w:trPr>
        <w:tc>
          <w:tcPr>
            <w:tcW w:w="7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11.</w:t>
            </w:r>
          </w:p>
        </w:tc>
        <w:tc>
          <w:tcPr>
            <w:tcW w:w="520" w:type="dxa"/>
            <w:vAlign w:val="bottom"/>
            <w:gridSpan w:val="7"/>
          </w:tcPr>
          <w:p>
            <w:pPr>
              <w:spacing w:after="0"/>
              <w:rPr>
                <w:sz w:val="18"/>
                <w:szCs w:val="18"/>
                <w:color w:val="auto"/>
              </w:rPr>
            </w:pPr>
          </w:p>
        </w:tc>
        <w:tc>
          <w:tcPr>
            <w:tcW w:w="580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960" w:type="dxa"/>
            <w:vAlign w:val="bottom"/>
            <w:gridSpan w:val="8"/>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12.</w:t>
            </w: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163"/>
        </w:trPr>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tcBorders>
              <w:top w:val="single" w:sz="8" w:color="0000FF"/>
              <w:bottom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STOCKHOLDER MATTERS</w:t>
            </w:r>
          </w:p>
        </w:tc>
        <w:tc>
          <w:tcPr>
            <w:tcW w:w="5280" w:type="dxa"/>
            <w:vAlign w:val="bottom"/>
            <w:tcBorders>
              <w:top w:val="single" w:sz="8" w:color="0000FF"/>
            </w:tcBorders>
            <w:gridSpan w:val="18"/>
          </w:tcPr>
          <w:p>
            <w:pPr>
              <w:spacing w:after="0"/>
              <w:rPr>
                <w:sz w:val="14"/>
                <w:szCs w:val="14"/>
                <w:color w:val="auto"/>
              </w:rPr>
            </w:pPr>
          </w:p>
        </w:tc>
        <w:tc>
          <w:tcPr>
            <w:tcW w:w="1740" w:type="dxa"/>
            <w:vAlign w:val="bottom"/>
            <w:gridSpan w:val="4"/>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13.</w:t>
            </w:r>
          </w:p>
        </w:tc>
        <w:tc>
          <w:tcPr>
            <w:tcW w:w="520" w:type="dxa"/>
            <w:vAlign w:val="bottom"/>
            <w:gridSpan w:val="7"/>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10"/>
        </w:trPr>
        <w:tc>
          <w:tcPr>
            <w:tcW w:w="7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14.</w:t>
            </w:r>
          </w:p>
        </w:tc>
        <w:tc>
          <w:tcPr>
            <w:tcW w:w="520" w:type="dxa"/>
            <w:vAlign w:val="bottom"/>
            <w:gridSpan w:val="7"/>
          </w:tcPr>
          <w:p>
            <w:pPr>
              <w:spacing w:after="0"/>
              <w:rPr>
                <w:sz w:val="18"/>
                <w:szCs w:val="18"/>
                <w:color w:val="auto"/>
              </w:rPr>
            </w:pPr>
          </w:p>
        </w:tc>
        <w:tc>
          <w:tcPr>
            <w:tcW w:w="398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8"/>
              </w:rPr>
              <w:t>PRINCIPAL ACCOUNTANT FEES AND SERVICES</w:t>
            </w:r>
          </w:p>
        </w:tc>
        <w:tc>
          <w:tcPr>
            <w:tcW w:w="3680" w:type="dxa"/>
            <w:vAlign w:val="bottom"/>
            <w:tcBorders>
              <w:top w:val="single" w:sz="8" w:color="0000FF"/>
            </w:tcBorders>
            <w:gridSpan w:val="8"/>
          </w:tcPr>
          <w:p>
            <w:pPr>
              <w:spacing w:after="0"/>
              <w:rPr>
                <w:sz w:val="18"/>
                <w:szCs w:val="18"/>
                <w:color w:val="auto"/>
              </w:rPr>
            </w:pPr>
          </w:p>
        </w:tc>
        <w:tc>
          <w:tcPr>
            <w:tcW w:w="2100" w:type="dxa"/>
            <w:vAlign w:val="bottom"/>
            <w:gridSpan w:val="5"/>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439"/>
        </w:trPr>
        <w:tc>
          <w:tcPr>
            <w:tcW w:w="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50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15.</w:t>
            </w:r>
          </w:p>
        </w:tc>
        <w:tc>
          <w:tcPr>
            <w:tcW w:w="520" w:type="dxa"/>
            <w:vAlign w:val="bottom"/>
            <w:gridSpan w:val="7"/>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720" w:type="dxa"/>
            <w:vAlign w:val="bottom"/>
            <w:gridSpan w:val="5"/>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8"/>
              </w:rPr>
              <w:t>INDEX TO CONSOLIDATED FINANCIAL STATEMENTS</w:t>
            </w:r>
          </w:p>
        </w:tc>
        <w:tc>
          <w:tcPr>
            <w:tcW w:w="6540" w:type="dxa"/>
            <w:vAlign w:val="bottom"/>
            <w:gridSpan w:val="18"/>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180" w:type="dxa"/>
            <w:vAlign w:val="bottom"/>
            <w:gridSpan w:val="10"/>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09"/>
        </w:trPr>
        <w:tc>
          <w:tcPr>
            <w:tcW w:w="1100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10"/>
        </w:trPr>
        <w:tc>
          <w:tcPr>
            <w:tcW w:w="298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CONSOLIDATED BALANCE SHEETS</w:t>
            </w:r>
          </w:p>
        </w:tc>
        <w:tc>
          <w:tcPr>
            <w:tcW w:w="2820" w:type="dxa"/>
            <w:vAlign w:val="bottom"/>
            <w:tcBorders>
              <w:top w:val="single" w:sz="8" w:color="0000FF"/>
            </w:tcBorders>
            <w:gridSpan w:val="17"/>
          </w:tcPr>
          <w:p>
            <w:pPr>
              <w:spacing w:after="0"/>
              <w:rPr>
                <w:sz w:val="18"/>
                <w:szCs w:val="18"/>
                <w:color w:val="auto"/>
              </w:rPr>
            </w:pPr>
          </w:p>
        </w:tc>
        <w:tc>
          <w:tcPr>
            <w:tcW w:w="5200" w:type="dxa"/>
            <w:vAlign w:val="bottom"/>
            <w:gridSpan w:val="11"/>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210"/>
        </w:trPr>
        <w:tc>
          <w:tcPr>
            <w:tcW w:w="39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7"/>
              </w:rPr>
              <w:t>CONSOLIDATED STATEMENTS OF OPERATIONS</w:t>
            </w:r>
          </w:p>
        </w:tc>
        <w:tc>
          <w:tcPr>
            <w:tcW w:w="7020" w:type="dxa"/>
            <w:vAlign w:val="bottom"/>
            <w:gridSpan w:val="2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10"/>
        </w:trPr>
        <w:tc>
          <w:tcPr>
            <w:tcW w:w="514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8"/>
              </w:rPr>
              <w:t>CONSOLIDATED STATEMENTS OF COMPREHENSIVE INCOME</w:t>
            </w:r>
          </w:p>
        </w:tc>
        <w:tc>
          <w:tcPr>
            <w:tcW w:w="5860" w:type="dxa"/>
            <w:vAlign w:val="bottom"/>
            <w:gridSpan w:val="1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09"/>
        </w:trPr>
        <w:tc>
          <w:tcPr>
            <w:tcW w:w="1100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10"/>
        </w:trPr>
        <w:tc>
          <w:tcPr>
            <w:tcW w:w="4020" w:type="dxa"/>
            <w:vAlign w:val="bottom"/>
            <w:tcBorders>
              <w:top w:val="single" w:sz="8" w:color="0000FF"/>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1040" w:type="dxa"/>
            <w:vAlign w:val="bottom"/>
            <w:tcBorders>
              <w:top w:val="single" w:sz="8" w:color="0000FF"/>
            </w:tcBorders>
            <w:gridSpan w:val="6"/>
          </w:tcPr>
          <w:p>
            <w:pPr>
              <w:spacing w:after="0"/>
              <w:rPr>
                <w:sz w:val="18"/>
                <w:szCs w:val="18"/>
                <w:color w:val="auto"/>
              </w:rPr>
            </w:pPr>
          </w:p>
        </w:tc>
        <w:tc>
          <w:tcPr>
            <w:tcW w:w="5940" w:type="dxa"/>
            <w:vAlign w:val="bottom"/>
            <w:gridSpan w:val="15"/>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8"/>
              </w:rPr>
              <w:t>NOTES TO CONSOLIDATED FINANCIAL STATEMENTS</w:t>
            </w:r>
          </w:p>
        </w:tc>
        <w:tc>
          <w:tcPr>
            <w:tcW w:w="6520" w:type="dxa"/>
            <w:vAlign w:val="bottom"/>
            <w:gridSpan w:val="17"/>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263"/>
        </w:trPr>
        <w:tc>
          <w:tcPr>
            <w:tcW w:w="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16.</w:t>
            </w:r>
          </w:p>
        </w:tc>
        <w:tc>
          <w:tcPr>
            <w:tcW w:w="520" w:type="dxa"/>
            <w:vAlign w:val="bottom"/>
            <w:gridSpan w:val="7"/>
          </w:tcPr>
          <w:p>
            <w:pPr>
              <w:spacing w:after="0"/>
              <w:rPr>
                <w:sz w:val="22"/>
                <w:szCs w:val="22"/>
                <w:color w:val="auto"/>
              </w:rPr>
            </w:pPr>
          </w:p>
        </w:tc>
        <w:tc>
          <w:tcPr>
            <w:tcW w:w="1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7860" w:type="dxa"/>
            <w:vAlign w:val="bottom"/>
            <w:gridSpan w:val="26"/>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0" w:type="dxa"/>
            <w:vAlign w:val="bottom"/>
          </w:tcPr>
          <w:p>
            <w:pPr>
              <w:spacing w:after="0"/>
              <w:rPr>
                <w:sz w:val="1"/>
                <w:szCs w:val="1"/>
                <w:color w:val="auto"/>
              </w:rPr>
            </w:pPr>
          </w:p>
        </w:tc>
      </w:tr>
      <w:tr>
        <w:trPr>
          <w:trHeight w:val="264"/>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78</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Gartner, Inc. (NYSE: IT) delivers actionable, objective insight that drives smarter decisions and stronger performance on an organization’s mission-critical priorities.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 trusted advisor and an objective resource for close to 15,000 enterprises in approximately 90 countries and territories— across all major functions, in every industry and enterprise size.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Gartner delivers its products and services globally through three business segments – Research, Conferences and Consulting, as described below.</w:t>
      </w:r>
    </w:p>
    <w:p>
      <w:pPr>
        <w:spacing w:after="0" w:line="248"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Research </w:t>
      </w:r>
      <w:r>
        <w:rPr>
          <w:rFonts w:ascii="Times New Roman" w:cs="Times New Roman" w:eastAsia="Times New Roman" w:hAnsi="Times New Roman"/>
          <w:sz w:val="18"/>
          <w:szCs w:val="18"/>
          <w:color w:val="auto"/>
        </w:rPr>
        <w:t>equips executives and their teams from every function and across all industries with actionable, objective insight, guidance and tools.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experienced experts deliver all this value informed by a combination of practitioner-sourced and data-driven research to help our clients address their mission critical priorities.</w:t>
      </w:r>
    </w:p>
    <w:p>
      <w:pPr>
        <w:spacing w:after="0" w:line="198"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Conferences </w:t>
      </w:r>
      <w:r>
        <w:rPr>
          <w:rFonts w:ascii="Times New Roman" w:cs="Times New Roman" w:eastAsia="Times New Roman" w:hAnsi="Times New Roman"/>
          <w:sz w:val="18"/>
          <w:szCs w:val="18"/>
          <w:color w:val="auto"/>
        </w:rPr>
        <w:t>provides executives and teams across an organization the opportunity to learn, share and network. From our Gartner Symposium/Xpo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to industry-leading conferences focused on specific business roles and topics, to peer-driven sessions, our offerings enable attendees to experience the best of Gartner insight and guidance.</w:t>
      </w:r>
    </w:p>
    <w:p>
      <w:pPr>
        <w:spacing w:after="0" w:line="198"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Consulting </w:t>
      </w:r>
      <w:r>
        <w:rPr>
          <w:rFonts w:ascii="Times New Roman" w:cs="Times New Roman" w:eastAsia="Times New Roman" w:hAnsi="Times New Roman"/>
          <w:sz w:val="18"/>
          <w:szCs w:val="18"/>
          <w:color w:val="auto"/>
        </w:rPr>
        <w:t>serves senior executives leading technology-driven strategic initiatives leveraging the power of Gartner’s actionable, objective insight.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custom analysis and on-the-ground support we enable optimized technology investments and stronger performance on our clients’ mission critical priorities.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fiscal year of Gartner is the twelve-month period from January 1 through December 31. All references to 2023, 2022 and 2021 herein refer to the fiscal year unless otherwise indicated. When used in this Annual Report on Form 10-K, the terms “Gartner,” the “Company,” “we,” “us” or “our” refer to Gartner, Inc. and its consolidated subsidiaries.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Enterprise leaders face enormous pressure to stay ahead and grow profitably amidst constant changes. Whether it is a digital transformation, a global health crisis, large-scale regulatory changes, or other unique challenges, business leaders today are facing significant disruptive changes. We believe that enterprises cannot be operationally effective unless they incorporate the right strategy, management and technology decisions into every part of their business. This requirement affects all business levels, functions and roles. Executives and their teams turn to Gartner for decision-making and execution guidance to achieve their mission-critical priorities.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combination of expert-led, practitioner-sourced and data-driven research steers clients toward the right decisions and actions on the issues that matter most. Organizations are overrun with data and information. Gartner helps eliminate this information chaos and provides clarity with actionable, objective insight. We employ a diversified business model that utilizes and leverages the breadth and depth of our differentiated intellectual capital. The foundation of our business model is our ability to create and distribute our proprietary research content as broadly as possible via published reports, interactive tools, facilitated peer networking, briefings and direct communications with executives and their teams; our conferences, including the Gartner Symposium/Xpo series; and consulting and advisory services.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diversified business model provides multiple entry points and sources of value for our clients that lead to increased client spending on our research and advisory services, conferences and consulting services. A critical part of our long-term strategy is to increase business volume and penetration with our most valuable clients, identifying relationships with the greatest sales potential and expanding those relationships by offering strategically relevant research and insight. We also seek to extend the Gartner brand name to develop new client relationships, augment our sales capacity and expand into new markets around the world. These initiatives have created additional revenue streams through more effective packaging, campaigning and cross-selling of our products and services. In addition, we seek to increase our revenue and operating cash flow through more effective pricing of our products and services.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Our principal products and services are delivered through our three business segments, as described below.</w:t>
      </w:r>
    </w:p>
    <w:p>
      <w:pPr>
        <w:spacing w:after="0" w:line="248" w:lineRule="exact"/>
        <w:rPr>
          <w:sz w:val="20"/>
          <w:szCs w:val="20"/>
          <w:color w:val="auto"/>
        </w:rPr>
      </w:pPr>
    </w:p>
    <w:p>
      <w:pPr>
        <w:jc w:val="both"/>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w:t>
      </w:r>
      <w:r>
        <w:rPr>
          <w:rFonts w:ascii="Times New Roman" w:cs="Times New Roman" w:eastAsia="Times New Roman" w:hAnsi="Times New Roman"/>
          <w:sz w:val="18"/>
          <w:szCs w:val="18"/>
          <w:color w:val="auto"/>
        </w:rPr>
        <w:t>Gartner delivers independent, objective insight to leaders across an enterprise through subscription services that include on-demand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to published research content, data and benchmarks, and direct access to a network of approximately 2,500 research experts located around the globe. Gartner research is the fundamental building block for all Gartner products and services. We combine our proprietary research methodologies with extensive industry and academic relationships to create Gartner products and services that address each role across an enterprise. Within the Research segment, Global Technology Sales (“GTS”) sells products and services to users and providers of technology, while Global Business Sales (“GBS”) sells products and services to all other functional leaders, such as human resources, supply chain, finance, and marketing.</w:t>
      </w:r>
    </w:p>
    <w:p>
      <w:pPr>
        <w:spacing w:after="0" w:line="213"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agenda is defined by clients’ needs, focusing on the critical issues, opportunities and challenges they face every day. We are in steady contact with close to 15,000 distinct client enterprises worldwide. We publish tens of thousands of pages of original research annually, and our research experts had more than 490,000 direct client interactions in 2023. Our size and scale enable us to commit vast resources toward broader and deeper research coverage and to deliver insight to our clients based on what they need and where they are. The ongoing interaction of our research experts with our clients enables us to identify the most pertinent topics to them and develop relevant product and service enhancements to meet the evolving needs of users of our research. Our proprietary research content, presented in the form of reports, briefings, updates and related tools, is delivered directly to the client’s computer or mobile device via our website and/or product-specific portals.</w:t>
      </w:r>
    </w:p>
    <w:p>
      <w:pPr>
        <w:spacing w:after="0" w:line="215"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Clients normally sign subscription contracts that provide access to our research content and advisory services for individual users over a defined period. We typically have a minimum contract period of twelve months for our research and advisory subscription contracts and, at December 31, 2023, over 70% of our contracts were multi-year.</w:t>
      </w:r>
    </w:p>
    <w:p>
      <w:pPr>
        <w:spacing w:after="0" w:line="207" w:lineRule="exact"/>
        <w:rPr>
          <w:rFonts w:ascii="Times New Roman" w:cs="Times New Roman" w:eastAsia="Times New Roman" w:hAnsi="Times New Roman"/>
          <w:sz w:val="18"/>
          <w:szCs w:val="18"/>
          <w:color w:val="auto"/>
        </w:rPr>
      </w:pPr>
    </w:p>
    <w:p>
      <w:pPr>
        <w:jc w:val="both"/>
        <w:ind w:left="340" w:hanging="332"/>
        <w:spacing w:after="0" w:line="245"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CONFERENCES. </w:t>
      </w:r>
      <w:r>
        <w:rPr>
          <w:rFonts w:ascii="Times New Roman" w:cs="Times New Roman" w:eastAsia="Times New Roman" w:hAnsi="Times New Roman"/>
          <w:sz w:val="18"/>
          <w:szCs w:val="18"/>
          <w:color w:val="auto"/>
        </w:rPr>
        <w:t>Gartner conferences are designed for information technology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IT”) and business executives as well as decision makers looking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adapt and evolve their organizations through disruption and uncertainty, navigate risks and prioritize investments. Attendees experience sessions led by Gartner research experts, and the sessions include cutting-edge technology solutions, peer exchange workshops, one-on-one analyst and advisor meetings, consulting diagnostic workshops, keynotes and more. Our conferences also provide attendees with an opportunity to interact with IT and business executives from the world’s leading companies. In addition to role-specific summits and workshop-style seminars, Gartner hosts the Gartner Symposium/Xpo series, including its unique, flagship IT Symposium/Xpo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is held at several locations worldwide annually. During 2023, Gartner successfully held 47 in-person conferences with more than 75,500 attendees, including eight Symposiums/Xpos. In addition, during 2023 we hosted 300+ peer networking meetings, and through the Evanta brand we hosted 350+ exclusive C-level meetings with more than 200 in-person.</w:t>
      </w:r>
    </w:p>
    <w:p>
      <w:pPr>
        <w:spacing w:after="0" w:line="218"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CONSULTING. </w:t>
      </w:r>
      <w:r>
        <w:rPr>
          <w:rFonts w:ascii="Times New Roman" w:cs="Times New Roman" w:eastAsia="Times New Roman" w:hAnsi="Times New Roman"/>
          <w:sz w:val="18"/>
          <w:szCs w:val="18"/>
          <w:color w:val="auto"/>
        </w:rPr>
        <w:t>Through its experienced consultants, Gartner Consulting serves chief information officers and other senior executives who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driving technology-related strategic initiatives to optimize technology investments and drive business impact. Gartner Consulting combines the power of Gartner’s market-leading research with custom analysis and on-the-ground support to help clients to turn insight and advice into action and impact.</w:t>
      </w:r>
    </w:p>
    <w:p>
      <w:pPr>
        <w:spacing w:after="0" w:line="201"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solutions capitalize on Gartner assets that are invaluable to IT decision-making, including: (1) our extensive research, which ensures that our consulting analyses and advice are based on a deep understanding of the IT environment and the business of IT; (2) our market independence, which keeps our consultants focused on our clients’ success; and (3) our market-leading benchmarking capabilities, which provide relevant comparisons and best practices to assess and improve performance. Additionally, we provide actionable solutions for a range of IT-related priorities, including IT cost optimization, digital transformation and IT sourcing optimization.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principal factors that differentiate us from our competitors are as follows:</w:t>
      </w:r>
    </w:p>
    <w:p>
      <w:pPr>
        <w:spacing w:after="0" w:line="252" w:lineRule="exact"/>
        <w:rPr>
          <w:sz w:val="20"/>
          <w:szCs w:val="20"/>
          <w:color w:val="auto"/>
        </w:rPr>
      </w:pPr>
    </w:p>
    <w:p>
      <w:pPr>
        <w:jc w:val="both"/>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research content - We believe that we create the broadest, highest-quality and most relevant research coverage across all major functional roles in an enterprise. Our independent operating model and research analysis generates unbiased insight that we believe is timely, thought-provoking and comprehensive, and that is known for its high quality, independence and objectivity.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 w:name="page6"/>
    <w:bookmarkEnd w:id="5"/>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leading brand name - We have provided critical, trusted insight under the Gartner name for more than 40 years.</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global footprint and established customer base - We have a global presence with clients in approximately 90 countries and territories on six continents. A substantial portion of our revenue is derived from sales outside of the United States.</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Insight that creates connections - Our global community of experts, analysts and peers help provide the deep relationships that help clients stay ahead of the curve.</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management team - Our management team is comprised of research veterans and experienced industry executives with long tenure at Gartner.</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operating leverage in our business model - We can distribute our intellectual property and expertise across multiple platforms, including research and advisory subscription and membership programs, conferences and consulting engagements, to derive incremental revenue and profitability.</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Vast network of research experts and consultants - As of December 31, 2023, we had approximately 2,500 research experts and 950 experienced consultants located around the world. Our research experts are located in more than 30 countries and territories, enabling us to cover vast aspects of business and technology on a global basis.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these differentiating factors, we face competition from a significant number of independent providers of information products and services. We compete indirectly with consulting firms and other data and information providers, including electronic and print media companies. These indirect competitors could choose to compete directly with us in the future. In addition, we face competition from free sources of information that are available to our clients through the internet. Limited barriers to entry exist in the markets in which we do business. As a result, new competitors may emerge and existing competitors may start to provide additional or complementary services. While we believe the breadth and depth of our research positions us well versus our competition, increased competition could result in loss of market share, diminished value in our products and services, reduced pricing, and increased sales and marketing expenditures.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has resulted in part from proprietary methodologies, software, reusable knowledge capital and other intellectual property rights. We rely on a combination of patent, copyright, trademark, trade secret, confidentiality, non-compete and other contractual provisions to protect our intellectual property rights. We have policies related to confidentiality, ownership, and the use and protection of Gartner’s intellectual property. We also enter into agreements with our employees and third parties as appropriate that protect our intellectual property, and we enforce these agreements if necessary. We recognize the value of our intellectual property in the marketplace and vigorously identify, create and protect it. Additionally, we actively monitor and enforce contract compliance by our end users.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people are our most valuable asset, enabling our sustained track record of growth. From attracting diverse talent through our recruitment process, to cultivating that talent with learning and development opportunities and rewards for strong performers, to supporting overall wellness with meaningful benefits and engagement, we strive to put our people first. At December 31, 2023, we had 20,237 employees globally, 9,514 of which were outside of the U.S., and the overwhelming majority of our employees were full time.</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Gartner is committed to providing equal employment opportunities to all applicants and employees without regard to any legally protected status. This commitment is formalized in our global and U.S. equal employment opportunity policies. We continually renew this commitment by seeking to optimize our recruitment and professional development processes, create networking and educational opportunities, celebrate heritage and history, celebrate community service, and create safe spaces for all employees. Our human capital management strategies are developed by executive management and overseen by the Compensation Committee of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Gartner is committed to creating a culture of inclusion - which is critical to the objectivity and independence we provide our clients. We celebrate diversity of thought and we welcome and encourage diverse perspectives. We embed Diversity, Equity and Inclusion (“DEI”) concepts into our culture and our critical people processes. Our vision is to help build a high-performing organization with a culture of equity and inclusion, enabling Gartner to guide the leaders who shape the world. Our DEI</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8"/>
          <w:szCs w:val="18"/>
          <w:color w:val="auto"/>
        </w:rPr>
        <w:t>Executive Council, composed of our CEO, Chief Human Resources Officer, CFO, General Counsel, head of DEI, and other selected leaders, drives diversity, equity and inclusion as an imperative at all levels of the organization. In addition, the DEI Center of Excellence operationalizes strategy and establishes goals against key metrics to drive greater transparency and accountability. Our teams of employees are composed of individuals from different geographies, cultures, religions, ethnicities, races, genders, sexual orientations, abilities and generations working together to solve problems. Currently, 33% of our Board of Directors and 23% of our executive management team identifies as female, and 25% of our Board of Directors identifies as racially or ethnically diverse. As of December 31, 2023, approximately 47% of our employees worldwide identified as female and 24% of employees in the U.S. identified as racially or ethnically diverse. Our employees work in 39 different countries and territories. As we continue to invest in employee self-identification and reporting efforts, we determined our employees were represented by more than 130 self-identified nationalities.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emphasize the importance of inclusion to leaders and managers and the value of fostering a sense of belonging within their teams. We continue to invest in learning opportunities to develop DEI at Gartner through training modules on important topics such as bias, empathy, equity, equality and individual identity. Our learning resources provide Gartner associates with awareness and clarity of expectations, equip managers with knowledge and skills to lead inclusively and support team effectiveness, inclusion and belonging.</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supports a number of employee-driven Employee Resource Groups (“ERGs”) that bring employees together to foster a diverse, inclusive and supportive workplace. Gartner currently has seven formal ERGs supporting underrepresented racial, ethnic and multicultural backgrounds, women, the LGBTQ+ community, veterans, and people with disabilities. Participation in ERGs is voluntary and open to all employees. In 2023, over 6,000 Gartner associates were members of at least one ERG.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Rewards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invest in meaningful, innovative and inclusive compensation and benefit programs that support physical, financial and emotional well-being of our employees. In addition to salaries, these programs (which vary by country/region) include annual bonuses, stock awards, an employee stock purchase plan, 401(k) matching, healthcare and insurance benefits, tax savings programs, such as health and dependent care flexible spending accounts, health savings account and pretax commuter benefits, generous paid time off, paid parental leave, life and disability insurance, business travel accident insurance, charity matching, employee assistance programs, tuition assistance and on-site services, such as fitness centers, among others.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provide a number of free mental and behavioral health resources, including access to the Employee Assistance Program for employees and their dependents. We believe our total rewards programs facilitate associate retention and also encourage high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 Retention and Training</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Gartner aims to foster a culture of lifelong learning, getting feedback and evolving. In addition to helping employees unlock their full potential through mechanisms like continuous feedback and performance appraisals, we have dedicated programs designed to develop effective leaders. We also offer rotational programs and an online learning experience platform for employees called GartnerYou. In 2023, GartnerYou offered approximately 39,000 learning resources, with over 375,000 completions globally. Since our Sales and Research &amp; Advisory teams make up approximately 45% of total employees worldwide, we also have formal, dedicated programs to help train and onboard new hires as well as more experienced managers and leaders within Sales and Research &amp; Advisory. In 2023, Gartner continued to transform and refine how we onboard new sales associates, so they more quickly develop the core competencies tied to sales success. Rooted in learning and development best practices, the refined training program operates in a scalable model that provides new sales associates in their first year with access to approximately 2,800 well-paced, just-in-time learning assets. In 2023 more than 6,500 sales associates participated. Through these programs, we believe our teams develop role-specific knowledge and skills, increase productivity and improve performance.</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strive to develop an inclusive and engaging environment that makes Gartner a vibrant, exciting place to work. We believe the greatest catalyst to engagement comes from leadership — particularly their efforts to set direction, allocate resources, and build individual and organizational capability. We embed our associate survey efforts across the enterprise so that the insight we glean can help leaders at various levels understand the opportunities for effecting organizational growth. Survey results are used for a number of enterprise-wide and business-unit-specific initiatives targeting key areas of engagement and retention, such as leadership effectiveness, career development, business process improvement, and more. In 2023, associate turnover continued to decrease as compared with the prior year. Our average tenure increased slightly from 4.5 years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in 2022 to 5.0 years, primarily due to a decrease in associate turnover and a heavy focus on growth through Gartner internal mobility initiatives.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Communities and the Environment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associates have a long history of individual and team volunteering. Gartner facilitates a charity match program. In 2023, over 17% of associates made matched donations to more than 4,100 nonprofits, amounting to over $7.6 million donated by Gartner and its associates. In 2023, Gartner associates also logged approximately 15,000 volunteer hours supporting communities around the world. Finally, in 2023, the Science Based Targets initiative validated our near-term emissions targets. Gartner's commitment is to achieve net-zero greenhouse gas emissions by 2035 in accordance with the Science Based Targets initiative’s Net-Zero Standard. We provide associates an opportunity to engage on environmental sustainability topics and help advance our Net-Zero strategy through the Gartner Green Team, a voluntary, associate-driven group. In 2023, the Green Team had over 750 members. Additionally, we introduced a sustainability training module available to all associates interested in learning more about Gartner’s sustainability efforts.</w:t>
      </w: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encourage you to review our Corporate Responsibility Report located on our website at </w:t>
      </w:r>
      <w:r>
        <w:rPr>
          <w:rFonts w:ascii="Times New Roman" w:cs="Times New Roman" w:eastAsia="Times New Roman" w:hAnsi="Times New Roman"/>
          <w:sz w:val="18"/>
          <w:szCs w:val="18"/>
          <w:i w:val="1"/>
          <w:iCs w:val="1"/>
          <w:color w:val="auto"/>
        </w:rPr>
        <w:t>gartner.com</w:t>
      </w:r>
      <w:r>
        <w:rPr>
          <w:rFonts w:ascii="Times New Roman" w:cs="Times New Roman" w:eastAsia="Times New Roman" w:hAnsi="Times New Roman"/>
          <w:sz w:val="18"/>
          <w:szCs w:val="18"/>
          <w:color w:val="auto"/>
        </w:rPr>
        <w:t>, under the “Corporate Responsibility” link in the “About” tab for more detailed information regarding our Human Capital programs and initiatives. Nothing on our website, including our Corporate Responsibility Report or sections thereof, shall be deemed incorporated by reference into this Annual Report, or any other filing we make with the SEC.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U.S. government contracts are subject to the approval of appropriations by the U.S. Congress to fund the agencies contracting for our products and services. Additionally, our contracts at the state and local levels, as well as foreign government contracts, are subject to various governmental authorizations and funding approvals and mechanisms. Certain of these contracts may be terminated at any time by the government entity without cause or penalty.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gartner.com</w:t>
      </w:r>
      <w:r>
        <w:rPr>
          <w:rFonts w:ascii="Times New Roman" w:cs="Times New Roman" w:eastAsia="Times New Roman" w:hAnsi="Times New Roman"/>
          <w:sz w:val="18"/>
          <w:szCs w:val="18"/>
          <w:color w:val="auto"/>
        </w:rPr>
        <w:t xml:space="preserve"> and the Investor Relations section of our website is at </w:t>
      </w:r>
      <w:r>
        <w:rPr>
          <w:rFonts w:ascii="Times New Roman" w:cs="Times New Roman" w:eastAsia="Times New Roman" w:hAnsi="Times New Roman"/>
          <w:sz w:val="18"/>
          <w:szCs w:val="18"/>
          <w:i w:val="1"/>
          <w:iCs w:val="1"/>
          <w:color w:val="auto"/>
        </w:rPr>
        <w:t>investor.gartner.com</w:t>
      </w:r>
      <w:r>
        <w:rPr>
          <w:rFonts w:ascii="Times New Roman" w:cs="Times New Roman" w:eastAsia="Times New Roman" w:hAnsi="Times New Roman"/>
          <w:sz w:val="18"/>
          <w:szCs w:val="18"/>
          <w:color w:val="auto"/>
        </w:rPr>
        <w:t>. We make available free of charge, on or through the Investor Relations section of our website, printable copies of our annual reports on Form 10-K, quarterly reports on Form 10-Q,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(the “SEC”). Unless expressly noted, the information on our website or any other website is not incorporated by reference in this Form 10-K and should not be considered part of this Form 10-K or any other filing we make with the SEC.</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Also available at </w:t>
      </w:r>
      <w:r>
        <w:rPr>
          <w:rFonts w:ascii="Times New Roman" w:cs="Times New Roman" w:eastAsia="Times New Roman" w:hAnsi="Times New Roman"/>
          <w:sz w:val="18"/>
          <w:szCs w:val="18"/>
          <w:i w:val="1"/>
          <w:iCs w:val="1"/>
          <w:color w:val="auto"/>
        </w:rPr>
        <w:t>investor.gartner.com</w:t>
      </w:r>
      <w:r>
        <w:rPr>
          <w:rFonts w:ascii="Times New Roman" w:cs="Times New Roman" w:eastAsia="Times New Roman" w:hAnsi="Times New Roman"/>
          <w:sz w:val="18"/>
          <w:szCs w:val="18"/>
          <w:color w:val="auto"/>
        </w:rPr>
        <w:t>, under the “Governance” link, are printable and current copies of our: (i) CEO and CFO Code of Ethics, which applies to our Chief Executive Officer, Chief Financial Officer, Controller and other financial managers; (ii) Global Code of Conduct, which applies to all Gartner officers, directors and employees, wherever located; (iii) Principles and Practices of the Board of Directors of Gartner, Inc., the corporate governance principles that have been adopted by our Board; and (iv) charters for each of the Board’s standing committees: Audit, Compensation and</w:t>
      </w:r>
    </w:p>
    <w:p>
      <w:pPr>
        <w:spacing w:after="0" w:line="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Governance/Nominating. We will disclose any waiver we grant to an executive officer or director under our Code of Ethics, or certain amendments to the Code of Ethics, on our website at </w:t>
      </w:r>
      <w:r>
        <w:rPr>
          <w:rFonts w:ascii="Times New Roman" w:cs="Times New Roman" w:eastAsia="Times New Roman" w:hAnsi="Times New Roman"/>
          <w:sz w:val="18"/>
          <w:szCs w:val="18"/>
          <w:i w:val="1"/>
          <w:iCs w:val="1"/>
          <w:color w:val="auto"/>
        </w:rPr>
        <w:t>investor.gartner.com</w:t>
      </w:r>
      <w:r>
        <w:rPr>
          <w:rFonts w:ascii="Times New Roman" w:cs="Times New Roman" w:eastAsia="Times New Roman" w:hAnsi="Times New Roman"/>
          <w:sz w:val="18"/>
          <w:szCs w:val="18"/>
          <w:color w:val="auto"/>
        </w:rPr>
        <w:t>, under the “Governance” link.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i w:val="1"/>
          <w:iCs w:val="1"/>
          <w:color w:val="auto"/>
        </w:rPr>
        <w:t>We operate in a highly competitive and rapidly changing environment that involves numerous risks and uncertainties, some of which are beyond our control. In addition, we and our clients are affected by global economic conditions and trends. The following sections address significant factors, events and uncertainties that make an investment in our securities risky. We urge you to consider carefully the factors described below and the risks that they present for our operations, as well as the risks addressed in other reports and materials that we file with the SEC and the other information, included or incorporated by reference in this Form 10-K. When the factors, events and contingencies described below or elsewhere in this Form 10-K materialize, there could be a material adverse impact on our business, prospects, results of operations, financial condition, and cash flows, and therefore have a potential negative effect on the trading price of our common stock. Additional risks not currently known to us or that we now deem immaterial may also harm us and negatively affect your investment. In addition to the effects of the global economic and geopolitical climate on our business and operations discussed in Item 7 of this Form 10-K and in the risk factors below, additional or unforeseen effects from the global economic and geopolitical climate may give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rise to or amplify many of these risks discussed below. Risks in this section are grouped in the following categories: (1) strategic and operational risks; (2) macroeconomic and industry risks; and (3) legal and regulatory risks. Many risks affect more than one category, and the risks are not in order of significance or probability of occurrence because they have been grouped by categories.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and Operational Risks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may not be able to maintain the quality of our existing products and services. </w:t>
      </w:r>
      <w:r>
        <w:rPr>
          <w:rFonts w:ascii="Times New Roman" w:cs="Times New Roman" w:eastAsia="Times New Roman" w:hAnsi="Times New Roman"/>
          <w:sz w:val="18"/>
          <w:szCs w:val="18"/>
          <w:color w:val="auto"/>
        </w:rPr>
        <w:t>We operate in a rapidly evolving market, and our success depends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deliver high quality and timely research and analysis to our clients. Any failure to continue to provide credible and reliable information and insight that is useful to our clients could have a material adverse effect on future business and operating results. Further, if our published data, opinions or viewpoints are considered to be wrong, lack independence, or are not substantiated by appropriate research, our reputation will suffer and demand for our products and services may decline. In addition, we must continue to improve our methods for delivering our products and services in a cost-effective manner via the internet and mobile applications in an inflationary economic environment. Failure to maintain state of the art electronic delivery capabilities could materially adversely affect our future business and operating results.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We may not be able to enhance and develop our existing products and services or introduce the new products and services that are needed to remain competitive. </w:t>
      </w:r>
      <w:r>
        <w:rPr>
          <w:rFonts w:ascii="Times New Roman" w:cs="Times New Roman" w:eastAsia="Times New Roman" w:hAnsi="Times New Roman"/>
          <w:sz w:val="18"/>
          <w:szCs w:val="18"/>
          <w:color w:val="auto"/>
        </w:rPr>
        <w:t>The market for our products and services is characterized by rapidly changing needs for information and analysis. The development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is a complex and time-consuming process. Nonetheless, to maintain our competitive position, we must continue to anticipate the needs of our clients, develop, enhance, protect, and improve our existing products, as well as new products and services to address those needs, deliver all products and services in a timely, user-friendly and state of the art manner, and appropriately position and price new products and services relative to the marketplace and our costs of developing them. Any failure to achieve successful client acceptance of new products and services could have a material adverse effect on our business, results of operations and financial position. Additionally, significant delays in new product or service releases or significant problems in creating new products or services could materially adversely affect our business, results of operations and financial position.</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Technology is rapidly evolving, and if we do not continue to develop new product and service offerings in response to these changes, our business could suffer. </w:t>
      </w:r>
      <w:r>
        <w:rPr>
          <w:rFonts w:ascii="Times New Roman" w:cs="Times New Roman" w:eastAsia="Times New Roman" w:hAnsi="Times New Roman"/>
          <w:sz w:val="18"/>
          <w:szCs w:val="18"/>
          <w:color w:val="auto"/>
        </w:rPr>
        <w:t>Disruptive technologies, including in areas of artificial intelligence (“AI”) and machine learning, are rapidly changing the environment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clients, and our competitors operate and could affect the nature of how we generate revenue. We will need to continue to respond to and anticipate these changes by enhancing our product and service offerings to maintain our competitive position. However, we may not be successful in responding to these forces and enhancing our product and service offerings on a timely basis or in a cost-efficient manner, and any enhancements we develop may not adequately address the changing needs of our clients. Our future success will depend upon our ability to develop and introduce in a timely manner new or enhance existing offerings that address the changing needs of this constantly evolving marketplace. Failure to develop products that meet the needs of our clients in a timely manner could have a material adverse effect on our business, results of operations, and financial position.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some of our content is exposed to Internet search engines, which help generate website traffic. Search engines often update their proprietary algorithms, which affects the placement of links to our websites. Some search engines also provide substantive content in search results, which, if expanded to the areas in which we operate, could reduce the need to enter our websites. When a major search engine changes its algorithms in a manner that negatively affects our placement in search results or makes it less likely for our target audience to enter our websites, our business, results of operations and financial position may be harmed. Similarly, some of our content is exposed to the datasets leveraged by AI chatbots, and these chatbots may provide substantive content, either with or without contribution, in query responses to users which could reduce the need to enter our websites.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Uncertainty in the development, deployment, and use of AI in our platform and products and by our customers and competitors may result in harm to our business and reputation. </w:t>
      </w:r>
      <w:r>
        <w:rPr>
          <w:rFonts w:ascii="Times New Roman" w:cs="Times New Roman" w:eastAsia="Times New Roman" w:hAnsi="Times New Roman"/>
          <w:sz w:val="18"/>
          <w:szCs w:val="18"/>
          <w:color w:val="auto"/>
        </w:rPr>
        <w:t>We use, and may expand our use of, machine learning and AI technologies in some of our products, services, and processes.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Developing, testing, and deploying AI systems will require additional investment and increase our costs. If we fail to keep pace with rapidly evolving AI technological developments, our competitive position and business results may be negatively impacted. Moreover, the development, adoption, and use of generative AI technologies are still in their early stages, and ineffective or inadequate AI development or deployment practices by Gartner or third-party developers or vendors could result in unintended consequences. For example, AI algorithms that we use may be flawed or may be based on datasets that are biased or insufficient. Third parties may also be able to use AI to create technology that could reduce demand for our products. Although prohibited, clients or others may load our proprietary information into large language models, which could reduce the value of our offerings. In addition, the introduction of AI technologies, particularly generative AI, into new or existing offerings may result in new or expanded risks and liabilities, due to enhanced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governmental or regulatory scrutiny, litigation, compliance issues, ethical concerns, confidentiality, data privacy or security risks, as well as other factors that could adversely affect our business, reputation, and financial results.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Our Research business depends on renewals of subscription-based services and sales of new subscription-based services for a significant portion of our revenue, and our failure to renew at historical rates or generate new sales of such services will lead to a decrease in our revenues. </w:t>
      </w:r>
      <w:r>
        <w:rPr>
          <w:rFonts w:ascii="Times New Roman" w:cs="Times New Roman" w:eastAsia="Times New Roman" w:hAnsi="Times New Roman"/>
          <w:sz w:val="18"/>
          <w:szCs w:val="18"/>
          <w:color w:val="auto"/>
        </w:rPr>
        <w:t>A large portion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 depends on our ability to generate renewals of our subscription-based research products and services and new sales of such products and services, both to new clients and existing clients. These products and services constituted approximately 76% of total revenues from our operations for both 2023 and 2022. Generating new sales of our subscription-based products and services, both to new and existing clients, is a challenging, costly, and often time-consuming process. If we are unable to generate new sales, due to competition or other factors, our revenues will be adversely affected.</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research subscription contracts are typically for twelve months or longer. Our ability to maintain contract renewals is subject to numerous factors, including the following:</w:t>
      </w:r>
    </w:p>
    <w:p>
      <w:pPr>
        <w:spacing w:after="0" w:line="18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high-quality and timely analysis and insight to our clients;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and anticipating market trends and the changing needs of our clients;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products and services of the quality and timeliness necessary to withstand competition.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as we continue to adjust our products and service offerings to meet our clients’ continuing needs, we may shift the type and pricing of our products which may impact client renewal rates. While our Research client retention rate was 84% and 86.3% for 2023 and 2022, respectively, there can be no guarantee that we will continue to maintain this rate of client renewals.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profitability and success of our conferences and other meetings are subject to external factors beyond our control. </w:t>
      </w:r>
      <w:r>
        <w:rPr>
          <w:rFonts w:ascii="Times New Roman" w:cs="Times New Roman" w:eastAsia="Times New Roman" w:hAnsi="Times New Roman"/>
          <w:sz w:val="18"/>
          <w:szCs w:val="18"/>
          <w:color w:val="auto"/>
        </w:rPr>
        <w:t>The market for desirable dates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locations for our activities has historically been highly competitive. If we cannot secure desirable dates and suitable venues for our conferences the profitability for these conferences will suffer, and our financial position and results of operations may be adversely affected. In addition, because our conferences are scheduled in advance and held at specific locations, the success of these activities can be affected by circumstances outside of our control, such as the occurrence of or concerns related to communicable diseases (such as COVID-19), labor strikes, transportation shutdowns and travel restrictions, economic slowdowns, reductions in government spending, geopolitical crises, terrorist attacks, war, weather, natural disasters, and other occurrences impacting the global, regional, or national economies, the occurrence of any of which could negatively impact the success of the conference or meeting. We also face the challenge of procuring venues that are sizeable enough at a reasonable cost to accommodate some of our major activities.</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also face risks related to insurance coverage for our cancelled 2020 and 2021 conferences. Our event cancellation insurance included a two-year policy covering destination conferences during 2020 and 2021 and a policy covering Evanta conferences during 2020. This insurance included coverage for cancellations due to communicable diseases and enabled us to receive an amount up to the lost contribution margin per conference plus incurred expenses, as more specifically set forth in the policies’ provisions for calculating the amount of recoverable loss, and subject to the policies’ limits of liability. These policies provided up to $170 million in coverage for 2020 cancellations with the right to reinstate the policy limits for the payment of additional premium if those limits are utilized, for a maximum recovery of $340 million. The insurer has accepted and paid claims on the initial $170 million of 2020 coverage. However, the insurer has contested our right to reinstate the limits and use the reinstated limits to cover additional losses resulting from 2020 conferences cancelled due to COVID-19. Gartner's two-year event cancellation policy also covered events that were planned for 2021 but cancelled, with limits of $150 million with the right to reinstate up to that amount if the initial limits are inadequate to cover the loss. The insurer has contested all coverage for events that were planned for 2021 but were cancelled due to COVID-19, as well as Gartner’s right to reinstate the policy limits. Our insurance coverage for 2023 (and likely beyond) excludes coverage for cancellations due to communicable diseases. We are the plaintiff in litigation with the insurer and are seeking to reinstate the policy limits pursuant to the policies’ reinstatements of limits clause and recover up to an additional $170 million for events cancelled in 2020. Gartner is also seeking $150 million in initial limits for events cancelled in 2021 and to reinstate those limits up to an additional $150 million. We are also the plaintiff in litigation with the insurance broker that negotiated and procured our event cancellation insurance. Although document discovery in our cases against the insurer and insurance broker is continuing, we cannot predict how long it will take to resolve these lawsuits, whether we will be successful or the impact the resolution could have on our financial results.</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Our Consulting business depends on non-recurring engagements and our failure to secure new engagements could lead to a decrease in our revenues. </w:t>
      </w:r>
      <w:r>
        <w:rPr>
          <w:rFonts w:ascii="Times New Roman" w:cs="Times New Roman" w:eastAsia="Times New Roman" w:hAnsi="Times New Roman"/>
          <w:sz w:val="18"/>
          <w:szCs w:val="18"/>
          <w:color w:val="auto"/>
        </w:rPr>
        <w:t>Consulting segment revenues constituted approximately 9% of total revenues from our on-going operations in both 2023 and 2022. Consulting engagements typically are project-based and non-recurring. In addition, revenue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from our contract optimization business can fluctuate significantly from period to period and is not predictable. Our ability to replace consulting engagements is subject to numerous factors, including the following:</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consistent, high-quality consulting services to our clients;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tailoring our consulting services to the changing needs of our clients;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match the skills and competencies of our consulting staff to the skills required for the fulfillment of existing or potential consulting engagements.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material decline in our ability to replace consulting engagements will have an adverse impact on our revenues and our financial condition.</w:t>
      </w:r>
    </w:p>
    <w:p>
      <w:pPr>
        <w:spacing w:after="0" w:line="2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We may not be able to attract and retain qualified personnel which could jeopardize the quality of our products and services and our future growth plans. </w:t>
      </w:r>
      <w:r>
        <w:rPr>
          <w:rFonts w:ascii="Times New Roman" w:cs="Times New Roman" w:eastAsia="Times New Roman" w:hAnsi="Times New Roman"/>
          <w:sz w:val="18"/>
          <w:szCs w:val="18"/>
          <w:color w:val="auto"/>
        </w:rPr>
        <w:t>Our success is based on attracting and retaining talented employees and we depend heavily upon the quality of our senior management, research analysts, consultants, sales and other key personnel. The market for highly skilled workers and leaders in our industry is extremely competitive. We face competition for qualified professionals from, among others, technology companies, market research firms, consulting firms, financial services companies and electronic and print media companies, some of which have significant financial resources and a willingness to deploy those resources to attract and compensate these professionals. Moreover, increasing wage inflation may affect our profit margin as we strive to provide compensation packages that are competitive. We face risks related to global and industry-specific labor shortages, and competitive markets can increase attrition throughout our sector. Additionally, some of the personnel that we attempt to hire are subject to non-compete agreements that could impede our short-term recruitment efforts. Our employee hiring and retention also depend on our brand and reputation as well as our ability to build and maintain a diverse and inclusive workplace culture that enables our employees to thrive. We may also be limited in our ability to recruit internationally by restrictive domestic immigration laws, and changes to policies that restrain the flow of technical and professional talent could inhibit our ability to adequately staff our research and development and other efforts.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inability to retain key personnel or to hire and train additional qualified personnel could materially adversely affect the quality of our products and services, as well as our future business and operating results. In addition, effective succession planning is important to our long-term success, and failure to ensure effective transfer of knowledge and smooth transitions involving key employees could hinder our strategic planning and execution.</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If we are unable to enforce and protect our intellectual property rights, our competitive position may be harmed. </w:t>
      </w:r>
      <w:r>
        <w:rPr>
          <w:rFonts w:ascii="Times New Roman" w:cs="Times New Roman" w:eastAsia="Times New Roman" w:hAnsi="Times New Roman"/>
          <w:sz w:val="18"/>
          <w:szCs w:val="18"/>
          <w:color w:val="auto"/>
        </w:rPr>
        <w:t>We rely on a combination of copyright,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trademark, trade secret, patent, confidentiality, non-compete and other contractual provisions to protect our intellectual property rights. Despite our efforts to protect our intellectual property rights, third parties may obtain unauthorized access to our intellectual property, technology or other information that we regard as proprietary. Our intellectual property rights may not survive a legal challenge to their validity or provide significant protection for us. Additionally, the laws and enforcement mechanisms to protect our intellectual property from unauthorized use in new technologies like AI and machine learning are evolving and may be inadequate. Further, the laws and enforcement mechanisms of certain countries, particularly in emerging markets, do not protect our proprietary rights to the same extent as the laws of the United States. Conducting business in certain foreign jurisdictions may require accepting compromised protections or yielding of rights to technology, data or intellectual property in order to access those markets. Accordingly, we may not be able to protect our intellectual property against unauthorized or undesired third-party copying or use, which could adversely affect our competitive position.</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third parties have asserted, and may continue to assert, intellectual property claims that our products infringe the rights of others. Such claims can be expensive and time-consuming to defend, regardless of their merit. The inability to obtain rights to use third-party intellectual property on commercially reasonable terms could also have an adverse impact on our business. We may face claims based on the theft or unauthorized use or disclosure of third-party trade secrets and other confidential business information. Any such incidents and claims could harm our business and reputation, cause us to incur significant expenses, and prevent us from selling certain products, all of which could negatively impact our business and results of operations.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our employees are subject to restrictive covenant agreements (which include provisions related to employees’ ability to compete and solicit customers and employees) and assignment of invention agreements, to the extent permitted under applicable law. When the period expires relating to their particular restrictions, former employees may compete against us. If a former employee violates the provisions of the restrictive covenant agreement, we seek to enforce the restrictions but there is no assurance that we will be successful in our efforts, and enforceability of certain restrictive covenants may decrease significantly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due to recent regulatory scrutiny in the U.S. If the laws change to provide greater rights to employees, that could further reduce the effectiveness and enforceability of our restrictive covenant agreements.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Privacy concerns could damage our reputation and deter current and potential clients from using our products and services. </w:t>
      </w:r>
      <w:r>
        <w:rPr>
          <w:rFonts w:ascii="Times New Roman" w:cs="Times New Roman" w:eastAsia="Times New Roman" w:hAnsi="Times New Roman"/>
          <w:sz w:val="18"/>
          <w:szCs w:val="18"/>
          <w:color w:val="auto"/>
        </w:rPr>
        <w:t>Concerns relating to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privacy have the potential to damage our reputation and deter current and prospective clients from using our products and services or attending our conferences. In the ordinary course of our business and in accordance with applicable laws, we collect personal information (i) from our employees, (ii) from the users of our products and services, including conference attendees, and (iii) from prospective clients. We collect only basic personal information from our clients and prospects. While we believe our overall data privacy procedures are adequate, the theft or loss of such data, or concerns about our practices, even if unfounded, with regard to the collection, use, disclosure, or security of this personal information or other data protection related matters could damage our reputation and materially adversely affect our operating results. Any system or process failure, or compromise of our security that results in the disclosure of our users’ personal data, could seriously limit the consumption of our products and services and the attendance at our conferences, as well as harm our reputation and brand and, therefore, our business.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are exposed to risks related to cybersecurity. </w:t>
      </w:r>
      <w:r>
        <w:rPr>
          <w:rFonts w:ascii="Times New Roman" w:cs="Times New Roman" w:eastAsia="Times New Roman" w:hAnsi="Times New Roman"/>
          <w:sz w:val="18"/>
          <w:szCs w:val="18"/>
          <w:color w:val="auto"/>
        </w:rPr>
        <w:t>A significant portion of our business is conducted over the internet and we rely on the secure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storage and transmission of confidential, sensitive, proprietary and other types of information relating to our business operations and confidential and sensitive information about our customers and employees in our computer systems and networks, and in those of our third-party vendors. Individuals, groups, and state-sponsored organizations may take steps that pose threats to our operations, our computer systems, our employees, and our customers. The cybersecurity risks we face range from cyber attacks common to most industries, such as the development and deployment of malicious software to gain access to our networks and attempt to steal confidential information, launch distributed denial of service attacks, or attempt other coordinated disruptions, to more advanced threats that target us because of our prominence in the global research and advisory field.</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Like many multinational corporations, we, and some third parties upon which we rely, have experienced cyber attacks on our computer systems and networks in the past and may experience them in the future, likely with more frequency and sophistication, and involving a broader range of devices and modes of attack, all of which will increase the difficulty of detecting and successfully defending against them. To date, none have resulted in any material adverse impact to our business, operations, products, services or customers. We have implemented various security controls to meet our security obligations, while also defending against constantly evolving security threats. Our security controls help to secure our information systems, including our computer systems, intranet, proprietary websites, email and other telecommunications and data networks, and we scrutinize the security of outsourced website and service providers prior to retaining their services. However, the security measures implemented by us or by our outside service providers may not be effective and our systems (and those of our outside service providers) are vulnerable to theft, loss, damage and interruption from a number of potential sources and events, including unauthorized access or security breaches, cyber attacks, computer viruses, power loss, or other disruptive events. As a result of operating in a hybrid work environment, most of our employees are working virtually for a period of time, which magnifies the importance of the integrity of our remote access security measures.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Cyber criminals use artificial intelligence tools to increase the effectiveness, speed and complexity of attacks, requiring increased vigilance and threat defense. Additionally, the security compliance landscape continues to evolve, requiring us to stay apprised of changes in cybersecurity and data privacy laws, regulations, and security requirements required by our clients, such as the European Union General Data Protection Regulation (GDPR), the California Consumer Privacy Act (CCPA) and California Privacy Rights Act (CPRA), the Brazilian General Data Protection Law (LGPD), the Chinese Cybersecurity, Data Security and Personal Information Protection laws (and other new and proposed data protection laws), International Organization for Standardization (ISO), and National Institute of Standards and Technology (NIST). Recent well-publicized security breaches at other companies have led to enhanced government and regulatory scrutiny of the measures taken by companies to protect against cyber attacks, and may in the future result in heightened cybersecurity requirements, including additional regulatory expectations for oversight of vendors and service providers.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cyber attack, widespread internet failure or internet access limitations, or disruption of our critical information technology systems through denial of service, viruses, or other events could cause delays in initiating or completing sales, impede delivery of our products and services to our clients, disrupt other critical client-facing or business processes or dislocate our critical internal functions. Additionally, any material breaches of cybersecurity or other technology-related catastrophe, or media reports of perceived security vulnerabilities to our systems or those of our third parties, even if no breach has been attempted or occurred, could cause us to experience reputational harm, loss of customers and revenue, fines, regulatory actions and scrutiny, sanctions or other statutory penalties, litigation, liability for failure to safeguard our customers’ information, or financial losses that are either not insured against or not fully covered through any insurance maintained by us.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Any of the foregoing may have a material adverse effect on our business, operating results and financial condition.</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We may experience outages and disruptions of our online services if we fail to maintain an adequate operations infrastructure. </w:t>
      </w:r>
      <w:r>
        <w:rPr>
          <w:rFonts w:ascii="Times New Roman" w:cs="Times New Roman" w:eastAsia="Times New Roman" w:hAnsi="Times New Roman"/>
          <w:sz w:val="18"/>
          <w:szCs w:val="18"/>
          <w:color w:val="auto"/>
        </w:rPr>
        <w:t>Our increasing user traffic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complexity of our products and services demand more computing power. We have invested substantial amounts and expect to continue investing (as necessary) in access to data centers and equipment and in moving more of our workload into cloud services, upgrading our technology and network infrastructure to handle increased traffic on our websites, and delivering our products and services through emerging channels, such as mobile applications. However, any inefficiencies or operational failures could diminish the quality of our products, services, and user experience, resulting in damage to our reputation and loss of current and potential users, subscribers, and advertisers, potentially harming our financial condition and operating results.</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acquisitions, dispositions, and strategic investments, involve substantial risks. </w:t>
      </w:r>
      <w:r>
        <w:rPr>
          <w:rFonts w:ascii="Times New Roman" w:cs="Times New Roman" w:eastAsia="Times New Roman" w:hAnsi="Times New Roman"/>
          <w:sz w:val="18"/>
          <w:szCs w:val="18"/>
          <w:color w:val="auto"/>
        </w:rPr>
        <w:t>We have made and may continue to make acquisitions of, or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businesses that offer complementary products and services or otherwise support our growth objectives. The risks involved in each acquisition or investment include the possibility of paying more than the value we derive from the acquisition, dilution of the interests of our current stockholders should we issue stock in the acquisition, decreased working capital, increased indebtedness, the assumption of undisclosed liabilities and unknown and unforeseen risks, the ability to retain key personnel of the acquired company, the inability to complete the transaction due to regulatory review, the inability to integrate the business of the acquired company, increase revenue or fully realize anticipated synergies, the time to train the sales force to market and sell the products of the acquired business, the potential disruption of our ongoing business and the distraction of management from our day to day business. Additionally, we face competition in identifying acquisition targets and consummating acquisitions. Our dispositions involve additional risks and uncertainties, such as ability to sell such businesses on satisfactory price and terms and in a timely manner, or at all, disruption to other parts of the businesses and distraction of management, allocation of internal resources that would otherwise be devoted to completing strategic acquisitions, loss of key employees or customers, and exposure to unanticipated liabilities or ongoing obligations to support the businesses following such dispositions, and other adverse financial impacts. The realization of any of these risks could adversely affect our business.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We face risks related to leased office space. </w:t>
      </w:r>
      <w:r>
        <w:rPr>
          <w:rFonts w:ascii="Times New Roman" w:cs="Times New Roman" w:eastAsia="Times New Roman" w:hAnsi="Times New Roman"/>
          <w:sz w:val="18"/>
          <w:szCs w:val="18"/>
          <w:color w:val="auto"/>
        </w:rPr>
        <w:t>We lease all the properties used for our ongoing business operations. In several locations, we have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operations and sublet substantially all the excess space. Through our real estate consolidations and other related activities, we seek to secure quality subtenants with appropriate sublease terms. However, if we fail to secure quality subtenants, or subtenants default on their sublease obligations with us or otherwise terminate their subleases with us, we may experience a loss of planned sublease rental income, which could result in a material charge against our operating results.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accommodate our growth going forward, we have moved to a global hoteling model to better manage our footprint and operating expenses, and will secure new space when the opportunities and needs arise. If the new spaces are not completed on schedule, or if the landlord defaults on its commitments and obligations pursuant to the new leases, we may incur additional expenses. In addition, unanticipated difficulties in initiating operations in a new space, including construction delays, natural disasters, IT system interruptions, or other infrastructure support problems, could result in a delay in moving into the new space, resulting in a potential loss of employee and operational productivity and a loss of revenue and/or additional expenses, which could also have an adverse, material impact on our operating results.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sales to governments are subject to appropriations and some may be terminated early. </w:t>
      </w:r>
      <w:r>
        <w:rPr>
          <w:rFonts w:ascii="Times New Roman" w:cs="Times New Roman" w:eastAsia="Times New Roman" w:hAnsi="Times New Roman"/>
          <w:sz w:val="18"/>
          <w:szCs w:val="18"/>
          <w:color w:val="auto"/>
        </w:rPr>
        <w:t>We derive significant revenues from research and consulting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the United States government and its respective agencies, numerous state and local governments and their respective agencies, and foreign governments and their agencies. At December 31, 2023 and 2022, approximately $1.0 billion and $932 million, respectively, of our outstanding revenue contracts were attributable to government entities. Our U.S. government contracts are subject to the approval of appropriations by the U.S. Congress to fund the agencies contracting for our services. Additionally, our contracts at the state and local levels, as well as foreign government contracts, are subject to various governmental authorizations and funding approvals and mechanisms. Certain of these contracts may be terminated at any time by the government entity without cause or penalty (“termination for convenience”). In addition, contracts with U.S. federal, state and local, and foreign governments and their respective agencies are subject to increasingly complex bidding procedures and compliance requirements, as well as intense competition. Failure to adequately abide by these procedures and compliance requirements could result in an inability to contract with governments or their agencies, termination of existing contracts, or even suspension and disbarment from doing future business with a government or agency. Moreover, while terminations by governments for lack of funding have not been significant historically, should appropriations for the various governments and agencies that contract with us be curtailed, or should our government contracts be terminated for convenience, we may experience a significant loss of revenues.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may not be able to maintain the equity in our brand name. </w:t>
      </w:r>
      <w:r>
        <w:rPr>
          <w:rFonts w:ascii="Times New Roman" w:cs="Times New Roman" w:eastAsia="Times New Roman" w:hAnsi="Times New Roman"/>
          <w:sz w:val="18"/>
          <w:szCs w:val="18"/>
          <w:color w:val="auto"/>
        </w:rPr>
        <w:t>We believe that our “Gartner” brand, in particular our independence, is critical to our efforts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attract and retain clients and top talent, and that the importance of brand recognition will increase as competition increases. We may also discover that our brand, though recognized, is not perceived to be relevant by new market segments we have targeted. We may expand our marketing activities to promote and strengthen the Gartner brand and may need to increase our marketing budget, hire additional marketing and public relations personnel, and expend additional sums to protect our brand and otherwise increase expenditures to create and maintain client brand loyalty. If we fail to effectively promote, maintain, and protect the Gartner brand, or incur excessive expenses in doing so, our future business and operating results could be materially adversely impacted.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Our outstanding debt obligations could negatively impact our financial condition and future operating results. </w:t>
      </w:r>
      <w:r>
        <w:rPr>
          <w:rFonts w:ascii="Times New Roman" w:cs="Times New Roman" w:eastAsia="Times New Roman" w:hAnsi="Times New Roman"/>
          <w:sz w:val="18"/>
          <w:szCs w:val="18"/>
          <w:color w:val="auto"/>
        </w:rPr>
        <w:t>As of December 31, 2023, the Company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debt of $274 million under its 2020 term loan and revolving credit facility (the “2020 Credit Agreement”), $800 million of Senior Notes due 2028 (the “2028 Notes”), $600 million of Senior Notes due 2029 (the “2029 Notes”) and $800 million of Senior Notes due 2030 (the “2030 Notes”). Additional information regarding the 2020 Credit Agreement, the 2028 Notes, the 2029 Notes and the 2030 Notes is included in Note 6 — Debt in the Notes to Consolidated Financial Statements.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debt service requirements of these borrowings could impair our future financial condition and operating results. In addition, the affirmative, negative and financial covenants of the 2020 Credit Agreement, as well as the covenants related to the Senior Notes, could limit our future financial flexibility. A failure to comply with these covenants could result in acceleration of all amounts outstanding, which could materially impact our financial condition unless accommodations could be negotiated with our lenders and noteholders. No assurance can be given that we would be successful in doing so, or that any accommodations that we were able to negotiate would be on terms as favorable as those currently in place. The outstanding debt may limit the amount of cash or additional credit available to us, which could restrain our ability to expand or enhance products and services, respond to competitive pressures or pursue future business opportunities requiring substantial investments of additional capital.</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may require additional cash resources which may not be available on favorable terms or at all. </w:t>
      </w:r>
      <w:r>
        <w:rPr>
          <w:rFonts w:ascii="Times New Roman" w:cs="Times New Roman" w:eastAsia="Times New Roman" w:hAnsi="Times New Roman"/>
          <w:sz w:val="18"/>
          <w:szCs w:val="18"/>
          <w:color w:val="auto"/>
        </w:rPr>
        <w:t>We may require additional cash resources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changed business conditions, implementation of our strategy and stock repurchase program, to repay indebtedness or to pursue future business opportunities requiring substantial investments of additional capital, including acquisitions. If our existing financial resources are insufficient to satisfy our requirements, we may seek additional borrowings or issue debt. Prevailing credit and debt market conditions may negatively affect debt availability and cost, and, as a result, financing may not be available in amounts or on terms acceptable to us, if at all. In addition, the incurrence of additional indebtedness would result in increased debt service obligations and could require us to agree to operating and financial covenants that would further restrict our operations.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Natural disasters, pandemics, terrorist acts, war, actions by governments, and other geopolitical activities could disrupt our operations. </w:t>
      </w:r>
      <w:r>
        <w:rPr>
          <w:rFonts w:ascii="Times New Roman" w:cs="Times New Roman" w:eastAsia="Times New Roman" w:hAnsi="Times New Roman"/>
          <w:sz w:val="18"/>
          <w:szCs w:val="18"/>
          <w:color w:val="auto"/>
        </w:rPr>
        <w:t>We operate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numerous U.S. and international locations, and we have offices in a number of major cities across the globe. The occurrence of, or concerns related to, a major weather event, earthquake, hurricane, flood, drought, volcanic activity, disease or pandemic, or other natural disaster could significantly disrupt our operations. In addition, acts of civil unrest, failure of critical infrastructure, terrorism, armed conflict (including in the Middle East), war (including the war in Ukraine), and abrupt political change, as well as responses by various governments and the international community to such acts, can have a negative effect on our business. Such events could cause delays in initiating or completing sales, impede delivery of our products and services to our clients, disrupt or shut down the internet or other critical client-facing and business processes, impede the travel of our personnel and clients, dislocate our critical internal functions and personnel, and in general harm our ability to conduct normal business operations, any of which can negatively impact our financial condition and operating results. Such events could also impact the timing and budget decisions of our clients, which could materially adversely affect our 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and Industry Risks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We are subject to risks from operating globally. </w:t>
      </w:r>
      <w:r>
        <w:rPr>
          <w:rFonts w:ascii="Times New Roman" w:cs="Times New Roman" w:eastAsia="Times New Roman" w:hAnsi="Times New Roman"/>
          <w:sz w:val="18"/>
          <w:szCs w:val="18"/>
          <w:color w:val="auto"/>
        </w:rPr>
        <w:t>We have clients in approximately 90 countries and territories and a substantial amount of our revenue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earned outside of the United States. Our operating results are subject to all of the risks typically inherent in international business activities, including general political and economic conditions in each country, challenges in staffing and managing foreign operations, changes in regulatory requirements, compliance with numerous and complex foreign laws and regulations, currency restrictions and fluctuations, the difficulty of enforcing client agreements, collecting accounts receivable and protecting intellectual property rights including against economic espionage in international jurisdictions. Further, we rely on local distributors or sales agents in some international locations. If any of these arrangements are terminated by our agent or us, we may not be able to replace the arrangement on beneficial terms or on a timely basis, or clients of the local distributor or sales agent may not want to continue to do business with us or our new agent. Additionally, tariffs, trade barriers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and restrictions, and other acts by governments to protect domestic markets or to retaliate against the trade tariffs and restrictions of other nations could negatively affect our business operations.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Our operating results could be negatively impacted by global economic conditions. </w:t>
      </w:r>
      <w:r>
        <w:rPr>
          <w:rFonts w:ascii="Times New Roman" w:cs="Times New Roman" w:eastAsia="Times New Roman" w:hAnsi="Times New Roman"/>
          <w:sz w:val="18"/>
          <w:szCs w:val="18"/>
          <w:color w:val="auto"/>
        </w:rPr>
        <w:t>Our business is impacted by general economic conditions and trends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and abroad, including without limitation inflation, slowing growth, rising interest rates and recession. In its recent report, Global Economics Prospects, January 2024, the World Bank reported that global growth is projected to slow to 2.4% in 2024—the third consecutive year of deceleration—reflecting the lagged and ongoing effects of tight monetary policies to rein in decades-high inflation, restrictive credit conditions, and anemic global trade and investment. The report also notes that downside risks to the outlook predominate. The recent conflict in the Middle East, coming on top of the Russian invasion of Ukraine, has heightened geopolitical risks. Conflict escalation could lead to surging energy prices, with broader implications for global activity and inflation. Other risks highlighted in the report include financial stress related to elevated real interest rates, persistent inflation, weaker-than-expected growth in China, further trade fragmentation, and climate change-related disasters. The World Bank predicts that global growth is expected to tick up to 2.7% in 2025. The World Bank notes that the expected growth rates for 2024 and 2025 would be far below the 3.1% average of the 2010s. A downturn in growth could negatively and materially affect future demand for our products and services in general, in certain geographic regions, in particular countries, or industry sectors, or could reduce demand for our in-person conferences. In addition, U.S. federal, state and local government spending limits may reduce demand for our products and services from those governmental agencies as well as organizations that receive funding from those agencies and could negatively affect macroeconomic conditions in the United States, which could further reduce demand for our products and services. Such difficulties could negatively impact our ability to maintain or improve the various business measurements we utilize (which are defined in this Annual Report), such as contract value and consulting backlog growth, client retention, wallet retention, consulting utilization rates, and the number of attendees and exhibitors at our conferences and other meetings. Failure to achieve acceptable levels of these indicators or improve them will negatively impact our financial condition, results of operations, and cash flows.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face significant competition and our failure to compete successfully could materially adversely affect our results of operations, financial condition, and cash flows. </w:t>
      </w:r>
      <w:r>
        <w:rPr>
          <w:rFonts w:ascii="Times New Roman" w:cs="Times New Roman" w:eastAsia="Times New Roman" w:hAnsi="Times New Roman"/>
          <w:sz w:val="18"/>
          <w:szCs w:val="18"/>
          <w:color w:val="auto"/>
        </w:rPr>
        <w:t>The markets for our products and services are characterized by intense competition and we face direct competition from a significant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providers of information products and services, including information available on the internet free of charge. We also compete indirectly against consulting firms and other information providers, including electronic and print media companies, some of which have greater financial, information gathering and marketing resources than we do. These indirect competitors could also choose to compete directly with us in the future. In addition, low barriers to entry exist in the markets in which we do business. As a result, new competitors may emerge, and existing competitors may start to provide additional or complementary services. Additionally, technological advances may provide increased competition from a variety of sources.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compete against current and future competitors and our failure to do so will result in loss of market share, diminished value in our products and services, reduced pricing and increased marketing expenditures. Furthermore, we will not be successful if we cannot compete effectively on quality of research and analysis, timely delivery of information, customer service, the ability to offer products to meet changing market needs for information and analysis, or price.</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We are exposed to volatility in foreign currency exchange rates from our international operations. </w:t>
      </w:r>
      <w:r>
        <w:rPr>
          <w:rFonts w:ascii="Times New Roman" w:cs="Times New Roman" w:eastAsia="Times New Roman" w:hAnsi="Times New Roman"/>
          <w:sz w:val="18"/>
          <w:szCs w:val="18"/>
          <w:color w:val="auto"/>
        </w:rPr>
        <w:t>A significant portion of our revenues are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derived from sales outside of the United States. Revenues earned outside the United States are typically transacted in local currencies, which may fluctuate significantly against the U.S. dollar. While we use forward exchange contracts to a limited extent to seek to mitigate foreign currency risk, our revenues and results of operations could be adversely affected by unfavorable foreign currency fluctuations.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Our business could be negatively impacted by climate change</w:t>
      </w:r>
      <w:r>
        <w:rPr>
          <w:rFonts w:ascii="Times New Roman" w:cs="Times New Roman" w:eastAsia="Times New Roman" w:hAnsi="Times New Roman"/>
          <w:sz w:val="18"/>
          <w:szCs w:val="18"/>
          <w:color w:val="auto"/>
        </w:rPr>
        <w:t>. While we seek to mitigate the business risks associated with climate change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there are inherent climate-related risks wherever business is conducted. Access to clean water and reliable energy in the communities where we conduct our business, whether for our offices, clients, vendors or other stakeholders is a priority. We have large offices in Connecticut, Florida, India, the United Kingdom, Spain and Australia, and other locations that are vulnerable to climate change effects. Additionally, scarcity of fuel and/or rising green energy costs may increase our operations costs or affect client travel to our Conferences. Changing market dynamics, global policy developments, and the increasing frequency and impact of extreme weather events on critical infrastructure in the U.S. and elsewhere have the potential to disrupt our business, the business of our vendors, and the business clients, and may cause us to experience higher attrition, losses and additional costs to maintain or resume operations.</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Failure to achieve ESG commitments or meet stakeholder expectations in ESG could harm our reputation</w:t>
      </w:r>
      <w:r>
        <w:rPr>
          <w:rFonts w:ascii="Times New Roman" w:cs="Times New Roman" w:eastAsia="Times New Roman" w:hAnsi="Times New Roman"/>
          <w:sz w:val="18"/>
          <w:szCs w:val="18"/>
          <w:color w:val="auto"/>
        </w:rPr>
        <w:t>. We have committed to achieve net-zero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greenhouse gas emissions by 2035 in accordance with the SBTi's Net-Zero Standard. The SBTi has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approved Gartner’s near-term science-based emissions reductions targets. Our ability to achieve these and other ESG goals is subject to numerous risks outside of our control. In addition, standards and processes for measuring and reporting carbon emissions and other sustainability metrics may change over time, and may result in inconsistent data, or could result in significant revisions to our strategies and targets, or our ability to achieve them. Our failure to achieve them or continue practices that meet evolving, and sometimes conflicting, stakeholder expectations in ESG could harm our reputation, adversely affect our ability to attract and retain employees or clients and expose us to increased scrutiny from investors and regulatory authorities.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failure to comply with complex U.S. and foreign laws and regulations could have a material adverse effect on our operations or financial condition. </w:t>
      </w:r>
      <w:r>
        <w:rPr>
          <w:rFonts w:ascii="Times New Roman" w:cs="Times New Roman" w:eastAsia="Times New Roman" w:hAnsi="Times New Roman"/>
          <w:sz w:val="18"/>
          <w:szCs w:val="18"/>
          <w:color w:val="auto"/>
        </w:rPr>
        <w:t>Our business and operations may be conducted in countries where corruption has historically penetrated the economy. It is our policy to comply, and to require our local partners, distributors, agents, and those with whom we do business to comply, with all applicable anti-bribery and anti-corruption laws, such as the U.S. Foreign Corrupt Practices Act, the UK Bribery Act, regulations established by the Office of Foreign Assets Control (OFAC) and with applicable local laws of the foreign countries in which we operate. There can be no assurance that all of our employees, contractors and agents will comply with the Company’s policies that mandate compliance with these laws. Any determination that we have violated or are responsible for violations of these laws, even if inadvertent, could be costly and disrupt our business, which could have a material adverse effect on our business, results of operations, financial condition, liquidity and cash flows, as well as on our reputation. For example, during the second half of 2018 we fully cooperated with a South African government commission established to review a wide range of issues related to the country’s revenue service, including the procurement and fulfillment of consulting agreements we entered into with the revenue service through a sales agent from late 2014 through early 2017. In parallel, we commenced an internal investigation regarding this matter. We voluntarily disclosed the matter to the SEC and Department of Justice (DOJ) in November 2018 and cooperated fully with their review. In May 2023, Gartner entered into a settlement agreement with the SEC, without admitting or denying the SEC’s allegations, which fully resolved this matter.</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continuously evolving data protection laws and regulations, such as the European Union General Data Protection Regulation (GDPR), the California Consumer Privacy Act (CCPA) and California Privacy Rights Act (CPRA), the Brazilian General Data Protection Law (LGPD), the Chinese Cybersecurity, Data Security and Personal Information laws and other new and proposed data protection laws, pose increasingly complex compliance challenges. We have implemented GDPR, CCPA, CPRA and LGPD compliance programs, as well as policies and processes to comply with the applicable Chinese data protection laws. In the meantime, Gartner will continue to maintain and rely upon our comprehensive global data protection compliance program, which includes administrative, technical, and physical controls to safeguard our associates’ and clients’ personal data. The interpretation and application of these laws in the United States, the EU, China and elsewhere are often uncertain, inconsistent and ever changing. Complying with these various laws could cause us to incur substantial costs or require us to change our business practices in a manner adverse to our business.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face risks related to litigation. </w:t>
      </w:r>
      <w:r>
        <w:rPr>
          <w:rFonts w:ascii="Times New Roman" w:cs="Times New Roman" w:eastAsia="Times New Roman" w:hAnsi="Times New Roman"/>
          <w:sz w:val="18"/>
          <w:szCs w:val="18"/>
          <w:color w:val="auto"/>
        </w:rPr>
        <w:t>We are, and in the future may be, subject to a variety of legal actions, such as employment, breach of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intellectual property-related, and business torts, including claims of unfair trade practices and misappropriation of trade secrets. Given the nature of our business, we are also subject to defamation (including libel and slander), negligence, or other claims relating to the information we publish. Regardless of the merits of any claim and despite vigorous efforts to defend any such claim, claims can affect our reputation, and responding to any such claim could be time consuming, result in costly litigation and require us to enter into settlements, royalty and licensing agreements which may not be offered or available on reasonable terms. If a claim is made against us that we cannot defend or resolve on reasonable terms, our business, brand, and financial results could be materially adversely affected.</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We face risks related to taxation</w:t>
      </w:r>
      <w:r>
        <w:rPr>
          <w:rFonts w:ascii="Times New Roman" w:cs="Times New Roman" w:eastAsia="Times New Roman" w:hAnsi="Times New Roman"/>
          <w:sz w:val="18"/>
          <w:szCs w:val="18"/>
          <w:color w:val="auto"/>
        </w:rPr>
        <w:t>. We are a global company and a substantial amount of our earnings is generated outside of the United States and taxed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other than the U.S. statutory federal income tax rate. Our effective tax rate, financial position and results of operations could be adversely affected by earnings being higher than anticipated in jurisdictions with higher statutory tax rates and, conversely, lower than anticipated in jurisdictions that have lower statutory tax rates, by changes in the valuation of our deferred tax assets and/or by changes in tax laws or accounting principles and their interpretation by relevant authorities. Corporate tax reform, base-erosion efforts and tax transparency continue to be high priorities in many countries. The Organization for Economic Co-operation and Development (“the OECD”) has issued various proposals that would change long-standing global tax principles. These proposals include a two-pillar approach to global taxation (BEPS 2.0/ Pillar Two), focusing on global profit allocation and a 15% global corporate minimum tax rate. In December 2022, the European Union adopted a directive requiring member states to incorporate similar provisions into their domestic laws, to be effective as of January 2024 and January 2025. In 2023, the OECD issued administrative guidance providing transition and safe harbor rules that may effectively delay the application of these legislative changes in certain countries until January 2027. Several countries in which Gartner does business have proposed or enacted new laws or are actively considering changes to their tax laws to align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with OECD proposals. Significant details around the provisions are still uncertain as the OECD and participating countries continue to work on defining the underlying rules and administrative procedures. Enactment of this and similar legislation could significantly increase our tax obligations in countries where we do business. These actual, potential, and other changes, both individually and collectively, could materially increase our effective tax rate and negatively impact our financial position, results of operations, and cash flows. We will continue to monitor and reflect the impact of such legislative changes in future financial statements as appropriate.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tax filings for various years are subject to examination by domestic and international taxing authorities and, during the ordinary course of business, we are under audit by various tax authorities. Recent and future actions on the part of the OECD and various governments have increased scrutiny of our tax filings. Although we believe that our tax filings and related accruals are reasonable, the final resolution of tax audits may be materially different from what is reflected in our historical tax provisions and accruals and could have a material adverse effect on our effective tax rate, financial position, results of operations, and cash flows.</w:t>
      </w:r>
    </w:p>
    <w:p>
      <w:pPr>
        <w:spacing w:after="0" w:line="2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Our corporate compliance program cannot guarantee that we are in compliance with all applicable laws and regulations. </w:t>
      </w:r>
      <w:r>
        <w:rPr>
          <w:rFonts w:ascii="Times New Roman" w:cs="Times New Roman" w:eastAsia="Times New Roman" w:hAnsi="Times New Roman"/>
          <w:sz w:val="17"/>
          <w:szCs w:val="17"/>
          <w:color w:val="auto"/>
        </w:rPr>
        <w:t>We operate in a number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countries, including emerging markets, and as a result we are required to comply with numerous, and in many cases, changing international and U.S. federal, state and local laws and regulations, including regulations relating to the ongoing Russia-Ukraine war. Accordingly, we have a corporate compliance program that includes the creation of appropriate policies defining employee behavior that mandate adherence to laws, employee training, annual affirmations, monitoring and enforcement. However, failure of any employee to comply with any of these laws, regulations or our policies, could result in a range of liabilities for the employee and for the Company, including, but not limited to, significant penalties and fines, sanctions and/or litigation, and the expenses associated with defending and resolving any of the foregoing, any of which could have a negative impact on our reputation and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implemented a layered cybersecurity program to assess, identify, and manage risks from cybersecurity threats that may result in material adverse</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effects on the confidentiality, integrity, and availability of our information systems, networks, and data systems. Our cybersecurity program is generally aligned with the National Institute of Standards and Technology (NIST) Cybersecurity Framework.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Security Team and Governance.</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Audit Committee has the primary responsibility of assisting our Board of Directors in overseeing risk related to cybersecurity matters. The Board and/or the Audit Committee receive quarterly cybersecurity-related reports from our Chief Information Officer (CIO), which may address a wide range of topics, such as: cybersecurity strategy, the threat environment, the status of ongoing information security program initiatives, and information security program metrics. Additionally, we have documented protocols by which certain cybersecurity incidents that meet established reporting thresholds are escalated within the Company and, where appropriate, reported to the Board and/or the Audit Committee.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management level, our CIO, who reports directly to the CEO, has over 20 years of experience serving in IT management, software development, and</w:t>
      </w:r>
    </w:p>
    <w:p>
      <w:pPr>
        <w:spacing w:after="0" w:line="3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technology-based roles across a variety of industries, including publishing, media and entertainment, and financial and insurance services. Our Chief Information Security Officer (CISO), who reports directly the CIO, has extensive cybersecurity knowledge and skills gained from over 15 years of work experience serving in security roles for the Company and a variety of financial service firms. Our CISO is responsible for understanding, managing, and communicating cybersecurity risk internally to our management, and works closely with Legal to oversee compliance with legal, regulatory, and contractual security requirements.</w:t>
      </w:r>
    </w:p>
    <w:p>
      <w:pPr>
        <w:spacing w:after="0" w:line="20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Our CISO heads the Information Security Team, which is responsible for implementing, monitoring, and maintaining cybersecurity and data protection practices across our business. The Information Security Team covers a wide range of cyber and information security responsibilities. Our CISO also receives reports on cybersecurity threats on an ongoing basis and regularly reviews risk management measures implemented by the Company to identify and mitigate cybersecurity risks. In addition to our internal capabilities, we also engage external consultants, legal counsel, or other third-party advisors to assist with assessing, identifying, and managing cybersecurity risks.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jc w:val="both"/>
        <w:spacing w:after="0" w:line="236" w:lineRule="auto"/>
        <w:rPr>
          <w:sz w:val="20"/>
          <w:szCs w:val="20"/>
          <w:color w:val="auto"/>
        </w:rPr>
      </w:pPr>
      <w:r>
        <w:rPr>
          <w:rFonts w:ascii="Times New Roman" w:cs="Times New Roman" w:eastAsia="Times New Roman" w:hAnsi="Times New Roman"/>
          <w:sz w:val="18"/>
          <w:szCs w:val="18"/>
          <w:color w:val="auto"/>
        </w:rPr>
        <w:t>Cybersecurity risk management, which involves resource commitments and management attention, is overseen both as a critical component of our overall risk management program and as a standalone program. We have implemented a risk-based, cross-functional approach to identifying, preventing, and mitigating cybersecurity threats and incidents, while also implementing controls and procedures that provide for the prompt escalation of certain cybersecurity incidents.</w:t>
      </w:r>
    </w:p>
    <w:p>
      <w:pPr>
        <w:spacing w:after="0" w:line="19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Our cybersecurity program uses a layered strategy, relying on technology and human processes to safeguard our client’s data at all layers. We embed controls within our business processes and technology development, starting with design and engineering and extending to operations. Our defense-in-depth strategy utilizes numerous layers of security controls, processes, and procedures across our information systems and networks, including but not limited to, vulnerability management, multi-factor authentication (MFA), identity access management (IAM), endpoint security, mobile security, application security, encryption, network security, web security, and event monitoring and logging. Aspects of our program undergo several independent third-party audits and reviews on a regular basis.</w:t>
      </w:r>
    </w:p>
    <w:p>
      <w:pPr>
        <w:spacing w:after="0" w:line="2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maintain a written Information Security Policy, which establishes the foundational components of our cybersecurity program and our high-level security responsibilities over all technologies, facilities and data. When engaging service providers and third-party vendors, we perform due diligence to assess whether these providers have appropriate privacy and security controls, and we generally require these providers to implement appropriate protective measures, and to use confidential information solely for the purposes of performing their services.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Additionally, we have adopted a documented Incident Response Plan that applies in the event of a cybersecurity incident to provide a standardized framework for response. In general, our incident response process follows the NIST 800-61 framework and focuses on four phases: preparation; detection and analysis; containment, eradication and recovery; and post-incident remediation.</w:t>
      </w:r>
    </w:p>
    <w:p>
      <w:pPr>
        <w:spacing w:after="0" w:line="2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implemented a security training and awareness program for all Gartner employees and third-party contractors. Employees receive security training in connection with onboarding as well as annual awareness and training activities throughout their employment. Further, Gartner carries cybersecurity insurance covering the company and its subsidiaries.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Cybersecurity Risks, Threats &amp; Incidents.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While we have not experienced any material cybersecurity threats or incidents, there can be no guarantee that we will not be the subject of future successful attacks, threats or incidents. Additional information on cybersecurity risks we face can be found in Part I, Item 1A “Risk Factors” of this Report under the heading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Strategic and Operational Risks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We are exposed to risks related to cybersecurity,</w:t>
      </w:r>
      <w:r>
        <w:rPr>
          <w:rFonts w:ascii="Times New Roman" w:cs="Times New Roman" w:eastAsia="Times New Roman" w:hAnsi="Times New Roman"/>
          <w:sz w:val="18"/>
          <w:szCs w:val="18"/>
          <w:color w:val="auto"/>
        </w:rPr>
        <w:t>” which should be read in conjunction with the foregoing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we leased approximately 15 domestic and 60 international office properties for our ongoing business operations. These offices, which exclude certain properties that we sublease to others, support our executive and administrative activities, research and consulting, sales, systems support, operations, and other functions. Our corporate office is based in Stamford, Connecticut. We also maintain an important presence in: Fort Myers, Florida; Arlington, Virginia; Egham, the United Kingdom; London, the United Kingdom; Gurgaon, India; Irving, Texas; and Barcelona, Spain. The Company does not own any real property.</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Stamford corporate headquarters is comprised of leased office space in two buildings located on the same campus. Our lease for the Stamford headquarters facility expires in 2027 and contains three five-year renewal options at fair value.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early 2022, we began to operate under a hybrid working environment, meaning that most of our employees have the option to work remotely at least some of the time for the foreseeable future. As a result, we believe our current real estate footprint is sufficient to support future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legal and administrative proceedings and litigation arising in the ordinary course of business. We believe that the potential liability, if any, in excess of amounts already accrued from all proceedings, claims and litigation will not have a material effect on our financial position, cash flows or results of operations when resolved in a future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“IT”. As of February 2, 2024, there were 923 holders of record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equity compensation plan information set forth in Part III, Item 12 of this Annual Report on Form 10-K is hereby incorporated by reference into this Part II, Item 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2015, our Board of Directors (the “Board”) authorized a share repurchase program to repurchase up to $1.2 billion of our common stock. The Board authorized incremental share repurchases of up to an additional $1.6 billion, $1.0 billion and $0.9 billion of the Company’s common stock during 2021, 2022 and 2023, respectively. The Company adopted its Share Repurchase Plan with the goal of returning excess capital to shareholders in accordance with its capital allocation policy.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The table below summarizes the repurchases of our common stock during the three months ended December 31, 2023 pursuant to our share repurchase program and the settlement of stock-based compensation awards.</w:t>
      </w:r>
    </w:p>
    <w:tbl>
      <w:tblPr>
        <w:tblLayout w:type="fixed"/>
        <w:tblInd w:w="0" w:type="dxa"/>
        <w:tblCellMar>
          <w:top w:w="0" w:type="dxa"/>
          <w:left w:w="0" w:type="dxa"/>
          <w:bottom w:w="0" w:type="dxa"/>
          <w:right w:w="0" w:type="dxa"/>
        </w:tblCellMar>
      </w:tblPr>
      <w:tr>
        <w:trPr>
          <w:trHeight w:val="199"/>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jc w:val="center"/>
              <w:ind w:right="30"/>
              <w:spacing w:after="0" w:line="199" w:lineRule="exact"/>
              <w:rPr>
                <w:sz w:val="20"/>
                <w:szCs w:val="20"/>
                <w:color w:val="auto"/>
              </w:rPr>
            </w:pPr>
            <w:r>
              <w:rPr>
                <w:rFonts w:ascii="Times New Roman" w:cs="Times New Roman" w:eastAsia="Times New Roman" w:hAnsi="Times New Roman"/>
                <w:sz w:val="18"/>
                <w:szCs w:val="18"/>
                <w:b w:val="1"/>
                <w:bCs w:val="1"/>
                <w:color w:val="auto"/>
                <w:w w:val="99"/>
              </w:rPr>
              <w:t>Maximum Approximate</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3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7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Dollar Value of Shares That</w:t>
            </w: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7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Under Announced</w:t>
            </w:r>
          </w:p>
        </w:tc>
        <w:tc>
          <w:tcPr>
            <w:tcW w:w="120" w:type="dxa"/>
            <w:vAlign w:val="bottom"/>
          </w:tcPr>
          <w:p>
            <w:pPr>
              <w:spacing w:after="0"/>
              <w:rPr>
                <w:sz w:val="16"/>
                <w:szCs w:val="16"/>
                <w:color w:val="auto"/>
              </w:rPr>
            </w:pPr>
          </w:p>
        </w:tc>
        <w:tc>
          <w:tcPr>
            <w:tcW w:w="23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May Yet Be Purchased Under</w:t>
            </w:r>
          </w:p>
        </w:tc>
        <w:tc>
          <w:tcPr>
            <w:tcW w:w="0" w:type="dxa"/>
            <w:vAlign w:val="bottom"/>
          </w:tcPr>
          <w:p>
            <w:pPr>
              <w:spacing w:after="0"/>
              <w:rPr>
                <w:sz w:val="1"/>
                <w:szCs w:val="1"/>
                <w:color w:val="auto"/>
              </w:rPr>
            </w:pPr>
          </w:p>
        </w:tc>
      </w:tr>
      <w:tr>
        <w:trPr>
          <w:trHeight w:val="175"/>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0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3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Paid Per Share</w:t>
            </w:r>
          </w:p>
        </w:tc>
        <w:tc>
          <w:tcPr>
            <w:tcW w:w="1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the Plans or Programs</w:t>
            </w:r>
          </w:p>
        </w:tc>
        <w:tc>
          <w:tcPr>
            <w:tcW w:w="0" w:type="dxa"/>
            <w:vAlign w:val="bottom"/>
          </w:tcPr>
          <w:p>
            <w:pPr>
              <w:spacing w:after="0"/>
              <w:rPr>
                <w:sz w:val="1"/>
                <w:szCs w:val="1"/>
                <w:color w:val="auto"/>
              </w:rPr>
            </w:pPr>
          </w:p>
        </w:tc>
      </w:tr>
      <w:tr>
        <w:trPr>
          <w:trHeight w:val="243"/>
        </w:trPr>
        <w:tc>
          <w:tcPr>
            <w:tcW w:w="4160" w:type="dxa"/>
            <w:vAlign w:val="bottom"/>
            <w:gridSpan w:val="2"/>
            <w:vMerge w:val="continue"/>
          </w:tcPr>
          <w:p>
            <w:pPr>
              <w:spacing w:after="0"/>
              <w:rPr>
                <w:sz w:val="21"/>
                <w:szCs w:val="21"/>
                <w:color w:val="auto"/>
              </w:rPr>
            </w:pP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 to October 31, 2023 (1)</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298,097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338.40</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297,247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1,010,159</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2023 to November 30, 2023</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107,493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370.36</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987,098</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2023 to December 31, 2023</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987,098</w:t>
            </w:r>
          </w:p>
        </w:tc>
        <w:tc>
          <w:tcPr>
            <w:tcW w:w="0" w:type="dxa"/>
            <w:vAlign w:val="bottom"/>
          </w:tcPr>
          <w:p>
            <w:pPr>
              <w:spacing w:after="0"/>
              <w:rPr>
                <w:sz w:val="1"/>
                <w:szCs w:val="1"/>
                <w:color w:val="auto"/>
              </w:rPr>
            </w:pPr>
          </w:p>
        </w:tc>
      </w:tr>
      <w:tr>
        <w:trPr>
          <w:trHeight w:val="223"/>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for the quarter (2)</w:t>
            </w:r>
          </w:p>
        </w:tc>
        <w:tc>
          <w:tcPr>
            <w:tcW w:w="14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411,629</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348.49</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362,395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line="261"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31, 2023, the Company's Board of Directors authorized incremental share repurchases of up to an additional $500.0 million of Gartner's common stock.</w:t>
      </w:r>
    </w:p>
    <w:p>
      <w:pPr>
        <w:ind w:left="340" w:hanging="332"/>
        <w:spacing w:after="0" w:line="260"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repurchased shares during the three months ended December 31, 2023 included purchases for both the settlement of stock-based compensation awards and open market purchases. All amounts presented are exclusive of the excise tax accrual.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purpose of this Management’s Discussion and Analysis (“MD&amp;A”) is to facilitate an understanding of significant factors influencing the operating results, financial condition and cash flows of Gartner, Inc. Additionally, the MD&amp;A conveys our expectations of the potential impact of known trends, events or uncertainties that may impact future results. You should read this discussion in conjunction with our consolidated financial statements and related notes included in this Annual Report on Form 10-K. Historical results and percentage relationships are not necessarily indicative of operating results for future periods. References to “Gartner,” the “Company,” “we,” “our” and “us” in this MD&amp;A are to Gartner,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This MD&amp;A provides an analysis of our consolidated financial results, segment results and cash flows for 2023 and 2022 under the headings “Results of Operations,” “Segment Results” and “Liquidity and Capital Resources.” For a similar detailed discussion comparing 2022 and 2021, refer to those headings under Item 7., “Management’s Discussion and Analysis of Financial Condition and Results of Operations,” in our Annual Report on Form 10-K for the year ended December 31, 2022.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GAAP results, we provide foreign currency neutral dollar amounts and percentages for our revenues, certain expenses, contract values and other metrics. These foreign currency neutral dollar amounts and percentages eliminate the effects of exchange rate fluctuations and thus provide a more accurate and meaningful trend in the underlying data being measured. We calculate foreign currency neutral dollar amounts by converting the underlying amounts in local currency for different periods into U.S. dollars by applying the same foreign exchange rates to all periods presented.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historical information, this Annual Report on Form 10-K contains certain forward-looking statements within the meaning of Section 27A of the Securities Act of 1933, as amended, and Section 21E of the Securities Exchange Act of 1934, as amended. Forward-looking statements are any statements other than statements of historical fact, including statements regarding our expectations, beliefs, hopes, intentions, projections or strategies regarding the future. In some cases, forward-looking statements can be identified by the use of words such as “may,” “will,” “expect,” “should,” “could,” “believe,” “plan,” “anticipate,” “estimate,” “predict,” “potential,” “continue” or other words of similar meaning.</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that involves numerous known and unknown risks and uncertainties, some of which are beyond our control. Although we believe that the expectations reflected in any of our forward-looking statements are reasonable, actual results could differ materially from those projected or assumed in any of our forward-looking statements. Our future quarterly and annual revenues, operating income, results of operations and cash flows, as well as any forward-looking statement, are subject to change and to inherent risks and uncertainties, such as those disclosed or incorporated by reference in our filings with the Securities and Exchange Commission. Important factors that could cause our actual results, performance and achievements, or industry results to differ materially from estimates or projections contained in our forward-looking statements include, among others, the following: the impact of general economic conditions, including inflation (and related monetary policy by governments in response to inflation), on economic activity and our operations; changes in macroeconomic and market conditions and market volatility, including interest rates and the effect on the credit markets and access to capital; the impact of global economic and geopolitical conditions, including inflation, and recession; our ability to carry out our strategic initiatives and manage associated costs; our ability to recover potential claims under our event cancellation insurance; the timing of conferences and meetings, in particular our Gartner Symposium/Xpo series that normally occurs during the fourth quarter; our ability to achieve and effectively manage growth, including our ability to integrate our acquisitions and consummate and integrate future acquisitions; our ability to pay our debt obligations; our ability to maintain and expand our products and services; our ability to expand or retain our customer base; our ability to grow or sustain revenue from individual customers; our ability to attract and retain a professional staff of research analysts and consultants as well as experienced sales personnel upon whom we are dependent, especially in light of labor competition; our ability to achieve continued customer renewals and achieve new contract value, backlog and deferred revenue growth in light of competitive pressures; our ability to successfully compete with existing competitors and potential new competitors; our ability to enforce and protect our intellectual property rights; our ability to keep pace with technological developments in artificial intelligence; additional risks associated with international operations, including foreign currency fluctuations; the impact on our business resulting from changes in international conditions, including those resulting from the conflict in the Middle East, the war in Ukraine and current and future sanctions imposed by governments or other authorities; the impact of restructuring and other charges on our businesses and operations; cybersecurity incidents; risks associated with the creditworthiness, budget cuts, and shutdown of governments and agencies; our ability to meet ESG commitments; the impact of changes in tax policy (including global minimum tax legislation) and heightened scrutiny from various taxing authorities globally; changes to laws and regulations; and other risks and uncertainties. The potential fluctuations in our operating income could cause period-to-period comparisons of operating results not to be meaningful and could provide an unreliable indication of future operating results. A description of the risk factors associated with our business is included under “Risk Factors” in Item 1A. of this Annual Report on Form 10-K, which is incorporated herein by reference.</w:t>
      </w:r>
    </w:p>
    <w:p>
      <w:pPr>
        <w:spacing w:after="0" w:line="21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Forward-looking statements are subject to risks, estimates and uncertainties that could cause actual results to differ materially from those discussed in, or implied by, the forward-looking statements. Factors that might cause such a difference include, but are not limited to, those listed above or described under “Risk Factors” in Item 1A of this Annual Report on Form 10-K. In addition, historical, current and forward-looking sustainability-related statements may be based on standards for measuring progress that are still developing, internal controls and processes that continue to evolve, and assumptions that are subject to change in the future. Readers should not place undue reliance on these forward-looking statements, which reflect management’s opinion only as of the date on which they were made. Forward-looking statements in this Annual Report on Form 10-K speak</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spacing w:after="0" w:line="250" w:lineRule="auto"/>
        <w:rPr>
          <w:sz w:val="20"/>
          <w:szCs w:val="20"/>
          <w:color w:val="auto"/>
        </w:rPr>
      </w:pPr>
      <w:r>
        <w:rPr>
          <w:rFonts w:ascii="Times New Roman" w:cs="Times New Roman" w:eastAsia="Times New Roman" w:hAnsi="Times New Roman"/>
          <w:sz w:val="18"/>
          <w:szCs w:val="18"/>
          <w:color w:val="auto"/>
        </w:rPr>
        <w:t>only as of the date hereof, and forward-looking statements in documents attached that are incorporated by reference speak only as of the date of those documents. Except as required by law, we disclaim any obligation to review or update these forward-looking statements to reflect events or circumstances as they occur.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Gartner, Inc. (NYSE: IT) delivers actionable, objective insight that drives smarter decisions and stronger performance on an organization’s mission-critical priorities.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trusted advisor and an objective resource for close to 15,000 enterprises in approximately 90 countries and territories — across all major functions, in every industry and enterprise size.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Gartner delivers its products and services globally through three business segments – Research, Conferences and Consulting, as described below.</w:t>
      </w:r>
    </w:p>
    <w:p>
      <w:pPr>
        <w:spacing w:after="0" w:line="248" w:lineRule="exact"/>
        <w:rPr>
          <w:sz w:val="20"/>
          <w:szCs w:val="20"/>
          <w:color w:val="auto"/>
        </w:rPr>
      </w:pPr>
    </w:p>
    <w:p>
      <w:pPr>
        <w:jc w:val="both"/>
        <w:ind w:left="340" w:hanging="332"/>
        <w:spacing w:after="0" w:line="268" w:lineRule="auto"/>
        <w:tabs>
          <w:tab w:leader="none" w:pos="33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Research </w:t>
      </w:r>
      <w:r>
        <w:rPr>
          <w:rFonts w:ascii="Times New Roman" w:cs="Times New Roman" w:eastAsia="Times New Roman" w:hAnsi="Times New Roman"/>
          <w:sz w:val="18"/>
          <w:szCs w:val="18"/>
          <w:color w:val="auto"/>
        </w:rPr>
        <w:t>equips executives and their teams from every function and across all industries with actionable, objective insight, guidance and tools.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experienced experts deliver all this value informed by a combination of practitioner-sourced and data-driven research to help our clients address their mission critical priorities.</w:t>
      </w:r>
    </w:p>
    <w:p>
      <w:pPr>
        <w:spacing w:after="0" w:line="211" w:lineRule="exact"/>
        <w:rPr>
          <w:rFonts w:ascii="Times New Roman" w:cs="Times New Roman" w:eastAsia="Times New Roman" w:hAnsi="Times New Roman"/>
          <w:sz w:val="18"/>
          <w:szCs w:val="18"/>
          <w:b w:val="1"/>
          <w:bCs w:val="1"/>
          <w:color w:val="auto"/>
        </w:rPr>
      </w:pPr>
    </w:p>
    <w:p>
      <w:pPr>
        <w:jc w:val="both"/>
        <w:ind w:left="340" w:hanging="332"/>
        <w:spacing w:after="0" w:line="254" w:lineRule="auto"/>
        <w:tabs>
          <w:tab w:leader="none" w:pos="328" w:val="left"/>
        </w:tabs>
        <w:numPr>
          <w:ilvl w:val="0"/>
          <w:numId w:val="9"/>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i w:val="1"/>
          <w:iCs w:val="1"/>
          <w:color w:val="auto"/>
        </w:rPr>
        <w:t xml:space="preserve">Conferences </w:t>
      </w:r>
      <w:r>
        <w:rPr>
          <w:rFonts w:ascii="Times New Roman" w:cs="Times New Roman" w:eastAsia="Times New Roman" w:hAnsi="Times New Roman"/>
          <w:sz w:val="18"/>
          <w:szCs w:val="18"/>
          <w:color w:val="auto"/>
        </w:rPr>
        <w:t>provides executives and teams across an organization the opportunity to learn, share and network. From our Gartner Symposium/Xpo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to industry-leading conferences focused on specific business roles and topics, to peer-driven sessions, our offerings enable attendees to experience the best of Gartner insight and guidance.</w:t>
      </w:r>
    </w:p>
    <w:p>
      <w:pPr>
        <w:spacing w:after="0" w:line="209" w:lineRule="exact"/>
        <w:rPr>
          <w:rFonts w:ascii="Arial" w:cs="Arial" w:eastAsia="Arial" w:hAnsi="Arial"/>
          <w:sz w:val="20"/>
          <w:szCs w:val="20"/>
          <w:b w:val="1"/>
          <w:bCs w:val="1"/>
          <w:color w:val="auto"/>
        </w:rPr>
      </w:pPr>
    </w:p>
    <w:p>
      <w:pPr>
        <w:jc w:val="both"/>
        <w:ind w:left="340" w:hanging="332"/>
        <w:spacing w:after="0" w:line="268" w:lineRule="auto"/>
        <w:tabs>
          <w:tab w:leader="none" w:pos="33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Consulting </w:t>
      </w:r>
      <w:r>
        <w:rPr>
          <w:rFonts w:ascii="Times New Roman" w:cs="Times New Roman" w:eastAsia="Times New Roman" w:hAnsi="Times New Roman"/>
          <w:sz w:val="18"/>
          <w:szCs w:val="18"/>
          <w:color w:val="auto"/>
        </w:rPr>
        <w:t>serves senior executives leading technology-driven strategic initiatives leveraging the power of Gartner’s actionable, objective insight.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custom analysis and on-the-ground support we enable optimized technology investments and stronger performance on our clients’ mission critical priorities.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2023, we completed the sale of a non-core business, TalentNeuron, for approximately $161.1 million after considerations of post-close adjustments. TalentNeuron was included in the Company’s Research segment. $161.1 million cash was received from the sale during the year ended December 31, 2023. We recognized a pre-tax gain of $135.4 million on the sale of TalentNeuron, which is included in Gain from sale of divested operation in the Consolidated Statement of Operations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BUSINESS MEASUREMENTS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business measurements are important performance indicators for our business segments: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8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c>
          <w:tcPr>
            <w:tcW w:w="0" w:type="dxa"/>
            <w:vAlign w:val="bottom"/>
          </w:tcPr>
          <w:p>
            <w:pPr>
              <w:spacing w:after="0"/>
              <w:rPr>
                <w:sz w:val="1"/>
                <w:szCs w:val="1"/>
                <w:color w:val="auto"/>
              </w:rPr>
            </w:pPr>
          </w:p>
        </w:tc>
      </w:tr>
      <w:tr>
        <w:trPr>
          <w:trHeight w:val="21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Contract value </w:t>
            </w:r>
            <w:r>
              <w:rPr>
                <w:rFonts w:ascii="Times New Roman" w:cs="Times New Roman" w:eastAsia="Times New Roman" w:hAnsi="Times New Roman"/>
                <w:sz w:val="18"/>
                <w:szCs w:val="18"/>
                <w:color w:val="auto"/>
              </w:rPr>
              <w:t>represents the dollar value attributable to all of our subscription-related contracts. It is calculated as</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annualized value of all contracts in effect at a specific point in time, without regard to the duration of the contract.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value primarily includes Research deliverables for which revenue is recognized on a ratable basis, as well as</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deliverables (primarily Conferences tickets) for which revenue is recognized when the deliverable is utilized.</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Comparing contract value year-over-year not only measures the short-term growth of our business, but also signals</w:t>
            </w:r>
          </w:p>
        </w:tc>
        <w:tc>
          <w:tcPr>
            <w:tcW w:w="0" w:type="dxa"/>
            <w:vAlign w:val="bottom"/>
          </w:tcPr>
          <w:p>
            <w:pPr>
              <w:spacing w:after="0"/>
              <w:rPr>
                <w:sz w:val="1"/>
                <w:szCs w:val="1"/>
                <w:color w:val="auto"/>
              </w:rPr>
            </w:pPr>
          </w:p>
        </w:tc>
      </w:tr>
      <w:tr>
        <w:trPr>
          <w:trHeight w:val="212"/>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long-term health of our Research subscription business since it measures revenue that is highly likely to recur</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over a multi-year period. Our contract value consists of </w:t>
            </w:r>
            <w:r>
              <w:rPr>
                <w:rFonts w:ascii="Times New Roman" w:cs="Times New Roman" w:eastAsia="Times New Roman" w:hAnsi="Times New Roman"/>
                <w:sz w:val="18"/>
                <w:szCs w:val="18"/>
                <w:b w:val="1"/>
                <w:bCs w:val="1"/>
                <w:color w:val="auto"/>
              </w:rPr>
              <w:t>Global Technology Sales</w:t>
            </w:r>
            <w:r>
              <w:rPr>
                <w:rFonts w:ascii="Times New Roman" w:cs="Times New Roman" w:eastAsia="Times New Roman" w:hAnsi="Times New Roman"/>
                <w:sz w:val="18"/>
                <w:szCs w:val="18"/>
                <w:color w:val="auto"/>
              </w:rPr>
              <w:t xml:space="preserve"> contract value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includes</w:t>
            </w:r>
          </w:p>
        </w:tc>
        <w:tc>
          <w:tcPr>
            <w:tcW w:w="0" w:type="dxa"/>
            <w:vAlign w:val="bottom"/>
          </w:tcPr>
          <w:p>
            <w:pPr>
              <w:spacing w:after="0"/>
              <w:rPr>
                <w:sz w:val="1"/>
                <w:szCs w:val="1"/>
                <w:color w:val="auto"/>
              </w:rPr>
            </w:pPr>
          </w:p>
        </w:tc>
      </w:tr>
      <w:tr>
        <w:trPr>
          <w:trHeight w:val="220"/>
        </w:trPr>
        <w:tc>
          <w:tcPr>
            <w:tcW w:w="2660" w:type="dxa"/>
            <w:vAlign w:val="bottom"/>
          </w:tcPr>
          <w:p>
            <w:pPr>
              <w:spacing w:after="0"/>
              <w:rPr>
                <w:sz w:val="19"/>
                <w:szCs w:val="19"/>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sales to users and providers of technology, and </w:t>
            </w:r>
            <w:r>
              <w:rPr>
                <w:rFonts w:ascii="Times New Roman" w:cs="Times New Roman" w:eastAsia="Times New Roman" w:hAnsi="Times New Roman"/>
                <w:sz w:val="18"/>
                <w:szCs w:val="18"/>
                <w:b w:val="1"/>
                <w:bCs w:val="1"/>
                <w:color w:val="auto"/>
              </w:rPr>
              <w:t>Global Business Sales</w:t>
            </w:r>
            <w:r>
              <w:rPr>
                <w:rFonts w:ascii="Times New Roman" w:cs="Times New Roman" w:eastAsia="Times New Roman" w:hAnsi="Times New Roman"/>
                <w:sz w:val="18"/>
                <w:szCs w:val="18"/>
                <w:color w:val="auto"/>
              </w:rPr>
              <w:t xml:space="preserve"> contract value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includes sales to all</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functional leaders.</w:t>
            </w:r>
          </w:p>
        </w:tc>
        <w:tc>
          <w:tcPr>
            <w:tcW w:w="0" w:type="dxa"/>
            <w:vAlign w:val="bottom"/>
          </w:tcPr>
          <w:p>
            <w:pPr>
              <w:spacing w:after="0"/>
              <w:rPr>
                <w:sz w:val="1"/>
                <w:szCs w:val="1"/>
                <w:color w:val="auto"/>
              </w:rPr>
            </w:pPr>
          </w:p>
        </w:tc>
      </w:tr>
      <w:tr>
        <w:trPr>
          <w:trHeight w:val="414"/>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Client retention rate </w:t>
            </w:r>
            <w:r>
              <w:rPr>
                <w:rFonts w:ascii="Times New Roman" w:cs="Times New Roman" w:eastAsia="Times New Roman" w:hAnsi="Times New Roman"/>
                <w:sz w:val="18"/>
                <w:szCs w:val="18"/>
                <w:color w:val="auto"/>
              </w:rPr>
              <w:t>represents a measure of client satisfaction and renewed business relationships at a specific</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 in time. Client retention is calculated on a percentage basis by dividing our current clients, who were also</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clients a year ago, by all clients from a year ago. Client retention is calculated at an enterprise level, which represents</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single company or customer.</w:t>
            </w:r>
          </w:p>
        </w:tc>
        <w:tc>
          <w:tcPr>
            <w:tcW w:w="0" w:type="dxa"/>
            <w:vAlign w:val="bottom"/>
          </w:tcPr>
          <w:p>
            <w:pPr>
              <w:spacing w:after="0"/>
              <w:rPr>
                <w:sz w:val="1"/>
                <w:szCs w:val="1"/>
                <w:color w:val="auto"/>
              </w:rPr>
            </w:pPr>
          </w:p>
        </w:tc>
      </w:tr>
      <w:tr>
        <w:trPr>
          <w:trHeight w:val="414"/>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Wallet retention rate </w:t>
            </w:r>
            <w:r>
              <w:rPr>
                <w:rFonts w:ascii="Times New Roman" w:cs="Times New Roman" w:eastAsia="Times New Roman" w:hAnsi="Times New Roman"/>
                <w:sz w:val="18"/>
                <w:szCs w:val="18"/>
                <w:color w:val="auto"/>
              </w:rPr>
              <w:t>represents a measure of the amount of contract value we have retained with clients over a</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twelve-month period. Wallet retention is calculated on a percentage basis by dividing the contract value of our current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clients, who were also clients a year ago, by the contract value from a year ago, excluding the impact of foreign</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exchange. When wallet retention exceeds client retention, it is an indication of retention of higher-spending</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clients, or increased spending by retained clients, or both. Wallet retention is calculated at an enterprise level, which</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represents a single company or customer.</w:t>
            </w:r>
          </w:p>
        </w:tc>
        <w:tc>
          <w:tcPr>
            <w:tcW w:w="0" w:type="dxa"/>
            <w:vAlign w:val="bottom"/>
          </w:tcPr>
          <w:p>
            <w:pPr>
              <w:spacing w:after="0"/>
              <w:rPr>
                <w:sz w:val="1"/>
                <w:szCs w:val="1"/>
                <w:color w:val="auto"/>
              </w:rPr>
            </w:pPr>
          </w:p>
        </w:tc>
      </w:tr>
      <w:tr>
        <w:trPr>
          <w:trHeight w:val="41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Number of destination conferences </w:t>
            </w:r>
            <w:r>
              <w:rPr>
                <w:rFonts w:ascii="Times New Roman" w:cs="Times New Roman" w:eastAsia="Times New Roman" w:hAnsi="Times New Roman"/>
                <w:sz w:val="18"/>
                <w:szCs w:val="18"/>
                <w:color w:val="auto"/>
              </w:rPr>
              <w:t>represents the total number of hosted virtual or in-person conferences</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completed during the period. Single day, local meetings are excluded.</w:t>
            </w:r>
          </w:p>
        </w:tc>
        <w:tc>
          <w:tcPr>
            <w:tcW w:w="0" w:type="dxa"/>
            <w:vAlign w:val="bottom"/>
          </w:tcPr>
          <w:p>
            <w:pPr>
              <w:spacing w:after="0"/>
              <w:rPr>
                <w:sz w:val="1"/>
                <w:szCs w:val="1"/>
                <w:color w:val="auto"/>
              </w:rPr>
            </w:pPr>
          </w:p>
        </w:tc>
      </w:tr>
      <w:tr>
        <w:trPr>
          <w:trHeight w:val="414"/>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Number of destination conferences attendees </w:t>
            </w:r>
            <w:r>
              <w:rPr>
                <w:rFonts w:ascii="Times New Roman" w:cs="Times New Roman" w:eastAsia="Times New Roman" w:hAnsi="Times New Roman"/>
                <w:sz w:val="18"/>
                <w:szCs w:val="18"/>
                <w:color w:val="auto"/>
              </w:rPr>
              <w:t>represents the total number of people who attend virtual or in-person</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conferences. Single day, local meetings are excluded.</w:t>
            </w:r>
          </w:p>
        </w:tc>
        <w:tc>
          <w:tcPr>
            <w:tcW w:w="0" w:type="dxa"/>
            <w:vAlign w:val="bottom"/>
          </w:tcPr>
          <w:p>
            <w:pPr>
              <w:spacing w:after="0"/>
              <w:rPr>
                <w:sz w:val="1"/>
                <w:szCs w:val="1"/>
                <w:color w:val="auto"/>
              </w:rPr>
            </w:pPr>
          </w:p>
        </w:tc>
      </w:tr>
      <w:tr>
        <w:trPr>
          <w:trHeight w:val="189"/>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8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60" w:type="dxa"/>
            <w:vAlign w:val="bottom"/>
            <w:vMerge w:val="continue"/>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Consulting backlog </w:t>
            </w:r>
            <w:r>
              <w:rPr>
                <w:rFonts w:ascii="Times New Roman" w:cs="Times New Roman" w:eastAsia="Times New Roman" w:hAnsi="Times New Roman"/>
                <w:sz w:val="18"/>
                <w:szCs w:val="18"/>
                <w:color w:val="auto"/>
              </w:rPr>
              <w:t>represents future revenue to be derived from in-process consulting and benchmark analytics</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engagements.</w:t>
            </w:r>
          </w:p>
        </w:tc>
        <w:tc>
          <w:tcPr>
            <w:tcW w:w="0" w:type="dxa"/>
            <w:vAlign w:val="bottom"/>
          </w:tcPr>
          <w:p>
            <w:pPr>
              <w:spacing w:after="0"/>
              <w:rPr>
                <w:sz w:val="1"/>
                <w:szCs w:val="1"/>
                <w:color w:val="auto"/>
              </w:rPr>
            </w:pPr>
          </w:p>
        </w:tc>
      </w:tr>
      <w:tr>
        <w:trPr>
          <w:trHeight w:val="414"/>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Utilization rate </w:t>
            </w:r>
            <w:r>
              <w:rPr>
                <w:rFonts w:ascii="Times New Roman" w:cs="Times New Roman" w:eastAsia="Times New Roman" w:hAnsi="Times New Roman"/>
                <w:sz w:val="18"/>
                <w:szCs w:val="18"/>
                <w:color w:val="auto"/>
              </w:rPr>
              <w:t>represents a measure of productivity of our consultants. Utilization rates are calculated for billable</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headcount on a percentage basis by dividing total hours billed by total hours available to bill.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EXECUTIVE SUMMARY OF OPERATIONS AND FINANCIAL POSITION</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fundamentals of our strategy include a focus on creating actionable insights for executive leaders and their teams, delivering innovative and highly differentiated product offerings, building a strong sales capability, providing world class client service with a focus on client engagement and retention, and continuously improving our operational effectiveness.</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total revenues of $5.9 billion in 2023, an increase of 8% compared to 2022 on both a reported basis and excluding the foreign currency impact. Net income increased to $882.5 million in 2023 from $807.8 million in 2022 and diluted earnings per share was $11.08 in 2023 compared to $9.96 in 2022.</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Research revenues increased to $4.9 billion in 2023, an increase of 6% compared to 2022 on both a reported basis and excluding the foreign currency impact. The Research gross contribution margin was 74% in both 2023 and 2022. Contract value was $4.8 billion at December 31, 2023, an increase of 8% compared to December 31, 2022 on a foreign currency neutral basis.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Conferences revenues increased to $505.2 million in 2023, an increase of 30% compared to 2022 on a reported basis and 29% excluding the foreign currency impact. The Conferences gross contribution margin was 50% and 54% in 2023 and 2022, respectively. We held 47 in-person conferences in 2023, and 25 in-person and 16 virtual conferences in 2022.</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Consulting revenues increased to $514.7 million in 2023, an increase of 7% compared to 2022 on a reported basis and 8% excluding the foreign currency impact. The Consulting gross contribution margin was 35% and 39% in 2023 and 2022, respectively. Backlog was $162.1 million at December 31, 2023.</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was $1.2 billion and $1.1 billion during 2023 and 2022, respectively. As of December 31, 2023, we had $1.3 billion of cash and cash equivalents and approximately $1.0 billion of available borrowing capacity on our revolving credit facility. During 2023, we repurchased 1.8 million shares of the Company’s common stock for an aggregate purchase price of approximately $0.6 billion.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the application of appropriate accounting policies and the use of estimates. Our significant accounting policies are described in Note 1 — Business and Significant Accounting Policies in the Notes to Consolidated Financial Statements. Management considers the policies discussed below to be critical to an understanding of our consolidated financial statements because their application requires complex and subjective management judgments and estimates. Specific risks for these critical accounting policies are also described below.</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assumptions about future events. We develop our estimates using both current and historical experience, as well as other factors, including the general economic environment and actions we may take in the future. We adjust such estimates when facts and circumstances dictate. However, our estimates may involve significant uncertainties and judgments and cannot be determined with precision. In addition, these estimates are based on our best judgment at a point in time and, as such, they may ultimately differ materially from actual results. Ongoing changes in our estimates could be material and would be reflected in the Company’s consolidated financial statements in future periods.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and estimates are described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Our revenue by significant source is accounted for as follows:</w:t>
      </w:r>
    </w:p>
    <w:p>
      <w:pPr>
        <w:spacing w:after="0" w:line="256" w:lineRule="exact"/>
        <w:rPr>
          <w:sz w:val="20"/>
          <w:szCs w:val="20"/>
          <w:color w:val="auto"/>
        </w:rPr>
      </w:pPr>
    </w:p>
    <w:p>
      <w:pPr>
        <w:jc w:val="both"/>
        <w:ind w:left="340" w:hanging="332"/>
        <w:spacing w:after="0" w:line="266"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revenues are mainly derived from subscription contracts for research products. The related revenues are deferred and recognized ratably over the applicable contract term. Fees derived from assisting organizations in selecting the right business software for their needs are recognized when the leads are provided to vendors.</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Conferences revenues are deferred and recognized upon the completion of the related conference or meeting.</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revenues are principally generated from fixed fee or time and materials engagements. Revenues from fixed fee contracts are recognized as we work to satisfy our performance obligations. Revenues from time and materials engagements are recognized as work is delivered and/or services are provided. Revenues related to contract optimization engagements are contingent in nature and are only recognized upon satisfaction of all conditions related to their payment.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our Research contracts are billable upon signing, absent special terms granted on a limited basis from time to time. Research contracts are generally non-cancelable and non-refundable, except for government contracts that may have cancellation or fiscal funding clauses. It is our policy to record the amount of a subscription contract that is billable as a fee receivable at the time the contract is signed with a corresponding amount as deferred revenue because the contract represents a legally enforceable claim.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1 — Business and Significant Accounting Policies and Note 9 — Revenue and Related Matters in the Notes to Consolidated Financial Statements provide additional information regarding our revenues.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Accounting for income taxes </w:t>
      </w:r>
      <w:r>
        <w:rPr>
          <w:rFonts w:ascii="Times New Roman" w:cs="Times New Roman" w:eastAsia="Times New Roman" w:hAnsi="Times New Roman"/>
          <w:sz w:val="18"/>
          <w:szCs w:val="18"/>
          <w:color w:val="auto"/>
        </w:rPr>
        <w:t>— We use the asset and liability method of accounting for income taxes. We estimate our income taxes in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jurisdictions where we operate. This process involves estimating our current tax expense or benefit together with assessing temporary differences resulting from differing treatment of items for tax and accounting purposes. These differences result in deferred tax assets and liabilities, which are included in our consolidated balance sheets. When assessing the realizability of deferred tax assets, we consider if it is more likely than not that some or all of the deferred tax assets will not be realized. In making this assessment, we consider the availability of loss carryforwards, projected reversals of deferred tax liabilities, projected future taxable income, and ongoing prudent and feasible tax planning strategies. The Company recognizes the tax benefit from an uncertain tax position only if it is more likely than not that the tax position will be sustained based on the technical merits of the position. Recognized tax positions are measured at the largest amount of benefit with greater than a 50% likelihood of being realized. We use estimates in determining the amount of unrecognized tax benefits associated with uncertain tax positions. Significant judgment is required in evaluating tax law and measuring the benefits likely to be realized. Uncertain tax positions are periodically re-evaluated and adjusted as more information about their ultimate realization becomes available.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Accounting for stock-based compensation </w:t>
      </w:r>
      <w:r>
        <w:rPr>
          <w:rFonts w:ascii="Times New Roman" w:cs="Times New Roman" w:eastAsia="Times New Roman" w:hAnsi="Times New Roman"/>
          <w:sz w:val="18"/>
          <w:szCs w:val="18"/>
          <w:color w:val="auto"/>
        </w:rPr>
        <w:t>— We account for stock-based compensation awards in accordance with FASB ASC Topics 505 and 718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 Staff Accounting Bulletins No. 107 and No. 110. We recognize stock-based compensation expense, which is based on the fair value of the award on the date of grant, over the related service period. Note 10 — Stock-Based Compensation in the Notes to Consolidated Financial Statements provides additional information regarding stock-based compensation. Determining the appropriate fair value model and calculating the fair value of stock-based compensation awards requires the use of certain subjective assumptions, including the expected life of a stock-based compensation award and our common stock price volatility. In addition, determining the appropriate periodic stock-based compensation expense requires management to estimate the likelihood of the achievement of certain performance targets. The assumptions used in calculating the fair values of stock-based compensation awards and the related periodic expense represent management’s best estimates, which involve inherent uncertainties and the application of judgment. As a result, if circumstances change and we deem it necessary in the future to modify the assumptions we made or to use different assumptions, or if the quantity and nature of our stock-based compensation awards changes, then the amount of expense may need to be adjusted and future stock-based compensation expense could be materially different from what has been recorded in the current period.</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change in any of the terms or conditions of stock-based compensation awards is accounted for as a modification of the award. Incremental compensation cost is measured as the excess, if any, of the fair value of the modified award over the fair value of the original award immediately before its terms are modified, measured based on the fair value of the awards at the modification date. For vested awards, we recognize incremental compensation cost in the period the modification occurs. For unvested awards, we recognize any incremental compensation expense at the modification date or ratably over the requisite remaining service period, as appropriate. If the fair value of the modified award is lower than the fair value of the original award immediately before modification, the minimum compensation cost we recognize is the cost of the original award.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table below presents an analysis of selected line items and year-over-year changes in our Consolidated Statements of Operations for the years indicated (in thousands).</w:t>
      </w:r>
    </w:p>
    <w:tbl>
      <w:tblPr>
        <w:tblLayout w:type="fixed"/>
        <w:tblInd w:w="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220" w:type="dxa"/>
            <w:vAlign w:val="bottom"/>
          </w:tcPr>
          <w:p>
            <w:pPr>
              <w:spacing w:after="0"/>
              <w:rPr>
                <w:sz w:val="16"/>
                <w:szCs w:val="16"/>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80" w:type="dxa"/>
            <w:vAlign w:val="bottom"/>
          </w:tcPr>
          <w:p>
            <w:pPr>
              <w:spacing w:after="0"/>
              <w:rPr>
                <w:sz w:val="16"/>
                <w:szCs w:val="16"/>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50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176"/>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1"/>
                <w:szCs w:val="21"/>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Pr>
          <w:p>
            <w:pPr>
              <w:spacing w:after="0"/>
              <w:rPr>
                <w:sz w:val="21"/>
                <w:szCs w:val="21"/>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5,906,956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5,475,846</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431,110</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1,903,240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1,693,771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209,469</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2,701,542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2,480,944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220,598</w:t>
            </w:r>
          </w:p>
        </w:tc>
        <w:tc>
          <w:tcPr>
            <w:tcW w:w="14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4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(135,410)</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1,236,894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1,100,106</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136,788</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(121,323)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(27,077)</w:t>
            </w:r>
          </w:p>
        </w:tc>
        <w:tc>
          <w:tcPr>
            <w:tcW w:w="14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(47,008)</w:t>
            </w:r>
          </w:p>
        </w:tc>
        <w:tc>
          <w:tcPr>
            <w:tcW w:w="14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45,267</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882,466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807,799</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74,667</w:t>
            </w:r>
          </w:p>
        </w:tc>
        <w:tc>
          <w:tcPr>
            <w:tcW w:w="14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revenues for 2023 were $5.9 billion, an increase of $431.1 million compared to 2022, or 8% on both a reported basis and excluding the foreign currency impact. The tables below present (i) revenues by geographic region (based on where the sale is fulfilled) and (ii) revenues by segment for the years indicated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Pr>
          <w:p>
            <w:pPr>
              <w:spacing w:after="0"/>
              <w:rPr>
                <w:sz w:val="18"/>
                <w:szCs w:val="18"/>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43"/>
        </w:trPr>
        <w:tc>
          <w:tcPr>
            <w:tcW w:w="4780" w:type="dxa"/>
            <w:vAlign w:val="bottom"/>
            <w:gridSpan w:val="2"/>
            <w:vMerge w:val="continue"/>
          </w:tcPr>
          <w:p>
            <w:pPr>
              <w:spacing w:after="0"/>
              <w:rPr>
                <w:sz w:val="21"/>
                <w:szCs w:val="21"/>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4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3,911,042</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3,619,382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291,660</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8"/>
              </w:rPr>
              <w:t>8 %</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1,332,070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1,234,659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97,411</w:t>
            </w:r>
          </w:p>
        </w:tc>
        <w:tc>
          <w:tcPr>
            <w:tcW w:w="120" w:type="dxa"/>
            <w:vAlign w:val="bottom"/>
          </w:tcPr>
          <w:p>
            <w:pPr>
              <w:spacing w:after="0"/>
              <w:rPr>
                <w:sz w:val="19"/>
                <w:szCs w:val="19"/>
                <w:color w:val="auto"/>
              </w:rPr>
            </w:pPr>
          </w:p>
        </w:tc>
        <w:tc>
          <w:tcPr>
            <w:tcW w:w="15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663,844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621,805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5,906,956</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5,475,846</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431,110</w:t>
            </w:r>
          </w:p>
        </w:tc>
        <w:tc>
          <w:tcPr>
            <w:tcW w:w="120" w:type="dxa"/>
            <w:vAlign w:val="bottom"/>
          </w:tcPr>
          <w:p>
            <w:pPr>
              <w:spacing w:after="0"/>
              <w:rPr>
                <w:sz w:val="19"/>
                <w:szCs w:val="19"/>
                <w:color w:val="auto"/>
              </w:rPr>
            </w:pPr>
          </w:p>
        </w:tc>
        <w:tc>
          <w:tcPr>
            <w:tcW w:w="15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8"/>
              </w:rPr>
              <w:t>8 %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Pr>
          <w:p>
            <w:pPr>
              <w:spacing w:after="0"/>
              <w:rPr>
                <w:sz w:val="18"/>
                <w:szCs w:val="18"/>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38"/>
        </w:trPr>
        <w:tc>
          <w:tcPr>
            <w:tcW w:w="4780" w:type="dxa"/>
            <w:vAlign w:val="bottom"/>
            <w:gridSpan w:val="3"/>
            <w:vMerge w:val="continue"/>
          </w:tcPr>
          <w:p>
            <w:pPr>
              <w:spacing w:after="0"/>
              <w:rPr>
                <w:sz w:val="20"/>
                <w:szCs w:val="20"/>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4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4,887,046</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4,604,791</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282,255</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Conferences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505,164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389,273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115,891</w:t>
            </w:r>
          </w:p>
        </w:tc>
        <w:tc>
          <w:tcPr>
            <w:tcW w:w="12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514,746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481,782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5,906,956</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5,475,846</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431,110</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section of this MD&amp;A below entitled “Segment Results” for a discussion of revenues and results by segment.</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services and product development was $1.9 billion in 2023, an increase of $209.5 million compared to 2022, or 12% on both a reported basis and excluding the foreign currency impact. The increase in Cost of services and product development was primarily due to increased compensation costs as a result of higher headcount, as well as increased conference related expenses, due to the return to in-person destination conferences, partially offset by decreased research program expenses. Cost of services and product development as a percent of revenues was 32% and 31% for 2023 and 2022, respectively.</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(“SG&amp;A”) expense was $2.7 billion in 2023, an increase of $220.6 million compared to 2022, or 9% on both a reported basis and excluding the foreign currency impact. The increase in SG&amp;A during the year ended December 31, 2023, as compared to the prior fiscal year, was primarily due to higher personnel costs in the current year, including higher salary expense due to increased headcount. These increases were partially offset by a reduction in facilities expense, related to a reduction of our real estate footprint. We expect to continue to evaluate our real estate footprint globally. If we determine there is any additional excess property, there is no assurance that we will be able to sublease any such excess properties or that we will not incur costs in connection with such exit activities, which may be material. During 2023, we incurred charges associated with the impairment of right-of-use assets and other long-lived assets, related to certain office locations we no longer intend to use, of $20.4 million, compared to $54.0 million in 2022.</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quota-bearing sales associates in Global Technology Sales increased slightly to 3,641 and in Global Business Sales increased by 8% to 1,188, compared to December 31, 2022. On a combined basis, the total number of quota-bearing sales associates increased by 2% when compared to December 31, 2022. SG&amp;A expense as a percent of revenues was 46% and 45% during 2023 and 2022,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increased by 6% during 2023 compared to 2022. The increase for the year ended December 31, 2023 was primarily due to increased computer equipment and software additions in 2022 and 2023, partially offset by a reduction in leasehold improvements depreciation as a result of the impairment losses recorded during 2022 and 2023.</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intangibles decreased by 6% during 2023 compared to 2022 primarily due to intangible assets divested as part of the sale of our TalentNeuron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and integration charges increased by $0.5 million during the year ended December 31, 2023, compared to the same period in 2022.</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 from sale of divested operation was attributable to the sale of our TalentNeuron business in February 2023. We recognized a pre-tax gain of $135.4 million during the year ended December 31, 2023.</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was $1.2 billion and $1.1 billion during 2023 and 2022, respectively. The increase in operating income was primarily due to the gain from sale of divested operation, as well as increased revenue, partially offset by an increase in cost of services and product development and selling, general and administrative expenses.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decreased by $27.1 million during 2023 compared to 2022. The decrease in interest expense, net was primarily due to increased interest income, as well as lower interest expense due to the maturation of $700.0 million in fixed-for-floating interest rate swap contracts in March 2022, partially offset by higher interest expense on our term loan.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 on event cancellation insurance claims of $3.1 million during the year ended December 31, 2023 reflected proceeds related to the 2020 conference cancellation insurance claims.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for the years presented herein included the net impact of foreign currency gains and losses from our hedging activities, as well as sales of certain state tax credits and the recognition of other tax incentives. During 2023 and 2022, Other income, net included a $3.9 million and a $52.3 million gain on de-designated interest rate swaps, respectively.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Provision for income taxes was $264.7 million and $219.4 million during 2023 and 2022, respectively, with an effective income tax rate of 23.1% and 21.4% for 2023 and 2022, respectively. The increase in the effective income tax rate in 2023 was primarily the result of changes in unrecognized tax benefits year over year. Note 12 — Income Taxes in the Notes to Consolidated Financial Statements provides additional information regarding the Company’s income taxes.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was $882.5 million and $807.8 million during 2023 and 2022, respectively. Additionally, our diluted net income per share increased by $1.12 in 2023 compared to 2022. The increase in net income during 2023 was primarily the result of the gain from sale of divested operations, as well as increased revenue and interest income, partially offset by increased operating expenses, a lower gain from de-designated interest rate swaps and higher income tax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evaluate reportable segment performance and allocate resources based on gross contribution margin. Gross contribution is defined as operating income or loss excluding certain Cost of services and product development expenses, SG&amp;A expenses,</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26" w:name="page27"/>
    <w:bookmarkEnd w:id="26"/>
    <w:p>
      <w:pPr>
        <w:spacing w:after="0" w:line="282" w:lineRule="auto"/>
        <w:rPr>
          <w:sz w:val="20"/>
          <w:szCs w:val="20"/>
          <w:color w:val="auto"/>
        </w:rPr>
      </w:pPr>
      <w:r>
        <w:rPr>
          <w:rFonts w:ascii="Times New Roman" w:cs="Times New Roman" w:eastAsia="Times New Roman" w:hAnsi="Times New Roman"/>
          <w:sz w:val="18"/>
          <w:szCs w:val="18"/>
          <w:color w:val="auto"/>
        </w:rPr>
        <w:t>Depreciation, Amortization of intangibles, and Acquisition and integration charges. Gross contribution margin is defined as gross contribution as a percent of 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Segments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sections below present the results of the Company’s three business segments – Research, Conferences and Consulting, as described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w:t>
            </w: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The Year Ended</w:t>
            </w:r>
          </w:p>
        </w:tc>
        <w:tc>
          <w:tcPr>
            <w:tcW w:w="120" w:type="dxa"/>
            <w:vAlign w:val="bottom"/>
          </w:tcPr>
          <w:p>
            <w:pPr>
              <w:spacing w:after="0"/>
              <w:rPr>
                <w:sz w:val="17"/>
                <w:szCs w:val="17"/>
                <w:color w:val="auto"/>
              </w:rPr>
            </w:pPr>
          </w:p>
        </w:tc>
        <w:tc>
          <w:tcPr>
            <w:tcW w:w="1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The Year Ended</w:t>
            </w:r>
          </w:p>
        </w:tc>
        <w:tc>
          <w:tcPr>
            <w:tcW w:w="300" w:type="dxa"/>
            <w:vAlign w:val="bottom"/>
          </w:tcPr>
          <w:p>
            <w:pPr>
              <w:spacing w:after="0"/>
              <w:rPr>
                <w:sz w:val="17"/>
                <w:szCs w:val="17"/>
                <w:color w:val="auto"/>
              </w:rPr>
            </w:pPr>
          </w:p>
        </w:tc>
        <w:tc>
          <w:tcPr>
            <w:tcW w:w="1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5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20" w:type="dxa"/>
            <w:vAlign w:val="bottom"/>
          </w:tcPr>
          <w:p>
            <w:pPr>
              <w:spacing w:after="0"/>
              <w:rPr>
                <w:sz w:val="21"/>
                <w:szCs w:val="21"/>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300" w:type="dxa"/>
            <w:vAlign w:val="bottom"/>
          </w:tcPr>
          <w:p>
            <w:pPr>
              <w:spacing w:after="0"/>
              <w:rPr>
                <w:sz w:val="21"/>
                <w:szCs w:val="21"/>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Measurements:</w:t>
            </w: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4,887,046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4,604,791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282,255</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contribution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3,600,143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3,414,574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185,569</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 margin</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  point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Measurements:</w:t>
            </w: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Value (1), (3)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4,838,600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4,490,700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347,900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Technology Sales (2):</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value (1), (3)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3,747,600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3,524,000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223,600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retention</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 points</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Wallet retention</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(4) points</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Business Sales (2):</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value (1), (3)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1,091,000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966,700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124,300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retention</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 points</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Wallet retention</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(5) points</w:t>
            </w:r>
          </w:p>
        </w:tc>
        <w:tc>
          <w:tcPr>
            <w:tcW w:w="80" w:type="dxa"/>
            <w:vAlign w:val="bottom"/>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7774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32"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Technology Sales includes sales to users and providers of technology. Global Business Sales includes sales to all other functional leaders.</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values are on a foreign exchange neutral basis. Contract values as of December 31, 2022 have been calculated using the same foreign currency rates as 2023.</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revenues increased by $282.3 million during 2023 compared to 2022, or 6% on both a reported basis and excluding the foreign currency impact. The increase in revenues during 2023 was primarily due to strong Research contract value growth in 2022. The gross contribution margin was 74% in both 2023 and 2022, as the increase in revenue and decreased research program expenses were offset by an increase in personnel expenses to support future growth.</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value increased to $4.8 billion at December 31, 2023, or 8% compared to December 31, 2022 on a foreign currency neutral basis. All industry sectors grew at least high single-digit rates, other than technology and media. The fastest growth was in the public, energy and manufacturing sectors. Global Technology Sales (“GTS”) contract value increased by 6% at December 31, 2023 when compared to December 31, 2022. The increase in GTS contract value was primarily due to new business from existing clients. GTS contract value increased by at least mid single-digits for the majority of enterprise sizes and sectors. Global Business Sales (“GBS”) contract value increased by 13% year-over-year, also primarily driven by new business from existing clients. The majority of our GBS practices achieved double-digit growth rates, with the majority of enterprise sizes and sectors also growing double-digits year-over-year.</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GTS client retention was 83% and 86% as of December 31, 2023 and 2022, respectively, while wallet retention was 101% and 105%, as of December 31, 2023 and 2022, respectively. GBS client retention was 87% and 89% as of December 31, 2023 and 2022, respectively, while wallet retention was 107% and 112% as of December 31, 2023 and 2022, respectively. The decrease in GTS and GBS wallet retention was largely due to lower levels of incremental spending by existing clients compared to the same period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6"/>
        </w:trPr>
        <w:tc>
          <w:tcPr>
            <w:tcW w:w="4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Conferences</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The Year Ended</w:t>
            </w:r>
          </w:p>
        </w:tc>
        <w:tc>
          <w:tcPr>
            <w:tcW w:w="140" w:type="dxa"/>
            <w:vAlign w:val="bottom"/>
          </w:tcPr>
          <w:p>
            <w:pPr>
              <w:spacing w:after="0"/>
              <w:rPr>
                <w:sz w:val="17"/>
                <w:szCs w:val="17"/>
                <w:color w:val="auto"/>
              </w:rPr>
            </w:pP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Year Ended</w:t>
            </w:r>
          </w:p>
        </w:tc>
        <w:tc>
          <w:tcPr>
            <w:tcW w:w="300" w:type="dxa"/>
            <w:vAlign w:val="bottom"/>
          </w:tcPr>
          <w:p>
            <w:pPr>
              <w:spacing w:after="0"/>
              <w:rPr>
                <w:sz w:val="17"/>
                <w:szCs w:val="17"/>
                <w:color w:val="auto"/>
              </w:rPr>
            </w:pPr>
          </w:p>
        </w:tc>
        <w:tc>
          <w:tcPr>
            <w:tcW w:w="16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5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21"/>
                <w:szCs w:val="21"/>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00" w:type="dxa"/>
            <w:vAlign w:val="bottom"/>
          </w:tcPr>
          <w:p>
            <w:pPr>
              <w:spacing w:after="0"/>
              <w:rPr>
                <w:sz w:val="21"/>
                <w:szCs w:val="21"/>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Measurements:</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505,164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389,273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115,891</w:t>
            </w:r>
          </w:p>
        </w:tc>
        <w:tc>
          <w:tcPr>
            <w:tcW w:w="100" w:type="dxa"/>
            <w:vAlign w:val="bottom"/>
          </w:tcPr>
          <w:p>
            <w:pPr>
              <w:spacing w:after="0"/>
              <w:rPr>
                <w:sz w:val="19"/>
                <w:szCs w:val="19"/>
                <w:color w:val="auto"/>
              </w:rPr>
            </w:pPr>
          </w:p>
        </w:tc>
        <w:tc>
          <w:tcPr>
            <w:tcW w:w="15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contribution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253,739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210,726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43,013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 margin</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(4) points</w:t>
            </w:r>
          </w:p>
        </w:tc>
        <w:tc>
          <w:tcPr>
            <w:tcW w:w="15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Measurements:</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destination conferences (2)</w:t>
            </w:r>
          </w:p>
        </w:tc>
        <w:tc>
          <w:tcPr>
            <w:tcW w:w="120" w:type="dxa"/>
            <w:vAlign w:val="bottom"/>
          </w:tcPr>
          <w:p>
            <w:pPr>
              <w:spacing w:after="0"/>
              <w:rPr>
                <w:sz w:val="19"/>
                <w:szCs w:val="19"/>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5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destination conferences attendees (2)</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75,569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60,104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15,465</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7774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32"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virtual and in-person conferences. Single day, local meetings are excluded.</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Conferences revenues increased by $115.9 million during 2023 compared to 2022, or 30% on a reported basis and 29% excluding the foreign currency impact. We re-launched in-person destination conferences during the second quarter of 2022. We held 47 in-person destination conferences during the year ended December 31, 2023. We held 25 in-person conferences and 16 virtual conferences during the year ended December 31, 2022. The increase in revenues for the year ended December 31, 2023 was primarily due the increase in in-person destination conferences. The segment gross contribution margin was 50% and 54% in 2023 and 2022, respectively. The lower gross contribution margin during 2023 was also primarily due to the increase in in-person destination conferences.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Consulting</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Of And For The</w:t>
            </w:r>
          </w:p>
        </w:tc>
        <w:tc>
          <w:tcPr>
            <w:tcW w:w="12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Of And For The</w:t>
            </w:r>
          </w:p>
        </w:tc>
        <w:tc>
          <w:tcPr>
            <w:tcW w:w="300" w:type="dxa"/>
            <w:vAlign w:val="bottom"/>
          </w:tcPr>
          <w:p>
            <w:pPr>
              <w:spacing w:after="0"/>
              <w:rPr>
                <w:sz w:val="18"/>
                <w:szCs w:val="18"/>
                <w:color w:val="auto"/>
              </w:rPr>
            </w:pPr>
          </w:p>
        </w:tc>
        <w:tc>
          <w:tcPr>
            <w:tcW w:w="16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184"/>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120" w:type="dxa"/>
            <w:vAlign w:val="bottom"/>
          </w:tcPr>
          <w:p>
            <w:pPr>
              <w:spacing w:after="0"/>
              <w:rPr>
                <w:sz w:val="16"/>
                <w:szCs w:val="16"/>
                <w:color w:val="auto"/>
              </w:rPr>
            </w:pPr>
          </w:p>
        </w:tc>
        <w:tc>
          <w:tcPr>
            <w:tcW w:w="174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Year Ended</w:t>
            </w:r>
          </w:p>
        </w:tc>
        <w:tc>
          <w:tcPr>
            <w:tcW w:w="3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5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19"/>
                <w:szCs w:val="19"/>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300" w:type="dxa"/>
            <w:vAlign w:val="bottom"/>
          </w:tcPr>
          <w:p>
            <w:pPr>
              <w:spacing w:after="0"/>
              <w:rPr>
                <w:sz w:val="19"/>
                <w:szCs w:val="19"/>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Measurements:</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514,746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481,782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32,964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contribution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181,501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189,834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(8,333)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 margin</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(4) points</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Measurements:</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 (1), (2)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162,100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134,500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27,600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billable headcount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Consultant utilization</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(5) points</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7774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40"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is on a foreign currency neutral basis. Backlog as of December 31, 2022 has been calculated using the same foreign currency rates as 2023.</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Consulting revenues increased 7% during 2023 compared to 2022 on a reported basis and 8% excluding the foreign currency impact. The increase in revenues on a reported basis was due to a 6% increase in labor-based consulting, and a 10% increase in contract optimization. Contract optimization revenue may vary significantly and, as such, 2023 revenues may not be indicative of future results. The segment gross contribution margin was 35% and 39% in 2023 and 2022, respectively. The decrease in gross contribution margin during 2023 was primarily due to increased personnel expense related to higher headcount, partially offset by the increase in revenue.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increased by $27.6 million, or 21%, from December 31, 2022 to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We finance our operations through cash generated from our operating activities and borrowings. Note 6 — Debt in the Notes to Consolidated Financial Statements provides additional information regarding the Company’s outstanding debt obligations. At December 31, 2023, we had $1.3 billion of cash and cash equivalents and approximately $1.0 billion of available borrowing capacity on the revolving credit facility under our 2020 Credit Agreement. We believe that the Company has adequate liquidity and access to capital markets to meet its currently anticipated needs for both the next twelve months and the foreseeable future.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historically generated significant cash flows from our operating activities, benefiting from the favorable working capital dynamics of our subscription-based business model in our Research segment, which is our largest business segment and historically has constituted a significant portion of our total revenues. The majority of our Research customer contracts are paid in advance and, combined with a strong customer retention rate and high incremental margins, our subscription-based business model has resulted in continuously strong operating cash flow. Cash flow generation has also benefited from our ongoing efforts to improve the operating efficiencies of our businesses as well as a focus on the optimal management of our working capital as we increase sales.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cash and cash equivalents are held in numerous locations throughout the world with 55% held overseas at December 31, 2023. The Company intends to reinvest substantially all of its accumulated undistributed foreign earnings, except in instances where repatriation would result in minimal additional tax.</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changes in the Company’s cash balances for the years indicated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0"/>
                <w:szCs w:val="20"/>
                <w:color w:val="auto"/>
              </w:rPr>
            </w:pP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37"/>
        </w:trPr>
        <w:tc>
          <w:tcPr>
            <w:tcW w:w="438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23"/>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1,101,422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54,315</w:t>
            </w: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171,715</w:t>
            </w: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(1,027,442)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438,561</w:t>
            </w:r>
          </w:p>
        </w:tc>
      </w:tr>
      <w:tr>
        <w:trPr>
          <w:trHeight w:val="22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664,591</w:t>
            </w: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18,412</w:t>
            </w:r>
          </w:p>
        </w:tc>
      </w:tr>
      <w:tr>
        <w:trPr>
          <w:trHeight w:val="229"/>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Beginning cash and cash equivalents and restricted cash</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760,602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(62,003)</w:t>
            </w:r>
          </w:p>
        </w:tc>
      </w:tr>
      <w:tr>
        <w:trPr>
          <w:trHeight w:val="24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cash and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621,000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380" w:type="dxa"/>
            <w:vAlign w:val="bottom"/>
            <w:tcBorders>
              <w:bottom w:val="single" w:sz="8" w:color="auto"/>
            </w:tcBorders>
          </w:tcPr>
          <w:p>
            <w:pPr>
              <w:spacing w:after="0"/>
              <w:rPr>
                <w:sz w:val="13"/>
                <w:szCs w:val="13"/>
                <w:color w:val="auto"/>
              </w:rPr>
            </w:pPr>
          </w:p>
        </w:tc>
        <w:tc>
          <w:tcPr>
            <w:tcW w:w="2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was $1.2 billion and $1.1 billion in 2023 and 2022, respectively. The year-over-year increase was primarily due to increased operating income, excluding the gain from sale of divested operation, and strong collections, partially offset by increased income tax payments, in part as a result of the gain from sale of divested operation in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(used in) investing activities was $54.2 million and $(117.6) million in 2023 and 2022, respectively. The increase from 2022 to 2023 was primarily the result of the proceeds received from the sale of our TalentNeuron business in February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$0.6 billion and $1.0 billion in 2023 and 2022, respectively. During the 2023 period, we used $0.6 billion of cash for share repurchases and paid a net $7.8 million in debt principal repayments. During the 2022 period, we used $1.0 billion for share repurchases and paid a net $5.9 million in debt principal repayments.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COMMITMENTS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$2.5 billion of principal amount of debt outstanding. Note 6 — Debt in the Notes to Consolidated Financial Statements provides additional information regarding the Company’s outstanding debt obligations. From time to time, the Company may seek to retire or repurchase its outstanding debt through various methods including open</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market repurchases, negotiated block transactions, or otherwise, all or some of which may be effected through Rule 10b5-1 plans. Such transactions, if any, depend on prevailing market conditions, our liquidity and capital requirements, contractual restrictions, and other factors, and may involve material amounts.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Through December 31, 2023, the Company has not entered into any material off-balance sheet arrangements or transactions with unconsolidated entities or other persons.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Cash Commitments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future contractual cash commitments as of December 31, 2023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Due In Less</w:t>
            </w:r>
          </w:p>
        </w:tc>
        <w:tc>
          <w:tcPr>
            <w:tcW w:w="180" w:type="dxa"/>
            <w:vAlign w:val="bottom"/>
          </w:tcPr>
          <w:p>
            <w:pPr>
              <w:spacing w:after="0"/>
              <w:rPr>
                <w:sz w:val="17"/>
                <w:szCs w:val="17"/>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Due In 2-3</w:t>
            </w:r>
          </w:p>
        </w:tc>
        <w:tc>
          <w:tcPr>
            <w:tcW w:w="180" w:type="dxa"/>
            <w:vAlign w:val="bottom"/>
          </w:tcPr>
          <w:p>
            <w:pPr>
              <w:spacing w:after="0"/>
              <w:rPr>
                <w:sz w:val="17"/>
                <w:szCs w:val="17"/>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Due In 4-5</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Due In More</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 Description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Than</w:t>
            </w: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Than</w:t>
            </w: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1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180" w:type="dxa"/>
            <w:vAlign w:val="bottom"/>
          </w:tcPr>
          <w:p>
            <w:pPr>
              <w:spacing w:after="0"/>
              <w:rPr>
                <w:sz w:val="21"/>
                <w:szCs w:val="21"/>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80" w:type="dxa"/>
            <w:vAlign w:val="bottom"/>
          </w:tcPr>
          <w:p>
            <w:pPr>
              <w:spacing w:after="0"/>
              <w:rPr>
                <w:sz w:val="21"/>
                <w:szCs w:val="21"/>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4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5 Years</w:t>
            </w: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 principal, interest, and commitment fees (1)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100,181</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457,317</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1,471,355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3,008,194</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(2)</w:t>
            </w: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142,636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791,444</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arrangements (3)</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121,708</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(4)</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34,121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114,129</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352,647</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4,273,993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340" w:hanging="332"/>
        <w:spacing w:after="0" w:line="255"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the Company’s debt obligations were classified in the above table based on the contractual repayment dates. Interest payments were based on the effective interest rates as of December 31, 2023. Commitment fees were based on unused balances and commitment rates as of December 31, 2023. Note 6 — Debt in the Notes to Consolidated Financial Statements provides information regarding the Company’s debt obligations and interest rate swap contracts.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leases various facilities, automobiles, computer equipment and other assets under non-cancelable operating lease agreements expiring between 2024 and 2038. The total commitment excludes approximately $207.6 million of estimated future cash receipts from the Company’s subleasing arrangements. Note 1 — Business and Significant Accounting Policies and Note 7 — Leases in the Notes to Consolidated Financial Statements provide additional information regarding the Company’s leases.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supplemental deferred compensation arrangements with certain of its employees. Amounts payable with known payment dates have been classified in the above table based on those scheduled payment dates. Amounts payable whose payment dates are unknown have been included in the Due In More Than 5 Years category because the Company cannot determine when the amounts will be paid. Note 15 — Employee Benefits in the Notes to Consolidated Financial Statements provides additional information regarding the Company’s supplemental deferred compensation arrangements.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(i) contractual commitments (a) for software, telecom and other services and (b) to secure sites for our Conferences business; and (ii) projected cash contributions to the Company’s defined benefit pension plans. Note 15 — Employee Benefits in the Notes to Consolidated Financial Statements provides additional information regarding the Company’s defined benefit pension plans.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contractual cash commitments included in the above table, the Company has other payables and liabilities that may be legally enforceable but are not considered contractual commitments. Information regarding the Company’s payables and liabilities is included in Note 5 — Accounts Payable and Accrued and Other Liabilities and Note 12 — Income Taxes in the Notes to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FASB has issued accounting standards that had not yet become effective as of December 31, 2023 and may impact the Company’s consolidated financial statements or its disclosures in future periods. Note 1 — Business and Significant Accounting Policies in the Notes to Consolidated Financial Statements provides information regarding those accounting standards.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$2.5 billion in total debt principal outstanding. Note 6 — Debt in the Notes to Consolidated Financial Statements provides additional information regarding the Company’s outstanding debt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$274.0 million of the Company’s total debt outstanding as of December 31, 2023 was based on a floating base rate of interest, which potentially exposes the Company to increases in interest rates. However, we reduce our overall exposure to interest rate increases through our interest rate swap contract, which effectively converts the floating base interest rates on all of our variable rate borrowings to fixed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our revenues are typically derived from sales outside of the United States. Among the major foreign currencies in which we conduct business are the Euro, the British Pound, the Japanese Yen, the Australian dollar and the Canadian dollar. The reporting currency of our Consolidated Financial Statements is the U.S. dollar. As the values of the foreign currencies in which we operate fluctuate over time relative to the U.S. dollar, the Company is exposed to both foreign currency translation and transaction risk.</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Translation risk arises as our foreign currency assets and liabilities are translated into U.S. dollars because the functional currencies of our foreign operations are generally denominated in the local currency. Adjustments resulting from the translation of these assets and liabilities are deferred and recorded as a component of stockholders’ equity. A measure of the potential impact of foreign currency translation can be determined through a sensitivity analysis of our cash and cash equivalents. At December 31, 2023, we had $1.3 billion of cash and cash equivalents, with a substantial portion denominated in foreign currencies. If the exchange rates of the foreign currencies we hold all changed in comparison to the U.S. dollar by 10%, the amount of cash and cash equivalents we would have reported on December 31, 2023 could have increased or decreased by approximately $79.3 million. The translation of our foreign currency revenues and expenses historically has not had a material impact on our consolidated earnings because movements in and among the major currencies in which we operate tend to impact our revenues and expenses fairly equally. However, our earnings could be impacted during periods of significant exchange rate volatility, or when some or all of the major currencies in which we operate move in the same direction against the U.S. dollar.</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risk arises when we enter into a transaction that is denominated in a currency that may differ from the local functional currency. As these transactions are translated into the local functional currency, a gain or loss may result, which is recorded in current period earnings. We typically enter into foreign currency forward exchange contracts to mitigate the effects of some of this foreign currency transaction risk. Our outstanding foreign currency forward exchange contracts as of December 31, 2023 had an immaterial net unrealized gain.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short-term, highly liquid investments classified as cash equivalents, fees receivable, interest rate swap contracts and foreign currency forward exchange contracts. The majority of the Company’s cash and cash equivalents, interest rate swap contracts and foreign currency forward exchange contracts are with large investment grade commercial banks. Fees receivable balances deemed to be collectible from customers have limited concentration of credit risk due to our diverse customer base and geographic dispersion.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for 2023, 2022 and 2021, together with the reports of KPMG LLP, our independent registered public accounting firm, are included herein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disclosure controls and procedures that are designed to ensure that the information we are required to disclose in our reports filed or submitted under the Securities Exchange Act of 1934, as amended (the “Exchange Act”), is recorded, processed, summarized and reported within the time periods specified in the rules and forms of the SEC, and such information is accumulated and communicated to our executive management team, including our chief executive officer and our chief financial officer, to allow timely decisions regarding required disclosure.</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Management conducted an evaluation, as of December 31, 2023, of the effectiveness of the design and operation of our disclosure controls and procedures, as such term is defined in Rules 13a-15(e) and 15d-15(e) under the Exchange Act, under the supervision and with the participation of our chief executive officer and chief financial officer. Based upon that evaluation, our chief executive officer and chief financial officer have concluded that, as of December 31, 2023, the Company’s disclosure controls and procedures were effective..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Gartner management is responsible for establishing and maintaining adequate internal control over financial reporting as defined in Exchange Act Rules 13a-15(f) and 15d-15(f). Gartner’s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 Management assessed the effectiveness of our internal control over financial reporting as of December 31, 2023. In making this assessment, management used the criteria set forth in the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(COSO). Management’s assessment was reviewed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Committee of the Board of Directors.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its assessment of internal control over financial reporting, management has concluded that, as of December 31, 2023, Gartner’s internal control over financial reporting was effective. The effectiveness of management’s internal control over financial reporting as of December 31, 2023 has been audited by KPMG LLP, an independent registered public accounting firm, as stated in their report, which is included in this Annual Report on Form 10-K in Part IV, Item 15.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December 31, 2023 that have materially affected, or are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director or Section 16 officer adopted or terminated a trading arrangement intended to satisfy the affirmative defense conditions of Rule 10b5-1(c) or a non-Rule 10b5–1 trading arrangement during the three months ended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is incorporated by reference from the information set forth under the captions “The Board of Directors,” “Proposal One: Election of Directors,” “Executive Officers,” “Corporate Governance,” “Delinquent Section 16(a) Reports” (if necessary) and “Proxy and Voting Information — Available Information” in the Company’s 2024 Proxy Statement. See also Item 1. Business — Available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is incorporated by reference from the information set forth under the captions “Compensation Discussion &amp; Analysis,” “Compensation Tables and Narrative Disclosures,” “Compensation Committee Report,” “The Board of Directors - Compensation of Directors,” “The Board of Directors - Director Compensation Table,” “Corporate Governance - Risk Oversight - Risk Assessment of Compensation Policies and Practices,” and “Corporate Governance - Compensation Committee” in the Company’s 2024 Proxy Statement.</w:t>
      </w:r>
    </w:p>
    <w:p>
      <w:pPr>
        <w:spacing w:after="0" w:line="20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is incorporated by reference from the information set forth under the captions “Compensation Tables and Narrative Disclosures — Equity Compensation Plan Information” and “Security Ownership of Certain Beneficial Owners and Management” in the Company’s 2024 Proxy Statement.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is incorporated by reference from the information set forth under the captions “Transactions With Related Persons” and “Corporate Governance — Director Independence” in the Company’s 2024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is incorporated by reference from the information set forth under the caption “Proposal Three: Ratification of Appointment of Independent Registered Public Accounting Firm” in the Company’s 2024 Proxy Statement.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w:t>
      </w:r>
      <w:r>
        <w:rPr>
          <w:rFonts w:ascii="Times New Roman" w:cs="Times New Roman" w:eastAsia="Times New Roman" w:hAnsi="Times New Roman"/>
          <w:sz w:val="18"/>
          <w:szCs w:val="18"/>
          <w:b w:val="1"/>
          <w:bCs w:val="1"/>
          <w:color w:val="auto"/>
        </w:rPr>
        <w:t>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and 2. Financial Statements and Schedules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reports of our independent registered public accounting firm and financial statements listed in the Index to Consolidated Financial Statements herein are filed as part of this report.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not listed in the Index have been omitted because the information required is not applicable or is shown in the consolidated financial statements or notes thereto.</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3. Exhibits</w:t>
            </w:r>
          </w:p>
        </w:tc>
        <w:tc>
          <w:tcPr>
            <w:tcW w:w="9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2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 OF DOCUMENT</w:t>
            </w:r>
          </w:p>
        </w:tc>
      </w:tr>
      <w:tr>
        <w:trPr>
          <w:trHeight w:val="182"/>
        </w:trPr>
        <w:tc>
          <w:tcPr>
            <w:tcW w:w="2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0000FF"/>
            </w:tcBorders>
          </w:tcPr>
          <w:p>
            <w:pPr>
              <w:spacing w:after="0" w:line="182" w:lineRule="exact"/>
              <w:rPr>
                <w:rFonts w:ascii="Times New Roman" w:cs="Times New Roman" w:eastAsia="Times New Roman" w:hAnsi="Times New Roman"/>
                <w:sz w:val="18"/>
                <w:szCs w:val="18"/>
                <w:color w:val="0000FF"/>
                <w:w w:val="96"/>
              </w:rPr>
            </w:pPr>
            <w:hyperlink r:id="rId43">
              <w:r>
                <w:rPr>
                  <w:rFonts w:ascii="Times New Roman" w:cs="Times New Roman" w:eastAsia="Times New Roman" w:hAnsi="Times New Roman"/>
                  <w:sz w:val="18"/>
                  <w:szCs w:val="18"/>
                  <w:color w:val="0000FF"/>
                  <w:w w:val="96"/>
                </w:rPr>
                <w:t>3.</w:t>
              </w:r>
              <w:r>
                <w:rPr>
                  <w:rFonts w:ascii="Times New Roman" w:cs="Times New Roman" w:eastAsia="Times New Roman" w:hAnsi="Times New Roman"/>
                  <w:sz w:val="18"/>
                  <w:szCs w:val="18"/>
                  <w:u w:val="single" w:color="auto"/>
                  <w:color w:val="0000FF"/>
                  <w:w w:val="96"/>
                </w:rPr>
                <w:t>1(1)</w:t>
              </w:r>
            </w:hyperlink>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1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Restated Certificate of Incorporation of the Company.</w:t>
            </w:r>
          </w:p>
        </w:tc>
        <w:tc>
          <w:tcPr>
            <w:tcW w:w="20" w:type="dxa"/>
            <w:vAlign w:val="bottom"/>
          </w:tcPr>
          <w:p>
            <w:pPr>
              <w:spacing w:after="0"/>
              <w:rPr>
                <w:sz w:val="15"/>
                <w:szCs w:val="15"/>
                <w:color w:val="auto"/>
              </w:rPr>
            </w:pPr>
          </w:p>
        </w:tc>
      </w:tr>
      <w:tr>
        <w:trPr>
          <w:trHeight w:val="264"/>
        </w:trPr>
        <w:tc>
          <w:tcPr>
            <w:tcW w:w="20" w:type="dxa"/>
            <w:vAlign w:val="bottom"/>
          </w:tcPr>
          <w:p>
            <w:pPr>
              <w:spacing w:after="0"/>
              <w:rPr>
                <w:sz w:val="22"/>
                <w:szCs w:val="22"/>
                <w:color w:val="auto"/>
              </w:rPr>
            </w:pPr>
          </w:p>
        </w:tc>
        <w:tc>
          <w:tcPr>
            <w:tcW w:w="440" w:type="dxa"/>
            <w:vAlign w:val="bottom"/>
            <w:tcBorders>
              <w:bottom w:val="single" w:sz="8" w:color="0000FF"/>
            </w:tcBorders>
          </w:tcPr>
          <w:p>
            <w:pPr>
              <w:spacing w:after="0"/>
              <w:rPr>
                <w:rFonts w:ascii="Times New Roman" w:cs="Times New Roman" w:eastAsia="Times New Roman" w:hAnsi="Times New Roman"/>
                <w:sz w:val="18"/>
                <w:szCs w:val="18"/>
                <w:color w:val="0000FF"/>
                <w:w w:val="96"/>
              </w:rPr>
            </w:pPr>
            <w:hyperlink r:id="rId44">
              <w:r>
                <w:rPr>
                  <w:rFonts w:ascii="Times New Roman" w:cs="Times New Roman" w:eastAsia="Times New Roman" w:hAnsi="Times New Roman"/>
                  <w:sz w:val="18"/>
                  <w:szCs w:val="18"/>
                  <w:color w:val="0000FF"/>
                  <w:w w:val="96"/>
                </w:rPr>
                <w:t>3.</w:t>
              </w:r>
              <w:r>
                <w:rPr>
                  <w:rFonts w:ascii="Times New Roman" w:cs="Times New Roman" w:eastAsia="Times New Roman" w:hAnsi="Times New Roman"/>
                  <w:sz w:val="18"/>
                  <w:szCs w:val="18"/>
                  <w:u w:val="single" w:color="auto"/>
                  <w:color w:val="0000FF"/>
                  <w:w w:val="96"/>
                </w:rPr>
                <w:t>2(2)</w:t>
              </w:r>
            </w:hyperlink>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By-laws of Gartner, Inc. (as amended through April 29, 2021).</w:t>
            </w:r>
          </w:p>
        </w:tc>
      </w:tr>
      <w:tr>
        <w:trPr>
          <w:trHeight w:val="263"/>
        </w:trPr>
        <w:tc>
          <w:tcPr>
            <w:tcW w:w="460" w:type="dxa"/>
            <w:vAlign w:val="bottom"/>
            <w:gridSpan w:val="2"/>
          </w:tcPr>
          <w:p>
            <w:pPr>
              <w:ind w:left="20"/>
              <w:spacing w:after="0"/>
              <w:rPr>
                <w:rFonts w:ascii="Times New Roman" w:cs="Times New Roman" w:eastAsia="Times New Roman" w:hAnsi="Times New Roman"/>
                <w:sz w:val="18"/>
                <w:szCs w:val="18"/>
                <w:color w:val="0000FF"/>
                <w:w w:val="96"/>
              </w:rPr>
            </w:pPr>
            <w:hyperlink r:id="rId45">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u w:val="single" w:color="auto"/>
                  <w:color w:val="0000FF"/>
                  <w:w w:val="96"/>
                </w:rPr>
                <w:t>1(3)</w:t>
              </w:r>
            </w:hyperlink>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Indenture (including form of Notes), dated as of June 22, 2020, among Gartner, Inc., the guarantors named therein and U.S.</w:t>
            </w:r>
          </w:p>
        </w:tc>
      </w:tr>
      <w:tr>
        <w:trPr>
          <w:trHeight w:val="151"/>
        </w:trPr>
        <w:tc>
          <w:tcPr>
            <w:tcW w:w="2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1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7"/>
                <w:szCs w:val="17"/>
                <w:color w:val="auto"/>
              </w:rPr>
              <w:t>Bank National Association, as a trustee, relating to the $800,000,000 aggregate principal amount of 4.500% Senior Notes due</w:t>
            </w: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20"/>
                <w:szCs w:val="20"/>
                <w:color w:val="auto"/>
              </w:rPr>
            </w:pPr>
          </w:p>
        </w:tc>
      </w:tr>
      <w:tr>
        <w:trPr>
          <w:trHeight w:val="243"/>
        </w:trPr>
        <w:tc>
          <w:tcPr>
            <w:tcW w:w="460" w:type="dxa"/>
            <w:vAlign w:val="bottom"/>
            <w:gridSpan w:val="2"/>
          </w:tcPr>
          <w:p>
            <w:pPr>
              <w:ind w:left="20"/>
              <w:spacing w:after="0"/>
              <w:rPr>
                <w:rFonts w:ascii="Times New Roman" w:cs="Times New Roman" w:eastAsia="Times New Roman" w:hAnsi="Times New Roman"/>
                <w:sz w:val="18"/>
                <w:szCs w:val="18"/>
                <w:color w:val="0000FF"/>
                <w:w w:val="96"/>
              </w:rPr>
            </w:pPr>
            <w:hyperlink r:id="rId46">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u w:val="single" w:color="auto"/>
                  <w:color w:val="0000FF"/>
                  <w:w w:val="96"/>
                </w:rPr>
                <w:t>2(4)</w:t>
              </w:r>
            </w:hyperlink>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Indenture (including form of Notes), dated as of September 28, 2020, among Gartner, Inc., the guarantors named therein and</w:t>
            </w:r>
          </w:p>
        </w:tc>
      </w:tr>
      <w:tr>
        <w:trPr>
          <w:trHeight w:val="151"/>
        </w:trPr>
        <w:tc>
          <w:tcPr>
            <w:tcW w:w="2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1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7"/>
                <w:szCs w:val="17"/>
                <w:color w:val="auto"/>
              </w:rPr>
              <w:t>U.S. Bank National Association, as a trustee, relating to the $800,000,000 aggregate principal amount of 3.750% Senior</w:t>
            </w: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due 2030.</w:t>
            </w:r>
          </w:p>
        </w:tc>
      </w:tr>
      <w:tr>
        <w:trPr>
          <w:trHeight w:val="243"/>
        </w:trPr>
        <w:tc>
          <w:tcPr>
            <w:tcW w:w="460" w:type="dxa"/>
            <w:vAlign w:val="bottom"/>
            <w:gridSpan w:val="2"/>
          </w:tcPr>
          <w:p>
            <w:pPr>
              <w:ind w:left="20"/>
              <w:spacing w:after="0"/>
              <w:rPr>
                <w:rFonts w:ascii="Times New Roman" w:cs="Times New Roman" w:eastAsia="Times New Roman" w:hAnsi="Times New Roman"/>
                <w:sz w:val="18"/>
                <w:szCs w:val="18"/>
                <w:color w:val="0000FF"/>
                <w:w w:val="96"/>
              </w:rPr>
            </w:pPr>
            <w:hyperlink r:id="rId47">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u w:val="single" w:color="auto"/>
                  <w:color w:val="0000FF"/>
                  <w:w w:val="96"/>
                </w:rPr>
                <w:t>3(4)</w:t>
              </w:r>
            </w:hyperlink>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dated as of September 28, 2020, among Gartner, Inc., the Lenders party thereto</w:t>
            </w:r>
          </w:p>
        </w:tc>
      </w:tr>
      <w:tr>
        <w:trPr>
          <w:trHeight w:val="214"/>
        </w:trPr>
        <w:tc>
          <w:tcPr>
            <w:tcW w:w="20" w:type="dxa"/>
            <w:vAlign w:val="bottom"/>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JPMorgan Chase Bank, N.A., as administrative agent.</w:t>
            </w:r>
          </w:p>
        </w:tc>
      </w:tr>
      <w:tr>
        <w:trPr>
          <w:trHeight w:val="238"/>
        </w:trPr>
        <w:tc>
          <w:tcPr>
            <w:tcW w:w="460" w:type="dxa"/>
            <w:vAlign w:val="bottom"/>
            <w:gridSpan w:val="2"/>
          </w:tcPr>
          <w:p>
            <w:pPr>
              <w:ind w:left="20"/>
              <w:spacing w:after="0"/>
              <w:rPr>
                <w:rFonts w:ascii="Times New Roman" w:cs="Times New Roman" w:eastAsia="Times New Roman" w:hAnsi="Times New Roman"/>
                <w:sz w:val="18"/>
                <w:szCs w:val="18"/>
                <w:color w:val="0000FF"/>
                <w:w w:val="96"/>
              </w:rPr>
            </w:pPr>
            <w:hyperlink r:id="rId48">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u w:val="single" w:color="auto"/>
                  <w:color w:val="0000FF"/>
                  <w:w w:val="96"/>
                </w:rPr>
                <w:t>4(4)</w:t>
              </w:r>
            </w:hyperlink>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 and Restated Guarantee and Collateral Agreement, dated as of September 28, 2020, among Gartner, Inc. each</w:t>
            </w:r>
          </w:p>
        </w:tc>
      </w:tr>
      <w:tr>
        <w:trPr>
          <w:trHeight w:val="214"/>
        </w:trPr>
        <w:tc>
          <w:tcPr>
            <w:tcW w:w="20" w:type="dxa"/>
            <w:vAlign w:val="bottom"/>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subsidiary guarantor party thereto and JPMorgan Chase Bank, N.A.</w:t>
            </w:r>
          </w:p>
        </w:tc>
      </w:tr>
      <w:tr>
        <w:trPr>
          <w:trHeight w:val="238"/>
        </w:trPr>
        <w:tc>
          <w:tcPr>
            <w:tcW w:w="460" w:type="dxa"/>
            <w:vAlign w:val="bottom"/>
            <w:gridSpan w:val="2"/>
          </w:tcPr>
          <w:p>
            <w:pPr>
              <w:ind w:left="20"/>
              <w:spacing w:after="0"/>
              <w:rPr>
                <w:rFonts w:ascii="Times New Roman" w:cs="Times New Roman" w:eastAsia="Times New Roman" w:hAnsi="Times New Roman"/>
                <w:sz w:val="18"/>
                <w:szCs w:val="18"/>
                <w:color w:val="0000FF"/>
                <w:w w:val="96"/>
              </w:rPr>
            </w:pPr>
            <w:hyperlink r:id="rId49">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u w:val="single" w:color="auto"/>
                  <w:color w:val="0000FF"/>
                  <w:w w:val="96"/>
                </w:rPr>
                <w:t>5(5)</w:t>
              </w:r>
            </w:hyperlink>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Indenture (including form of Notes), dated as of June 18, 2021, among Gartner, Inc., the guarantors named therein and U.S.</w:t>
            </w:r>
          </w:p>
        </w:tc>
      </w:tr>
      <w:tr>
        <w:trPr>
          <w:trHeight w:val="151"/>
        </w:trPr>
        <w:tc>
          <w:tcPr>
            <w:tcW w:w="2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1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7"/>
                <w:szCs w:val="17"/>
                <w:color w:val="auto"/>
              </w:rPr>
              <w:t>Bank National Association, as a trustee, relating to the $600,000,000 aggregate principal amount of 3.625% Senior Notes due</w:t>
            </w: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6"/>
              </w:rPr>
            </w:pPr>
            <w:hyperlink r:id="rId50">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u w:val="single" w:color="auto"/>
                  <w:color w:val="0000FF"/>
                  <w:w w:val="96"/>
                </w:rPr>
                <w:t>6(6)+</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 of Gartner, Inc.’s Common Stock.</w:t>
            </w:r>
          </w:p>
        </w:tc>
      </w:tr>
      <w:tr>
        <w:trPr>
          <w:trHeight w:val="263"/>
        </w:trPr>
        <w:tc>
          <w:tcPr>
            <w:tcW w:w="20" w:type="dxa"/>
            <w:vAlign w:val="bottom"/>
          </w:tcPr>
          <w:p>
            <w:pPr>
              <w:spacing w:after="0"/>
              <w:rPr>
                <w:sz w:val="22"/>
                <w:szCs w:val="22"/>
                <w:color w:val="auto"/>
              </w:rPr>
            </w:pPr>
          </w:p>
        </w:tc>
        <w:tc>
          <w:tcPr>
            <w:tcW w:w="6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5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1(7)+</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2011 Employee Stock Purchase Plan, as amended and restated, as of September 1, 2021.</w:t>
            </w:r>
          </w:p>
        </w:tc>
      </w:tr>
      <w:tr>
        <w:trPr>
          <w:trHeight w:val="264"/>
        </w:trPr>
        <w:tc>
          <w:tcPr>
            <w:tcW w:w="20" w:type="dxa"/>
            <w:vAlign w:val="bottom"/>
          </w:tcPr>
          <w:p>
            <w:pPr>
              <w:spacing w:after="0"/>
              <w:rPr>
                <w:sz w:val="22"/>
                <w:szCs w:val="22"/>
                <w:color w:val="auto"/>
              </w:rPr>
            </w:pPr>
          </w:p>
        </w:tc>
        <w:tc>
          <w:tcPr>
            <w:tcW w:w="7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7"/>
              </w:rPr>
            </w:pPr>
            <w:hyperlink r:id="rId52">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2(12)+</w:t>
              </w:r>
            </w:hyperlink>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Incentive Plan, June 1, 2023 Amendment and Restatement.</w:t>
            </w:r>
          </w:p>
        </w:tc>
      </w:tr>
      <w:tr>
        <w:trPr>
          <w:trHeight w:val="263"/>
        </w:trPr>
        <w:tc>
          <w:tcPr>
            <w:tcW w:w="660" w:type="dxa"/>
            <w:vAlign w:val="bottom"/>
            <w:gridSpan w:val="5"/>
          </w:tcPr>
          <w:p>
            <w:pPr>
              <w:ind w:left="20"/>
              <w:spacing w:after="0"/>
              <w:rPr>
                <w:rFonts w:ascii="Times New Roman" w:cs="Times New Roman" w:eastAsia="Times New Roman" w:hAnsi="Times New Roman"/>
                <w:sz w:val="18"/>
                <w:szCs w:val="18"/>
                <w:color w:val="0000FF"/>
                <w:w w:val="98"/>
              </w:rPr>
            </w:pPr>
            <w:hyperlink r:id="rId5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3(8)+</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Amended and Restated Employment Agreement between Eugene A. Hall and the Company dated as of February 14,</w:t>
            </w:r>
          </w:p>
        </w:tc>
      </w:tr>
      <w:tr>
        <w:trPr>
          <w:trHeight w:val="214"/>
        </w:trPr>
        <w:tc>
          <w:tcPr>
            <w:tcW w:w="20" w:type="dxa"/>
            <w:vAlign w:val="bottom"/>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6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5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4(2)+</w:t>
              </w:r>
            </w:hyperlink>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Amendment to Employment Agreement between Eugene A. Hall and the Company dated as of April 29, 2021.</w:t>
            </w:r>
          </w:p>
        </w:tc>
      </w:tr>
      <w:tr>
        <w:trPr>
          <w:trHeight w:val="263"/>
        </w:trPr>
        <w:tc>
          <w:tcPr>
            <w:tcW w:w="20" w:type="dxa"/>
            <w:vAlign w:val="bottom"/>
          </w:tcPr>
          <w:p>
            <w:pPr>
              <w:spacing w:after="0"/>
              <w:rPr>
                <w:sz w:val="22"/>
                <w:szCs w:val="22"/>
                <w:color w:val="auto"/>
              </w:rPr>
            </w:pPr>
          </w:p>
        </w:tc>
        <w:tc>
          <w:tcPr>
            <w:tcW w:w="6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5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5(9)+</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Deferred Compensation Plan, effective January 1, 2009.</w:t>
            </w:r>
          </w:p>
        </w:tc>
      </w:tr>
      <w:tr>
        <w:trPr>
          <w:trHeight w:val="264"/>
        </w:trPr>
        <w:tc>
          <w:tcPr>
            <w:tcW w:w="20" w:type="dxa"/>
            <w:vAlign w:val="bottom"/>
          </w:tcPr>
          <w:p>
            <w:pPr>
              <w:spacing w:after="0"/>
              <w:rPr>
                <w:sz w:val="22"/>
                <w:szCs w:val="22"/>
                <w:color w:val="auto"/>
              </w:rPr>
            </w:pPr>
          </w:p>
        </w:tc>
        <w:tc>
          <w:tcPr>
            <w:tcW w:w="7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7"/>
              </w:rPr>
            </w:pPr>
            <w:hyperlink r:id="rId56">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6(10)+</w:t>
              </w:r>
            </w:hyperlink>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2021 Stock Appreciation Right Agreement for executive officers.</w:t>
            </w:r>
          </w:p>
        </w:tc>
      </w:tr>
      <w:tr>
        <w:trPr>
          <w:trHeight w:val="263"/>
        </w:trPr>
        <w:tc>
          <w:tcPr>
            <w:tcW w:w="20" w:type="dxa"/>
            <w:vAlign w:val="bottom"/>
          </w:tcPr>
          <w:p>
            <w:pPr>
              <w:spacing w:after="0"/>
              <w:rPr>
                <w:sz w:val="22"/>
                <w:szCs w:val="22"/>
                <w:color w:val="auto"/>
              </w:rPr>
            </w:pPr>
          </w:p>
        </w:tc>
        <w:tc>
          <w:tcPr>
            <w:tcW w:w="7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7"/>
              </w:rPr>
            </w:pPr>
            <w:hyperlink r:id="rId57">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7(10)+</w:t>
              </w:r>
            </w:hyperlink>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2021 Performance Stock Unit Agreement for executive officers.</w:t>
            </w:r>
          </w:p>
        </w:tc>
      </w:tr>
      <w:tr>
        <w:trPr>
          <w:trHeight w:val="263"/>
        </w:trPr>
        <w:tc>
          <w:tcPr>
            <w:tcW w:w="20" w:type="dxa"/>
            <w:vAlign w:val="bottom"/>
          </w:tcPr>
          <w:p>
            <w:pPr>
              <w:spacing w:after="0"/>
              <w:rPr>
                <w:sz w:val="22"/>
                <w:szCs w:val="22"/>
                <w:color w:val="auto"/>
              </w:rPr>
            </w:pPr>
          </w:p>
        </w:tc>
        <w:tc>
          <w:tcPr>
            <w:tcW w:w="6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5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8(6)+</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2022 Stock Appreciation Right Agreement for executive officers.</w:t>
            </w:r>
          </w:p>
        </w:tc>
      </w:tr>
      <w:tr>
        <w:trPr>
          <w:trHeight w:val="264"/>
        </w:trPr>
        <w:tc>
          <w:tcPr>
            <w:tcW w:w="20" w:type="dxa"/>
            <w:vAlign w:val="bottom"/>
          </w:tcPr>
          <w:p>
            <w:pPr>
              <w:spacing w:after="0"/>
              <w:rPr>
                <w:sz w:val="22"/>
                <w:szCs w:val="22"/>
                <w:color w:val="auto"/>
              </w:rPr>
            </w:pPr>
          </w:p>
        </w:tc>
        <w:tc>
          <w:tcPr>
            <w:tcW w:w="6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5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9(6)+</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2022 Performance Stock Unit Agreement for executive officers.</w:t>
            </w:r>
          </w:p>
        </w:tc>
      </w:tr>
      <w:tr>
        <w:trPr>
          <w:trHeight w:val="263"/>
        </w:trPr>
        <w:tc>
          <w:tcPr>
            <w:tcW w:w="20" w:type="dxa"/>
            <w:vAlign w:val="bottom"/>
          </w:tcPr>
          <w:p>
            <w:pPr>
              <w:spacing w:after="0"/>
              <w:rPr>
                <w:sz w:val="22"/>
                <w:szCs w:val="22"/>
                <w:color w:val="auto"/>
              </w:rPr>
            </w:pPr>
          </w:p>
        </w:tc>
        <w:tc>
          <w:tcPr>
            <w:tcW w:w="8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10(13)+</w:t>
              </w:r>
            </w:hyperlink>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2023 Stock Appreciation Right Agreement for executive officers.</w:t>
            </w:r>
          </w:p>
        </w:tc>
      </w:tr>
      <w:tr>
        <w:trPr>
          <w:trHeight w:val="263"/>
        </w:trPr>
        <w:tc>
          <w:tcPr>
            <w:tcW w:w="20" w:type="dxa"/>
            <w:vAlign w:val="bottom"/>
          </w:tcPr>
          <w:p>
            <w:pPr>
              <w:spacing w:after="0"/>
              <w:rPr>
                <w:sz w:val="22"/>
                <w:szCs w:val="22"/>
                <w:color w:val="auto"/>
              </w:rPr>
            </w:pPr>
          </w:p>
        </w:tc>
        <w:tc>
          <w:tcPr>
            <w:tcW w:w="820" w:type="dxa"/>
            <w:vAlign w:val="bottom"/>
            <w:gridSpan w:val="7"/>
          </w:tcPr>
          <w:p>
            <w:pPr>
              <w:spacing w:after="0"/>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11(13)+</w:t>
              </w:r>
            </w:hyperlink>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2023 Performance Stock Unit Agreement for executive officers.</w:t>
            </w:r>
          </w:p>
        </w:tc>
      </w:tr>
      <w:tr>
        <w:trPr>
          <w:trHeight w:val="264"/>
        </w:trPr>
        <w:tc>
          <w:tcPr>
            <w:tcW w:w="20" w:type="dxa"/>
            <w:vAlign w:val="bottom"/>
          </w:tcPr>
          <w:p>
            <w:pPr>
              <w:spacing w:after="0"/>
              <w:rPr>
                <w:sz w:val="22"/>
                <w:szCs w:val="22"/>
                <w:color w:val="auto"/>
              </w:rPr>
            </w:pPr>
          </w:p>
        </w:tc>
        <w:tc>
          <w:tcPr>
            <w:tcW w:w="6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12+*</w:t>
            </w:r>
          </w:p>
        </w:tc>
        <w:tc>
          <w:tcPr>
            <w:tcW w:w="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2024 Stock Appreciation Right Agreement for executive officers.</w:t>
            </w:r>
          </w:p>
        </w:tc>
      </w:tr>
      <w:tr>
        <w:trPr>
          <w:trHeight w:val="263"/>
        </w:trPr>
        <w:tc>
          <w:tcPr>
            <w:tcW w:w="20" w:type="dxa"/>
            <w:vAlign w:val="bottom"/>
          </w:tcPr>
          <w:p>
            <w:pPr>
              <w:spacing w:after="0"/>
              <w:rPr>
                <w:sz w:val="22"/>
                <w:szCs w:val="22"/>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13+*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2024 Performance Stock Unit Agreement for executive officers.</w:t>
            </w:r>
          </w:p>
        </w:tc>
      </w:tr>
      <w:tr>
        <w:trPr>
          <w:trHeight w:val="264"/>
        </w:trPr>
        <w:tc>
          <w:tcPr>
            <w:tcW w:w="20" w:type="dxa"/>
            <w:vAlign w:val="bottom"/>
          </w:tcPr>
          <w:p>
            <w:pPr>
              <w:spacing w:after="0"/>
              <w:rPr>
                <w:sz w:val="22"/>
                <w:szCs w:val="22"/>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14+*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2024 Restricted Stock Unit Agreement for executive officers.</w:t>
            </w:r>
          </w:p>
        </w:tc>
      </w:tr>
      <w:tr>
        <w:trPr>
          <w:trHeight w:val="264"/>
        </w:trPr>
        <w:tc>
          <w:tcPr>
            <w:tcW w:w="840" w:type="dxa"/>
            <w:vAlign w:val="bottom"/>
            <w:gridSpan w:val="8"/>
          </w:tcPr>
          <w:p>
            <w:pPr>
              <w:ind w:left="20"/>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15(11)+</w:t>
              </w:r>
            </w:hyperlink>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Restricted Stock Unit Agreement for non-employee directors.</w:t>
            </w:r>
          </w:p>
        </w:tc>
      </w:tr>
      <w:tr>
        <w:trPr>
          <w:trHeight w:val="938"/>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0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p>
        </w:tc>
        <w:tc>
          <w:tcPr>
            <w:tcW w:w="9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Enhanced Executive Rewards Policy.</w:t>
            </w:r>
          </w:p>
        </w:tc>
      </w:tr>
      <w:tr>
        <w:trPr>
          <w:trHeight w:val="263"/>
        </w:trPr>
        <w:tc>
          <w:tcPr>
            <w:tcW w:w="4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21.</w:t>
            </w:r>
            <w:r>
              <w:rPr>
                <w:rFonts w:ascii="Times New Roman" w:cs="Times New Roman" w:eastAsia="Times New Roman" w:hAnsi="Times New Roman"/>
                <w:sz w:val="18"/>
                <w:szCs w:val="18"/>
                <w:u w:val="single" w:color="auto"/>
                <w:color w:val="0000FF"/>
                <w:w w:val="98"/>
              </w:rPr>
              <w:t>1*</w:t>
            </w:r>
          </w:p>
        </w:tc>
        <w:tc>
          <w:tcPr>
            <w:tcW w:w="180" w:type="dxa"/>
            <w:vAlign w:val="bottom"/>
            <w:tcBorders>
              <w:top w:val="single" w:sz="8" w:color="0000FF"/>
            </w:tcBorders>
          </w:tcPr>
          <w:p>
            <w:pPr>
              <w:spacing w:after="0"/>
              <w:rPr>
                <w:sz w:val="22"/>
                <w:szCs w:val="22"/>
                <w:color w:val="auto"/>
              </w:rPr>
            </w:pPr>
          </w:p>
        </w:tc>
        <w:tc>
          <w:tcPr>
            <w:tcW w:w="840" w:type="dxa"/>
            <w:vAlign w:val="bottom"/>
          </w:tcPr>
          <w:p>
            <w:pPr>
              <w:spacing w:after="0"/>
              <w:rPr>
                <w:sz w:val="22"/>
                <w:szCs w:val="22"/>
                <w:color w:val="auto"/>
              </w:rPr>
            </w:pPr>
          </w:p>
        </w:tc>
        <w:tc>
          <w:tcPr>
            <w:tcW w:w="9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Subsidiaries of Registrant.</w:t>
            </w:r>
          </w:p>
        </w:tc>
      </w:tr>
      <w:tr>
        <w:trPr>
          <w:trHeight w:val="263"/>
        </w:trPr>
        <w:tc>
          <w:tcPr>
            <w:tcW w:w="4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263"/>
        </w:trPr>
        <w:tc>
          <w:tcPr>
            <w:tcW w:w="4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24.</w:t>
            </w:r>
            <w:r>
              <w:rPr>
                <w:rFonts w:ascii="Times New Roman" w:cs="Times New Roman" w:eastAsia="Times New Roman" w:hAnsi="Times New Roman"/>
                <w:sz w:val="18"/>
                <w:szCs w:val="18"/>
                <w:u w:val="single" w:color="auto"/>
                <w:color w:val="0000FF"/>
                <w:w w:val="98"/>
              </w:rPr>
              <w:t>1*</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Power of Attorney (see Signature Page).</w:t>
            </w:r>
          </w:p>
        </w:tc>
      </w:tr>
      <w:tr>
        <w:trPr>
          <w:trHeight w:val="263"/>
        </w:trPr>
        <w:tc>
          <w:tcPr>
            <w:tcW w:w="4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Certification of chief executive officer under Section 302 of the Sarbanes-Oxley Act of 2002.</w:t>
            </w:r>
          </w:p>
        </w:tc>
      </w:tr>
      <w:tr>
        <w:trPr>
          <w:trHeight w:val="264"/>
        </w:trPr>
        <w:tc>
          <w:tcPr>
            <w:tcW w:w="4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Certification of chief financial officer under Section 302 of the Sarbanes-Oxley Act of 2002.</w:t>
            </w:r>
          </w:p>
        </w:tc>
      </w:tr>
      <w:tr>
        <w:trPr>
          <w:trHeight w:val="263"/>
        </w:trPr>
        <w:tc>
          <w:tcPr>
            <w:tcW w:w="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32*</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Certification under Section 906 of the Sarbanes-Oxley Act of 2002.</w:t>
            </w:r>
          </w:p>
        </w:tc>
      </w:tr>
      <w:tr>
        <w:trPr>
          <w:trHeight w:val="263"/>
        </w:trPr>
        <w:tc>
          <w:tcPr>
            <w:tcW w:w="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97+*</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Gartner, Inc. Compensation Recoupment (Clawback) Policy.</w:t>
            </w:r>
          </w:p>
        </w:tc>
      </w:tr>
      <w:tr>
        <w:trPr>
          <w:trHeight w:val="250"/>
        </w:trPr>
        <w:tc>
          <w:tcPr>
            <w:tcW w:w="1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94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w:t>
            </w:r>
          </w:p>
        </w:tc>
      </w:tr>
      <w:tr>
        <w:trPr>
          <w:trHeight w:val="234"/>
        </w:trPr>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2"/>
        </w:trPr>
        <w:tc>
          <w:tcPr>
            <w:tcW w:w="1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1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4"/>
        </w:trPr>
        <w:tc>
          <w:tcPr>
            <w:tcW w:w="1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(included as Exhibit 101).</w:t>
            </w:r>
          </w:p>
        </w:tc>
      </w:tr>
    </w:tbl>
    <w:p>
      <w:pPr>
        <w:spacing w:after="0" w:line="333" w:lineRule="exact"/>
        <w:rPr>
          <w:sz w:val="20"/>
          <w:szCs w:val="20"/>
          <w:color w:val="auto"/>
        </w:rPr>
      </w:pPr>
    </w:p>
    <w:p>
      <w:pPr>
        <w:ind w:left="500" w:hanging="494"/>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document.</w:t>
      </w:r>
    </w:p>
    <w:p>
      <w:pPr>
        <w:spacing w:after="0" w:line="27" w:lineRule="exact"/>
        <w:rPr>
          <w:sz w:val="20"/>
          <w:szCs w:val="20"/>
          <w:color w:val="auto"/>
        </w:rPr>
      </w:pPr>
    </w:p>
    <w:p>
      <w:pPr>
        <w:ind w:left="500" w:hanging="494"/>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compensation plan or arrangement.</w:t>
      </w:r>
    </w:p>
    <w:p>
      <w:pPr>
        <w:spacing w:after="0" w:line="23" w:lineRule="exact"/>
        <w:rPr>
          <w:sz w:val="20"/>
          <w:szCs w:val="20"/>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July 6, 2005.</w:t>
      </w:r>
    </w:p>
    <w:p>
      <w:pPr>
        <w:spacing w:after="0" w:line="22"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May 5, 2021.</w:t>
      </w:r>
    </w:p>
    <w:p>
      <w:pPr>
        <w:spacing w:after="0" w:line="22"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June 23, 2020.</w:t>
      </w:r>
    </w:p>
    <w:p>
      <w:pPr>
        <w:spacing w:after="0" w:line="44"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September 28, 2020.</w:t>
      </w:r>
    </w:p>
    <w:p>
      <w:pPr>
        <w:spacing w:after="0" w:line="27"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June 21, 2021.</w:t>
      </w:r>
    </w:p>
    <w:p>
      <w:pPr>
        <w:spacing w:after="0" w:line="44"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Annual Report on Form 10-K filed on February 23, 2022.</w:t>
      </w:r>
    </w:p>
    <w:p>
      <w:pPr>
        <w:spacing w:after="0" w:line="27"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Proxy Statement (Schedule 14A) filed on April 19, 2021.</w:t>
      </w:r>
    </w:p>
    <w:p>
      <w:pPr>
        <w:spacing w:after="0" w:line="22"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Annual Report on Form 10-K filed on February 22, 2019.</w:t>
      </w:r>
    </w:p>
    <w:p>
      <w:pPr>
        <w:spacing w:after="0" w:line="22"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Annual Report on Form 10-K filed on February 20, 2009.</w:t>
      </w:r>
    </w:p>
    <w:p>
      <w:pPr>
        <w:spacing w:after="0" w:line="22"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Annual Report on Form 10-K filed on February 24, 2021.</w:t>
      </w:r>
    </w:p>
    <w:p>
      <w:pPr>
        <w:spacing w:after="0" w:line="44"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Quarterly Report on Form 10-Q filed on August 1, 2018.</w:t>
      </w:r>
    </w:p>
    <w:p>
      <w:pPr>
        <w:spacing w:after="0" w:line="27"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Proxy Statement (Schedule 14A) filed on April 17, 2023.</w:t>
      </w:r>
    </w:p>
    <w:p>
      <w:pPr>
        <w:spacing w:after="0" w:line="22"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Annual Report on Form 10-K filed on February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918" w:right="6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(KPMG LLP, New York, NY, Auditor Firm ID: 185)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11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6340" w:type="dxa"/>
            <w:vAlign w:val="bottom"/>
            <w:gridSpan w:val="5"/>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10"/>
        </w:trPr>
        <w:tc>
          <w:tcPr>
            <w:tcW w:w="6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Three-Year Period Ended December 31, 2023</w:t>
            </w:r>
          </w:p>
        </w:tc>
        <w:tc>
          <w:tcPr>
            <w:tcW w:w="4320" w:type="dxa"/>
            <w:vAlign w:val="bottom"/>
            <w:gridSpan w:val="4"/>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9"/>
        </w:trPr>
        <w:tc>
          <w:tcPr>
            <w:tcW w:w="7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Three-Year Period Ended December 31, 2023</w:t>
            </w:r>
          </w:p>
        </w:tc>
        <w:tc>
          <w:tcPr>
            <w:tcW w:w="34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09"/>
        </w:trPr>
        <w:tc>
          <w:tcPr>
            <w:tcW w:w="11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Three-Year Period Ended December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09"/>
        </w:trPr>
        <w:tc>
          <w:tcPr>
            <w:tcW w:w="74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Three-Year Period Ended December 31, 2023</w:t>
            </w:r>
          </w:p>
        </w:tc>
        <w:tc>
          <w:tcPr>
            <w:tcW w:w="3600" w:type="dxa"/>
            <w:vAlign w:val="bottom"/>
            <w:gridSpan w:val="2"/>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r>
      <w:tr>
        <w:trPr>
          <w:trHeight w:val="210"/>
        </w:trPr>
        <w:tc>
          <w:tcPr>
            <w:tcW w:w="3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560" w:type="dxa"/>
            <w:vAlign w:val="bottom"/>
            <w:tcBorders>
              <w:top w:val="single" w:sz="8" w:color="0000FF"/>
            </w:tcBorders>
            <w:gridSpan w:val="4"/>
          </w:tcPr>
          <w:p>
            <w:pPr>
              <w:spacing w:after="0"/>
              <w:rPr>
                <w:sz w:val="18"/>
                <w:szCs w:val="18"/>
                <w:color w:val="auto"/>
              </w:rPr>
            </w:pPr>
          </w:p>
        </w:tc>
        <w:tc>
          <w:tcPr>
            <w:tcW w:w="4280" w:type="dxa"/>
            <w:vAlign w:val="bottom"/>
            <w:gridSpan w:val="3"/>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 information required is not applicable or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Gartner,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Gartner, Inc. and subsidiaries (the Company) as of December 31, 2023 and 2022, the related consolidated statements of operations, comprehensive income, stockholders’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254"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recognizes the tax benefit from an uncertain tax position when it believes such position is more likely than not of being sustained if challenged. As of December 31, 2023, the Company has recorded gross unrecognized tax benefits of $148.4 million. Recognized tax positions are measured at the largest amount of benefit with greater than a 50 percent likelihood of being realized. The Company uses estimates and assumptions in determining the amount of unrecognized tax benefits.</w:t>
      </w:r>
    </w:p>
    <w:p>
      <w:pPr>
        <w:spacing w:after="0" w:line="20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We identified the assessment of unrecognized tax benefits related to transfer pricing as a critical audit matter. Complex auditor judgment was required in evaluating the Company’s interpretation of tax law and its estimate of the ultimate resolution of its tax positions.</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unrecognized tax benefits process, including transfer pricing. We involved tax and transfer pricing professionals with specialized skills and knowledge, who assisted in assessing unrecognized tax benefits by: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ind w:left="660" w:hanging="16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interpretation of tax laws and income tax consequences of intercompany transactions</w:t>
      </w:r>
    </w:p>
    <w:p>
      <w:pPr>
        <w:spacing w:after="0" w:line="252"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transfer pricing practices for compliance with relevant tax laws and regulations</w:t>
      </w:r>
    </w:p>
    <w:p>
      <w:pPr>
        <w:spacing w:after="0" w:line="252"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the Company’s tax positions and determination of unrecognized tax benefits, including the associated effect in other jurisdictions</w:t>
      </w:r>
    </w:p>
    <w:p>
      <w:pPr>
        <w:spacing w:after="0" w:line="25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In addition, we evaluated the Company’s ability to estimate its unrecognized tax benefits by comparing historical unrecognized tax benefits to actual results upon conclusion of examinations by applicable taxing authorities.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91" w:right="5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Gartner,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Gartner, Inc. and subsidiaries’ (the Company)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stockholders’ equity, and cash flows for each of the years in the three-year period ended December 31, 2023, and the related notes (collectively, the consolidated financial statements), and our report dated February 15, 2024 expressed an unqualified opinion on those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697,999</w:t>
            </w:r>
          </w:p>
        </w:tc>
      </w:tr>
      <w:tr>
        <w:trPr>
          <w:trHeight w:val="229"/>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Fees receivable, net of allowances of $9,000 for both periods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1,601,228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1,556,786</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363,079</w:t>
            </w:r>
          </w:p>
        </w:tc>
      </w:tr>
      <w:tr>
        <w:trPr>
          <w:trHeight w:val="229"/>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119,207</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 held-for-sale</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49,036</w:t>
            </w:r>
          </w:p>
        </w:tc>
      </w:tr>
      <w:tr>
        <w:trPr>
          <w:trHeight w:val="223"/>
        </w:trPr>
        <w:tc>
          <w:tcPr>
            <w:tcW w:w="86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3,427,886</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2,786,107</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264,581</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436,592</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2,937,260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2,930,211</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584,714</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339,288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297,531</w:t>
            </w:r>
          </w:p>
        </w:tc>
      </w:tr>
      <w:tr>
        <w:trPr>
          <w:trHeight w:val="223"/>
        </w:trPr>
        <w:tc>
          <w:tcPr>
            <w:tcW w:w="8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7,835,919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7,299,736</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1,127,604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1,115,198</w:t>
            </w:r>
          </w:p>
        </w:tc>
      </w:tr>
      <w:tr>
        <w:trPr>
          <w:trHeight w:val="229"/>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2,640,515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2,443,762</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r>
      <w:tr>
        <w:trPr>
          <w:trHeight w:val="230"/>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Liabilities held-for-sale</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30,840</w:t>
            </w:r>
          </w:p>
        </w:tc>
      </w:tr>
      <w:tr>
        <w:trPr>
          <w:trHeight w:val="223"/>
        </w:trPr>
        <w:tc>
          <w:tcPr>
            <w:tcW w:w="86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3,777,719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3,597,600</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deferred financing fees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2,453,607</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597,267</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415,464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423,464</w:t>
            </w:r>
          </w:p>
        </w:tc>
      </w:tr>
      <w:tr>
        <w:trPr>
          <w:trHeight w:val="223"/>
        </w:trPr>
        <w:tc>
          <w:tcPr>
            <w:tcW w:w="8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7,155,285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7,071,938</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$0.01 par value, authorized 5,000,000 shares; none issued or outstanding</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$0.0005 par value, 250,000,000 shares authorized; 163,602,067 shares issued for both periods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2,320,289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2,179,604</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(101,610)</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earnings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4,739,292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3,856,826</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Treasury stock, at cost, 85,264,526 and 84,428,513 common shares, respectively</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(6,302,698)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(5,707,104)</w:t>
            </w:r>
          </w:p>
        </w:tc>
      </w:tr>
      <w:tr>
        <w:trPr>
          <w:trHeight w:val="223"/>
        </w:trPr>
        <w:tc>
          <w:tcPr>
            <w:tcW w:w="8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227,798</w:t>
            </w:r>
          </w:p>
        </w:tc>
      </w:tr>
      <w:tr>
        <w:trPr>
          <w:trHeight w:val="223"/>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7,835,919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7,299,736</w:t>
            </w:r>
          </w:p>
        </w:tc>
      </w:tr>
      <w:tr>
        <w:trPr>
          <w:trHeight w:val="20"/>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4,887,046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4,604,791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4,101,392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Conferences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Consulting</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5,906,956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5,475,846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4,733,962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1,903,240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2,701,542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2,480,944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2,155,658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4,670,062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4,375,740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3,818,211</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1,236,894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1,100,106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176,310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79,680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81,067</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00" w:top="88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793,560</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swaps - net change in deferred gain or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21,781</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plans - net change in deferred actuarial gain or loss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17,797</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811,357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5"/>
                <w:szCs w:val="15"/>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5"/>
                <w:szCs w:val="15"/>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1"/>
                <w:szCs w:val="21"/>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Loss, Net</w:t>
            </w:r>
          </w:p>
        </w:tc>
        <w:tc>
          <w:tcPr>
            <w:tcW w:w="12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1,968,930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2,255,467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(3,034,823)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1,090,428</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793,560</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17,797</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 repurchases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(1,647,547)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(1,647,547)</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98,570</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3,049,027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(4,671,516)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371,058</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807,799</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22,296</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 repurchases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(1,043,742)</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90,566</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2,179,604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3,856,826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(5,707,104)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227,798</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882,466</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25,279</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25,212</w:t>
            </w: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(609,962)</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129,841</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4,739,292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(6,302,698)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680,634</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882,466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807,799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793,560</w:t>
            </w: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212,405</w:t>
            </w:r>
          </w:p>
        </w:tc>
      </w:tr>
      <w:tr>
        <w:trPr>
          <w:trHeight w:val="23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98,570</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(41,567)</w:t>
            </w:r>
          </w:p>
        </w:tc>
      </w:tr>
      <w:tr>
        <w:trPr>
          <w:trHeight w:val="23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impairment of lease related assets, net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49,537</w:t>
            </w: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Reduction in the carrying amount of operating lease right-of-use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75,125</w:t>
            </w:r>
          </w:p>
        </w:tc>
      </w:tr>
      <w:tr>
        <w:trPr>
          <w:trHeight w:val="23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and write-off of deferred financing fees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de-designated swaps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(20,204)</w:t>
            </w:r>
          </w:p>
        </w:tc>
      </w:tr>
      <w:tr>
        <w:trPr>
          <w:trHeight w:val="229"/>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net of acquisitions and divestitures: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Fees receivable,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(145,346)</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(124,874)</w:t>
            </w:r>
          </w:p>
        </w:tc>
      </w:tr>
      <w:tr>
        <w:trPr>
          <w:trHeight w:val="23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(15,913)</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(18,287)</w:t>
            </w: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324,059</w:t>
            </w:r>
          </w:p>
        </w:tc>
      </w:tr>
      <w:tr>
        <w:trPr>
          <w:trHeight w:val="230"/>
        </w:trPr>
        <w:tc>
          <w:tcPr>
            <w:tcW w:w="7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and other liabilities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121,243</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1,101,422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1,312,470</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to property, equipment and leasehold improvements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(59,834)</w:t>
            </w: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 - cash paid (net of cash acquired)</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(22,939)</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divested operation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r>
      <w:tr>
        <w:trPr>
          <w:trHeight w:val="223"/>
        </w:trPr>
        <w:tc>
          <w:tcPr>
            <w:tcW w:w="72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(80,467)</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18,173</w:t>
            </w: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for deferred financing fees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w:t>
            </w: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revolving credit facility</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borrowings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(107,915)</w:t>
            </w:r>
          </w:p>
        </w:tc>
      </w:tr>
      <w:tr>
        <w:trPr>
          <w:trHeight w:val="230"/>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(1,043,742)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(1,655,547)</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(1,157,609)</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74,394</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rates on cash and cash equivalents and restricted cash</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year</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760,602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712,583</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year</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760,602</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7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101,885</w:t>
            </w:r>
          </w:p>
        </w:tc>
      </w:tr>
      <w:tr>
        <w:trPr>
          <w:trHeight w:val="234"/>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net of refunds received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306,682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174,802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253,379</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and Significant Accounting Policies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Gartner, Inc. (NYSE: IT) delivers actionable, objective insight that drives smarter decisions and stronger performance on an organization’s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mission-critical priorities.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trusted advisor and an objective resource for nearly 15,000 enterprises in approximately 90 countries and territories — across all major functions, in every industry and enterprise size.</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Segments. </w:t>
      </w:r>
      <w:r>
        <w:rPr>
          <w:rFonts w:ascii="Times New Roman" w:cs="Times New Roman" w:eastAsia="Times New Roman" w:hAnsi="Times New Roman"/>
          <w:sz w:val="18"/>
          <w:szCs w:val="18"/>
          <w:color w:val="auto"/>
        </w:rPr>
        <w:t>Gartner delivers its products and services globally through three business segments – Research, Conferences and Consulting. Note 9 —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Related Matters and Note 16 — Segment Information describe the products and services offered by each of our segments and provide additional financial information for those segments.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accompanying Consolidated Financial Statements have been prepared in accordance with generally accepted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principles in the United States of America (“U.S. GAAP”), as defined in the Financial Accounting Standards Board (“FASB”) Accounting Standards Codification (“ASC”), for financial information and with the applicable instructions of U.S. Securities and Exchange Commission (“SEC”) Regulation S-X.</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fiscal year of Gartner is the twelve-month period from January 1 through December 31. All references to 2023, 2022 and 2021 herein refer to the fiscal year unless otherwise indicated. When used in these notes, the terms “Gartner,” the “Company,” “we,” “us” or “our” refer to Gartner, Inc. and its consolidated subsidiaries.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accompanying Consolidated Financial Statements include the accounts of the Company and its wholly-owned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significant intercompany transactions and balances have been eliminated.</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the accompanying Consolidated Financial Statements requires management to make estimates and assumptions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events. These estimates and the underlying assumptions affect the amounts of assets and liabilities reported, disclosures about contingent assets and liabilities, and reported amounts of revenues and expenses. Such estimates include the valuation of fees receivable, goodwill, intangible assets and other long-lived assets, as well as tax accruals and other liabilities. In addition, estimates are used in revenue recognition, income tax expense or benefit, performance-based compensation charges, depreciation and amortization. Management believes its use of estimates in the accompanying Consolidated Financial Statements to be reasonable.</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continually evaluates and revises its estimates using historical experience and other factors, including the general economic environment and actions it may take in the future. Management adjusts these estimates when facts and circumstances dictate. However, these estimates may involve significant uncertainties and judgments and cannot be determined with precision. In addition, these estimates are based on management’s best judgment at a point in time. As a result, differences between our estimates and actual results could be material and would be reflected in the Company’s Consolidated Financial Statements in future periods.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Business acquisitions. </w:t>
      </w:r>
      <w:r>
        <w:rPr>
          <w:rFonts w:ascii="Times New Roman" w:cs="Times New Roman" w:eastAsia="Times New Roman" w:hAnsi="Times New Roman"/>
          <w:sz w:val="18"/>
          <w:szCs w:val="18"/>
          <w:color w:val="auto"/>
        </w:rPr>
        <w:t>The Company accounts for business acquisitions in accordance with the acquisition method of accounting as prescribed by FASB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acquisition method of accounting requires the Company to record the assets acquired and liabilities assumed based on their estimated fair values as of the acquisition date, with certain exceptions. Any excess of the consideration transferred over the estimated fair value of the net assets acquired, including identifiable intangible assets, is recorded as goodwill. Under the acquisition method, the operating results of acquired companies are included in the Company’s Consolidated Financial Statements beginning on the date of acquisition. The Company completed business acquisitions in both 2022 and 2021. Note 2 — Acquisitions and Divestiture provides additional information regarding those business acquisitions. The determination of the fair values of intangible and other assets acquired in an acquisition requires management judgment and the consideration of a number of factors, including the historical financial performance of acquired businesses and their projected future performance, and estimates surrounding customer turnover, as well as assumptions regarding the level of competition and the costs necessary to reproduce certain assets. Establishing the useful lives of intangible assets also requires management judgment and the evaluation of a number of factors, including the expected use of an asset, historical client retention rates, consumer awareness and trade name history, as well as any contractual provisions that could limit or extend an asset’s useful life.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Charges that are directly related to the Company’s acquisitions and divestitures are expensed as incurred and classified as Acquisition and integration charges in the Consolidated Statements of Operations. Note 2 — Acquisitions and Divestiture provides additional information regarding the Company’s Acquisition and integration charges.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The Company’s revenue by significant source is accounted for as follows:</w:t>
      </w:r>
    </w:p>
    <w:p>
      <w:pPr>
        <w:spacing w:after="0" w:line="254" w:lineRule="exact"/>
        <w:rPr>
          <w:sz w:val="20"/>
          <w:szCs w:val="20"/>
          <w:color w:val="auto"/>
        </w:rPr>
      </w:pPr>
    </w:p>
    <w:p>
      <w:pPr>
        <w:jc w:val="both"/>
        <w:ind w:left="34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revenues are mainly derived from subscription contracts for research products. The related revenues are deferred and recognized ratably over the applicable contract term. Fees derived from assisting organizations in selecting the right business software for their needs are recognized when the leads are provided to vendors.</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Conferences revenues are deferred and recognized upon the completion of the related conference or meeting.</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revenues are principally generated from fixed fee or time and materials engagements. Revenues from fixed fee contracts are recognized as the Company works to satisfy its performance obligations. Revenues from time and materials engagements are recognized as work is delivered and/or services are provided. Revenues related to contract optimization engagements are contingent in nature and are only recognized upon satisfaction of all conditions related to their payment.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Company’s Research contracts are billable upon signing, absent special terms granted on a limited basis from time to time. Research contracts are generally non-cancellable and non-refundable, except for government contracts that may have cancellation or fiscal funding clauses. It is the Company’s policy to record the amount of a subscription contract that is billable as a fee receivable at the time the contract is signed with a corresponding amount as deferred revenue because the contract represents a legally enforceable claim.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Revenue and Related Matters provides additional information regarding the Company’s business and revenues.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Allowance for losses. </w:t>
      </w:r>
      <w:r>
        <w:rPr>
          <w:rFonts w:ascii="Times New Roman" w:cs="Times New Roman" w:eastAsia="Times New Roman" w:hAnsi="Times New Roman"/>
          <w:sz w:val="18"/>
          <w:szCs w:val="18"/>
          <w:color w:val="auto"/>
        </w:rPr>
        <w:t>The Company estimates uncollectible amounts on its fees receivable using a historical loss rate method.</w:t>
      </w: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services and product development (</w:t>
      </w:r>
      <w:r>
        <w:rPr>
          <w:rFonts w:ascii="Times New Roman" w:cs="Times New Roman" w:eastAsia="Times New Roman" w:hAnsi="Times New Roman"/>
          <w:sz w:val="18"/>
          <w:szCs w:val="18"/>
          <w:color w:val="auto"/>
        </w:rPr>
        <w:t>“COS”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 expense includes the direct costs incurred in the creation and delivery of the Company’s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services. These costs primarily relate to personnel.</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w:t>
      </w:r>
      <w:r>
        <w:rPr>
          <w:rFonts w:ascii="Times New Roman" w:cs="Times New Roman" w:eastAsia="Times New Roman" w:hAnsi="Times New Roman"/>
          <w:sz w:val="18"/>
          <w:szCs w:val="18"/>
          <w:color w:val="auto"/>
        </w:rPr>
        <w:t>“SG&amp;A”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SG&amp;A expense includes direct and indirect selling costs, general and administrative costs, facility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bad debt expense.</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Commission expense. </w:t>
      </w:r>
      <w:r>
        <w:rPr>
          <w:rFonts w:ascii="Times New Roman" w:cs="Times New Roman" w:eastAsia="Times New Roman" w:hAnsi="Times New Roman"/>
          <w:sz w:val="18"/>
          <w:szCs w:val="18"/>
          <w:color w:val="auto"/>
        </w:rPr>
        <w:t>The Company records deferred commissions upon signing a customer contract and amortizes the deferred amount over a period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aligns with the transfer to the customer of the services to which the commissions relate. Note 9 — Revenue and Related Matters provides additional information regarding deferred commissions and the amortization of such costs.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 </w:t>
      </w:r>
      <w:r>
        <w:rPr>
          <w:rFonts w:ascii="Times New Roman" w:cs="Times New Roman" w:eastAsia="Times New Roman" w:hAnsi="Times New Roman"/>
          <w:sz w:val="18"/>
          <w:szCs w:val="18"/>
          <w:color w:val="auto"/>
        </w:rPr>
        <w:t>The Company accounts for stock-based compensation awards in accordance with FASB ASC Topics 505 and 718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Staff Accounting Bulletins No. 107 and No. 110. Stock-based compensation expense for equity awards is based on the fair value of the award on the date of grant. The Company recognizes stock-based compensation expense over the period that the related service is performed, which is generally the same as the vesting period of the underlying award. Forfeitures are recognized as they occur. A change in any of the terms or conditions of stock-based compensation awards is accounted for as a modification of the award. Incremental compensation cost is measured as the excess, if any, of the fair value of the modified award over the fair value of the original award immediately before its terms are modified, measured based on the fair value of the awards at the modification date. For vested awards, the Company recognizes incremental compensation cost in the period the modification occurs. For unvested awards, the Company recognizes any incremental compensation expense at the modification date or ratably over the requisite remaining service period, as appropriate. If the fair value of the modified award is lower than the fair value of the original award immediately before modification, the minimum compensation cost the Company recognizes is the cost of the original award. Note 10 — Stock-Based Compensation provides additional information regarding the Company’s stock-based compensation activity.</w:t>
      </w: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 uses the asset and liability method of accounting for income taxes. The Company estimates its income taxes in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where it operates. This process involves estimating the Company’s current tax expense or benefit together with assessing temporary differences resulting from differing treatment of items for tax and accounting purposes. These differences result in deferred tax assets and liabilities, which are included in the Consolidated Balance Sheets. When assessing the realizability of deferred tax assets, the Company considers if it is more likely than not that some or all of the deferred tax assets will not be realized. In making this assessment, the Company considers the availability of loss carryforwards, projected reversals of deferred tax liabilities, projected future taxable income, and ongoing prudent and feasible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6" w:name="page47"/>
    <w:bookmarkEnd w:id="46"/>
    <w:p>
      <w:pPr>
        <w:jc w:val="both"/>
        <w:spacing w:after="0" w:line="256" w:lineRule="auto"/>
        <w:rPr>
          <w:sz w:val="20"/>
          <w:szCs w:val="20"/>
          <w:color w:val="auto"/>
        </w:rPr>
      </w:pPr>
      <w:r>
        <w:rPr>
          <w:rFonts w:ascii="Times New Roman" w:cs="Times New Roman" w:eastAsia="Times New Roman" w:hAnsi="Times New Roman"/>
          <w:sz w:val="18"/>
          <w:szCs w:val="18"/>
          <w:color w:val="auto"/>
        </w:rPr>
        <w:t>tax planning strategies. The Company recognizes the tax benefit from an uncertain tax position only if it is more likely than not that the tax position will be sustained based on the technical merits of the position. Recognized tax positions are measured at the largest amount of benefit with greater than a 50% likelihood of being realized. The Company uses estimates in determining the amount of unrecognized tax benefits associated with uncertain tax positions. Significant judgment is required in evaluating tax law and measuring the benefits likely to be realized. Uncertain tax positions are periodically re-evaluated and adjusted as more information about their ultimate realization becomes available. Note 12 — Income Taxes provides additional information regarding the Company’s income taxes.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and restricted cash. </w:t>
      </w:r>
      <w:r>
        <w:rPr>
          <w:rFonts w:ascii="Times New Roman" w:cs="Times New Roman" w:eastAsia="Times New Roman" w:hAnsi="Times New Roman"/>
          <w:sz w:val="18"/>
          <w:szCs w:val="18"/>
          <w:color w:val="auto"/>
        </w:rPr>
        <w:t>Cash and cash equivalents includes cash and all highly liquid investments with original maturities of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or less, which are considered to be cash equivalents. The carrying value of cash equivalents approximates fair value due to the short-term maturity of such instruments. Investments with maturities of more than three months are classified as marketable securities. Interest earned is recorded in Interest income in the Consolidated Statements of Operations.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GAAP requires that amounts generally described as restricted cash and restricted cash equivalents be presented with cash and cash equivalents when reconciling the beginning-of-period and end-of-period total amounts presented on an entity’s statement of cash flows. Below is a table presenting the beginning-of-period and end-of-period cash amounts from the Company’s Consolidated Balance Sheets and the total cash amounts presented in the Consolidated Statements of Cash Flows (in thousands).</w:t>
      </w: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1,318,999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697,999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756,493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712,583</w:t>
            </w:r>
          </w:p>
        </w:tc>
        <w:tc>
          <w:tcPr>
            <w:tcW w:w="0" w:type="dxa"/>
            <w:vAlign w:val="bottom"/>
          </w:tcPr>
          <w:p>
            <w:pPr>
              <w:spacing w:after="0"/>
              <w:rPr>
                <w:sz w:val="1"/>
                <w:szCs w:val="1"/>
                <w:color w:val="auto"/>
              </w:rPr>
            </w:pP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classified in (1):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602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and cash equivalents and restricted cash per the Consolidated Statements of</w:t>
            </w: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1,319,599</w:t>
            </w: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698,599</w:t>
            </w: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760,602</w:t>
            </w: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712,583</w:t>
            </w:r>
          </w:p>
        </w:tc>
        <w:tc>
          <w:tcPr>
            <w:tcW w:w="0" w:type="dxa"/>
            <w:vAlign w:val="bottom"/>
          </w:tcPr>
          <w:p>
            <w:pPr>
              <w:spacing w:after="0"/>
              <w:rPr>
                <w:sz w:val="1"/>
                <w:szCs w:val="1"/>
                <w:color w:val="auto"/>
              </w:rPr>
            </w:pPr>
          </w:p>
        </w:tc>
      </w:tr>
      <w:tr>
        <w:trPr>
          <w:trHeight w:val="236"/>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380" w:type="dxa"/>
            <w:vAlign w:val="bottom"/>
            <w:tcBorders>
              <w:bottom w:val="single" w:sz="8" w:color="auto"/>
            </w:tcBorders>
          </w:tcPr>
          <w:p>
            <w:pPr>
              <w:spacing w:after="0"/>
              <w:rPr>
                <w:sz w:val="10"/>
                <w:szCs w:val="10"/>
                <w:color w:val="auto"/>
              </w:rPr>
            </w:pPr>
          </w:p>
        </w:tc>
        <w:tc>
          <w:tcPr>
            <w:tcW w:w="1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340" w:hanging="332"/>
        <w:spacing w:after="0" w:line="266"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consists of escrow accounts established in connection with certain of the Company’s business acquisitions. Generally, such cash is restricted to use due to provisions contained in the underlying acquisition agreement. The Company will disburse the restricted cash to the sellers of the businesses upon satisfaction of any contingencies described in such agreements (e.g., potential indemnification claims, etc.).</w:t>
      </w: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ASC 842 requires accounting for leases under a right-of-use model whereby a lessee must record a right-of-use asset and a related lease liability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balance sheet for most of its leases. Under ASC 842, leases are classified as either operating or finance arrangements, with such classification affecting the pattern of expense recognition in an entity’s income statement. For operating leases, ASC 842 requires recognition in an entity’s income statement of a single lease cost, calculated so that the cost of the lease is allocated over the lease term, generally on a straight-line basis. During the years ended December 31, 2023, 2022 and 2021, as a result and in consideration of the changing nature of the Company’s use of office space for its workforce and the transitioning to a hybrid work environment, the Company evaluated its existing real estate lease portfolio. As a result of the evaluation, the Company recognized impairment losses of $20.4 million, $54.0 million, and $49.5 million during the years ended December 31, 2023, 2022 and 2021, respectively. Note 7 — Leases provides additional information regarding the Company’s leases.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Property, equipment and leasehold improvements. </w:t>
      </w:r>
      <w:r>
        <w:rPr>
          <w:rFonts w:ascii="Times New Roman" w:cs="Times New Roman" w:eastAsia="Times New Roman" w:hAnsi="Times New Roman"/>
          <w:sz w:val="18"/>
          <w:szCs w:val="18"/>
          <w:color w:val="auto"/>
        </w:rPr>
        <w:t>Equipment, leasehold improvements and other fixed assets owned by the Company are recorded at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accumulated depreciation and amortization. Fixed assets, other than leasehold improvements, are depreciated using the straight-line method over the estimated useful life of the underlying asset. Leasehold improvements are amortized using the straight-line method over the shorter of the estimated useful life of the improvement or the remaining term of the related lease. Depreciation and amortization expense for fixed assets was $98.6 million, $93.4 million and $102.8 million in 2023, 2022 and 2021, respectively. Property, equipment and leasehold improvements, net are presented in the table below (in thousands).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2 - 7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320,136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258,843</w:t>
            </w:r>
          </w:p>
        </w:tc>
      </w:tr>
      <w:tr>
        <w:trPr>
          <w:trHeight w:val="229"/>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3 - 8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89,559</w:t>
            </w:r>
          </w:p>
        </w:tc>
      </w:tr>
      <w:tr>
        <w:trPr>
          <w:trHeight w:val="23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2 - 15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220,509</w:t>
            </w:r>
          </w:p>
        </w:tc>
      </w:tr>
      <w:tr>
        <w:trPr>
          <w:trHeight w:val="22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cost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568,911</w:t>
            </w:r>
          </w:p>
        </w:tc>
      </w:tr>
      <w:tr>
        <w:trPr>
          <w:trHeight w:val="23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(304,330)</w:t>
            </w:r>
          </w:p>
        </w:tc>
      </w:tr>
      <w:tr>
        <w:trPr>
          <w:trHeight w:val="22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262,718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264,581</w:t>
            </w:r>
          </w:p>
        </w:tc>
      </w:tr>
      <w:tr>
        <w:trPr>
          <w:trHeight w:val="21"/>
        </w:trPr>
        <w:tc>
          <w:tcPr>
            <w:tcW w:w="7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incurs costs to develop internal-use software used in its operations. Certain of those costs that meet the criteria in FASB ASC Topic 350, </w:t>
      </w:r>
      <w:r>
        <w:rPr>
          <w:rFonts w:ascii="Times New Roman" w:cs="Times New Roman" w:eastAsia="Times New Roman" w:hAnsi="Times New Roman"/>
          <w:sz w:val="18"/>
          <w:szCs w:val="18"/>
          <w:i w:val="1"/>
          <w:iCs w:val="1"/>
          <w:color w:val="auto"/>
        </w:rPr>
        <w:t xml:space="preserve">Intangibles - Goodwill and Other </w:t>
      </w:r>
      <w:r>
        <w:rPr>
          <w:rFonts w:ascii="Times New Roman" w:cs="Times New Roman" w:eastAsia="Times New Roman" w:hAnsi="Times New Roman"/>
          <w:sz w:val="18"/>
          <w:szCs w:val="18"/>
          <w:color w:val="auto"/>
        </w:rPr>
        <w:t>are capitalized and amortized over future periods. Net capitalized internal-use software development costs were $105.2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$84.0 million at December 31, 2023 and 2022, respectively, and are included in Computer equipment and software in the table above. Amortization expense for capitalized internal-use software development costs, which is included with Depreciation in the Consolidated Statements of Operations, totaled $47.8 million, $39.6 million and $34.6 million in 2023, 2022 and 2021, respectively.</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represents the excess of the purchase price of acquired businesses over the estimated fair values of the tangible and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net assets acquired. Evaluations of the recoverability of goodwill are performed in accordance with FASB ASC Topic 350, which requires an annual assessment of potential goodwill impairment at the reporting unit level and whenever events or changes in circumstances indicate that the carrying value of goodwill may not be recoverable.</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performing the annual assessment of the recoverability of goodwill, the Company initially performs a qualitative analysis evaluating whether any events or circumstances occurred or exist that provide evidence that it is more likely than not that the fair value of any of the Company’s reporting units is less than the related carrying amount. If the Company does not believe that it is more likely than not that the fair value of any of the Company’s reporting units is less than the related carrying amount, then no quantitative impairment test is performed. However, if the results of the qualitative assessment indicate that it is more likely than not that the fair value of a reporting unit is less than its respective carrying amount, then the Company performs a quantitative impairment test. Evaluating the recoverability of goodwill requires judgments and assumptions regarding future trends and events. As a result, both the precision and reliability of management estimates are subject to uncertainty.</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most recent annual impairment test of goodwill was a qualitative analysis conducted during the quarter ended September 30, 2023 that indicated no impairment. Subsequent to completing the 2023 annual impairment test, no events or changes in circumstances were noted that required an interim goodwill impairment test. Note 3 — Goodwill and Intangible Assets provides additional information regarding the Company’s goodwill.</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Finite-lived intangible assets. </w:t>
      </w:r>
      <w:r>
        <w:rPr>
          <w:rFonts w:ascii="Times New Roman" w:cs="Times New Roman" w:eastAsia="Times New Roman" w:hAnsi="Times New Roman"/>
          <w:sz w:val="18"/>
          <w:szCs w:val="18"/>
          <w:color w:val="auto"/>
        </w:rPr>
        <w:t>The Company has finite-lived intangible assets that are amortized using the straight-line method over the expected useful life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underlying asset. Note 3 — Goodwill and Intangible Assets provides additional information regarding the Company’s finite-lived intangible assets.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The Company’s long-lived assets primarily consist of intangible assets other than goodwill, right-of-use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equipment and leasehold improvements. The Company reviews its long-lived asset groups for impairment whenever events or changes in circumstances indicate that the carrying amount of an asset or an asset group may not be recoverable. Such evaluation may be based on a number of factors, including current and projected operating results and cash flows, and changes in management’s strategic direction as well as external economic and market factors. The Company evaluates the recoverability of assets and asset groups by determining whether their carrying values can be recovered through undiscounted future operating cash flows. If events or circumstances indicate that the carrying values might not be recoverable based on undiscounted future operating cash flows, an impairment loss may be recognized. The amount of impairment is measured based on the difference between the projected discounted future operating cash flows, using a discount rate reflecting the Company’s average cost of funds, and the carrying value of the asset or asset group.</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The Company presents amounts borrowed in the Consolidated Balance Sheets, net of deferred financing fees. Interest accrued on amounts borrowed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recorded as Interest expense in the Consolidated Statements of Operations. Note 6 — Debt provides additional information regarding the Company’s debt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exposure. </w:t>
      </w:r>
      <w:r>
        <w:rPr>
          <w:rFonts w:ascii="Times New Roman" w:cs="Times New Roman" w:eastAsia="Times New Roman" w:hAnsi="Times New Roman"/>
          <w:sz w:val="18"/>
          <w:szCs w:val="18"/>
          <w:color w:val="auto"/>
        </w:rPr>
        <w:t>The functional currency of the Company’s foreign subsidiaries is typically the local currency. All assets and liabilities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subsidiaries are translated into U.S. dollars at exchange rates in effect at the balance sheet date. Income and expense items are translated at average exchange rates throughout the year. The resulting translation adjustments are recorded as foreign currency translation adjustments, a component of Accumulated other comprehensive loss, net within Stockholders’ Equity on the Consolidated Balance Sheets.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Currency transaction gains or losses arising from transactions denominated in currencies other than the functional currency of a subsidiary are recognized in results of operations as part of Other income, net in the Consolidated Statements of Operations. The Company had net currency transaction (losses) / gains of $(6.0) million, $25.6 million and $(3.7) million in 2023, 2022 and 2021, respectively. The Company enters into foreign currency forward exchange contracts to mitigate the effects of adverse fluctuations in foreign currency exchange rates on certain transactions. Those contracts generally have short durations and are recorded at fair value with both realized and unrealized gains and losses recorded in Other income, net. The net gain / (loss) from foreign currency forward exchange contracts was $1.9 million, $(31.9) million and $(1.4) million in 2023, 2022 and 2021, respectively. Note 13 — Derivatives and Hedging provides additional information regarding the Company’s foreign currency forward exchange contracts.</w:t>
      </w:r>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disclosures. </w:t>
      </w:r>
      <w:r>
        <w:rPr>
          <w:rFonts w:ascii="Times New Roman" w:cs="Times New Roman" w:eastAsia="Times New Roman" w:hAnsi="Times New Roman"/>
          <w:sz w:val="18"/>
          <w:szCs w:val="18"/>
          <w:color w:val="auto"/>
        </w:rPr>
        <w:t>The Company has a limited number of assets and liabilities that are adjusted to fair value at each balance sheet date.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fair value disclosures are provided at Note 14 — Fair Value Disclosures.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Assets that may subject the Company to concentration of credit risk consist primarily of short-term, highly liquid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cash equivalents, fees receivable, contract assets, interest rate swaps and a pension reinsurance asset. The majority of the Company’s cash equivalent investments and its interest rate swap contracts are with investment grade commercial banks. Fees receivable and contract asset balances deemed to be collectible from customers have limited concentration of credit risk due to the Company’s diverse customer base and geographic dispersion. The Company’s pension reinsurance asset (see Note 15 — Employee Benefits) is maintained with a large international insurance company that was rated investment grade as of December 31, 2023 and 2022.</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programs. </w:t>
      </w:r>
      <w:r>
        <w:rPr>
          <w:rFonts w:ascii="Times New Roman" w:cs="Times New Roman" w:eastAsia="Times New Roman" w:hAnsi="Times New Roman"/>
          <w:sz w:val="18"/>
          <w:szCs w:val="18"/>
          <w:color w:val="auto"/>
        </w:rPr>
        <w:t>The Company records the cost to repurchase shares of its own common stock as treasury stock. Shares repurchased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are added to treasury shares and are not retired. Note 8 — Stockholders’ Equity provides additional information regarding the Company’s common stock repurchase activity.</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 on event cancellation insurance claims. </w:t>
      </w:r>
      <w:r>
        <w:rPr>
          <w:rFonts w:ascii="Times New Roman" w:cs="Times New Roman" w:eastAsia="Times New Roman" w:hAnsi="Times New Roman"/>
          <w:sz w:val="18"/>
          <w:szCs w:val="18"/>
          <w:color w:val="auto"/>
        </w:rPr>
        <w:t>During the years ended December 31, 2023 and 2021, the Company received $3.1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$166.9 million, respectively, of proceeds related to 2020 event cancellation insurance claims and recorded pre-tax gains of $3.1 million and $152.3 million, respectively. The Company does not record any gain on insurance claims in excess of expenses incurred until the receipt of the insurance proceeds is deemed to be realizable.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standards</w:t>
      </w:r>
      <w:r>
        <w:rPr>
          <w:rFonts w:ascii="Times New Roman" w:cs="Times New Roman" w:eastAsia="Times New Roman" w:hAnsi="Times New Roman"/>
          <w:sz w:val="18"/>
          <w:szCs w:val="18"/>
          <w:color w:val="auto"/>
        </w:rPr>
        <w:t>. The Company adopted the accounting standard described below during 2023.</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Reference Rate Reform </w:t>
      </w:r>
      <w:r>
        <w:rPr>
          <w:rFonts w:ascii="Times New Roman" w:cs="Times New Roman" w:eastAsia="Times New Roman" w:hAnsi="Times New Roman"/>
          <w:sz w:val="18"/>
          <w:szCs w:val="18"/>
          <w:color w:val="auto"/>
        </w:rPr>
        <w:t>— In March 2020, the FASB issued ASU No. 2020-04,</w:t>
      </w:r>
      <w:r>
        <w:rPr>
          <w:rFonts w:ascii="Times New Roman" w:cs="Times New Roman" w:eastAsia="Times New Roman" w:hAnsi="Times New Roman"/>
          <w:sz w:val="18"/>
          <w:szCs w:val="18"/>
          <w:i w:val="1"/>
          <w:iCs w:val="1"/>
          <w:color w:val="auto"/>
        </w:rPr>
        <w:t xml:space="preserve"> Reference Rate Reform—Facilitation of the Effects of Reference Rate Reform on Financial Reporting </w:t>
      </w:r>
      <w:r>
        <w:rPr>
          <w:rFonts w:ascii="Times New Roman" w:cs="Times New Roman" w:eastAsia="Times New Roman" w:hAnsi="Times New Roman"/>
          <w:sz w:val="18"/>
          <w:szCs w:val="18"/>
          <w:color w:val="auto"/>
        </w:rPr>
        <w:t>(“ASU No. 2020-04”). ASU No. 2020-04 provides that an entity can elect not to apply certain required modification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in U.S. GAAP to contracts where all changes to the critical terms relate to reference rate reform (e.g., the expected discontinuance of LIBOR and the transition to an alternative reference interest rate, etc.). In addition, the rule provides optional expedients and exceptions that enable entities to continue to apply hedge accounting for hedging relationships where one or more of the critical terms change due to reference rate reform. The rule became effective for all entities as of March 12, 2020 and, after the issuance of ASU 2022-06, will generally no longer be available to apply after December 31, 2024. During 2023, the Company adopted the practical expedient provided under ASU 2020-04 related to its debt and interest rate swap arrangements and as such, the amendments in the second quarter of 2023 are treated as a continuation of the existing agreements and no gain or loss on the modification was recorded.</w:t>
      </w:r>
    </w:p>
    <w:p>
      <w:pPr>
        <w:spacing w:after="0" w:line="2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Accounting standards issued but not yet adopted. </w:t>
      </w:r>
      <w:r>
        <w:rPr>
          <w:rFonts w:ascii="Times New Roman" w:cs="Times New Roman" w:eastAsia="Times New Roman" w:hAnsi="Times New Roman"/>
          <w:sz w:val="18"/>
          <w:szCs w:val="18"/>
          <w:color w:val="auto"/>
        </w:rPr>
        <w:t>The FASB has issued an accounting standard that has not yet become effective as of December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may impact the Company’s Consolidated Financial Statements or related disclosures in future periods. The standard and its potential impact are discussed below.</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December 2023, the FASB issued ASU 2023-09,</w:t>
      </w:r>
      <w:r>
        <w:rPr>
          <w:rFonts w:ascii="Times New Roman" w:cs="Times New Roman" w:eastAsia="Times New Roman" w:hAnsi="Times New Roman"/>
          <w:sz w:val="18"/>
          <w:szCs w:val="18"/>
          <w:i w:val="1"/>
          <w:iCs w:val="1"/>
          <w:color w:val="auto"/>
        </w:rPr>
        <w:t xml:space="preserve"> Improvements to Income Tax Disclosures </w:t>
      </w:r>
      <w:r>
        <w:rPr>
          <w:rFonts w:ascii="Times New Roman" w:cs="Times New Roman" w:eastAsia="Times New Roman" w:hAnsi="Times New Roman"/>
          <w:sz w:val="18"/>
          <w:szCs w:val="18"/>
          <w:color w:val="auto"/>
        </w:rPr>
        <w:t>(“ASU No. 2023-09”). The amendments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are expected to enhance the transparency and decision usefulness of income tax disclosures. ASU 2023-09 requires entities to enhance income tax disclosures primarily related to the rate reconciliation and income taxes paid information. Companies will need to disaggregate the disclosure of income taxes paid (net of refunds received) by federal, state, and foreign taxes on an annual basis. Additionally, on an annual basis, companies would disclose income taxes paid disaggregated by individual jurisdiction using a quantitative threshold of 5% of total income taxes paid.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8"/>
          <w:szCs w:val="18"/>
          <w:color w:val="auto"/>
        </w:rPr>
        <w:t>Public business entities would also be required to provide, on an annual basis, rate reconciliation information by specific categories, including state and local income tax, the effect of cross-border tax laws, foreign tax effects, changes in prior year unrecognized tax benefits, and tax credits, among others. Additionally, some categories would then require disaggregation based on a quantitative threshold of 5%. The foreign tax effect category requires disaggregation by both jurisdiction and nature. The ASU also requires additional qualitative disclosures. All public entities will be required to report income tax information in accordance with the new guidance starting in annual periods beginning after December 15, 2024. The Company expects this ASU to only impact its disclosures with no impacts to the Company's results of operations, cash flows, and financial condition.</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November 2023, the FASB issued ASU 2023-07,</w:t>
      </w:r>
      <w:r>
        <w:rPr>
          <w:rFonts w:ascii="Times New Roman" w:cs="Times New Roman" w:eastAsia="Times New Roman" w:hAnsi="Times New Roman"/>
          <w:sz w:val="18"/>
          <w:szCs w:val="18"/>
          <w:i w:val="1"/>
          <w:iCs w:val="1"/>
          <w:color w:val="auto"/>
        </w:rPr>
        <w:t xml:space="preserve"> Segment Reporting: Improvements in Reportable Segment Disclosures </w:t>
      </w:r>
      <w:r>
        <w:rPr>
          <w:rFonts w:ascii="Times New Roman" w:cs="Times New Roman" w:eastAsia="Times New Roman" w:hAnsi="Times New Roman"/>
          <w:sz w:val="18"/>
          <w:szCs w:val="18"/>
          <w:color w:val="auto"/>
        </w:rPr>
        <w:t>(“ASU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2023-07”). The amendments in the ASU are expected to improve disclosures about a public entity’s reportable segments and addresses requests from investors and other allocators or capital for additional, more detailed information about a reportable segment’s expenses. ASU 2023-07 requires public companies to disclose, on an annual and interim basis, significant expenses that are regularly provided to the chief operating decision maker (CODM) and included within each reported measure of segment profit and loss. The amendments in the ASU require that a public company provide all annual disclosures about a reportable segment’s profit or loss and assets currently required under ASC 280 in interim periods. The amendments in the ASU also require that a public entity disclose, on an annual and interim basis, and amount for other segment items by reportable segment and a description of its composition. The other segment items category is the difference between segment revenue less the significant expenses disclosed and each reported measure of segment profit or loss. The amendments in the ASU, among other items, also requires that a public company disclose the title and position of the CODM and an explanation of how the CODM uses the reported measure(s) of segment profit or loss in assessing segment performance and deciding how to allocate resources. The ASU applies to all public entities that are required to report segment information in accordance with Topic 280. All public entities will be required to report segment information in accordance with the new guidance starting in annual periods beginning after December 15, 2023. The Company expects this ASU to only impact its disclosures with no impacts to the Company's results of operations, cash flows, and financial condition.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Acquisitions and Divestiture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2023, the Company acquired 100% of a formerly independent sales agent of Gartner research products in the Czech Republic for an aggregate purchase price of $7.9 million, including cash acquired and deferred consideration. The allocation of the purchase price is preliminary with respect to certain tax matters.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2022, the Company acquired 100% of the outstanding capital stock of UpCity, Inc. (“UpCity”), a privately-held company based in Chicago, Illinois, for an aggregate purchase price of $6.4 million. UpCity’s online marketplace helps small businesses by connecting them to ratings and reviews of more than 50,000 B2B service providers.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June 2021, the Company acquired 100% of the outstanding capital stock of Pulse Q&amp;A Inc. (“Pulse”), a privately-held company based in San Francisco, California, for an aggregate purchase price of $29.9 million. </w:t>
      </w:r>
      <w:r>
        <w:rPr>
          <w:rFonts w:ascii="Times New Roman" w:cs="Times New Roman" w:eastAsia="Times New Roman" w:hAnsi="Times New Roman"/>
          <w:sz w:val="18"/>
          <w:szCs w:val="18"/>
          <w:color w:val="212121"/>
        </w:rPr>
        <w:t>Pulse is a technology-enabled community platform.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2021, the Company paid $22.9 million in cash for Pulse after considering the cash acquired with the business, amounts held in escrow and certain other purchase price adjustments. During the year ended December 31, 2022, the Company paid $4.1 million of deferred consideration held in escrow. In addition to the purchase price, the Company may also be required to pay up to $4.5 million in cash based on the continuing employment of certain key employees. Such amounts are recognized as compensation expense over three years post-acquisition and reported in Acquisition and integration charges in the Consolidated Statements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$31.0 million of goodwill and finite-lived intangible assets and $1.1 million of liabilities on a net basis for the Pulse acquisition.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2023, the Company completed the sale of a non-core business, TalentNeuron, for approximately $161.1 million after consideration of post-close adjustments. The Company recorded a pre-tax gain of $135.4 million on the sale of TalentNeuron, which is included in Gain from sale of divested operation in the Consolidated Statement of Operations for the year ended December 31, 2023. TalentNeuron was included in the Company’s Research segment. The principal components of the assets divested included goodwill, intangible assets, net, property, equipment and leasehold improvements, net, and accounts receivable, with carrying amounts of $16.0 million, $9.5 million, $4.5 million and $11.8 million, respectively, while the liabilities transferred with the sale primarily consisted of deferred revenue with a carrying amount of $24.4 million. Such assets and liabilities were included in Assets held-for-sale and Liabilities held-for-sale, respectively, on the Consolidated Balance Sheet at December 31, 2022 at their respective carrying values at that date.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and Integration Charges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$9.6 million, $9.1 million and $6.1 million of Acquisition and integration charges during 2023, 2022 and 2021, respectively. Acquisition and integration charges reflect additional costs and expenses resulting from the Company’s acquisitions and divestitures and include, among other items, professional fees and personnel related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2021, the Company received $2.3 million cash proceeds from deferred consideration related to a 2018 divestiture.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Goodwill and Intangible Assets</w:t>
      </w:r>
    </w:p>
    <w:p>
      <w:pPr>
        <w:spacing w:after="0" w:line="2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table below presents changes to the carrying amount of goodwill by segment during the two-year period ended December 31, 2023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4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6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 (1)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2,670,934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2,951,317</w:t>
            </w:r>
          </w:p>
        </w:tc>
      </w:tr>
      <w:tr>
        <w:trPr>
          <w:trHeight w:val="23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due to an acquisition (2)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Reclassified as held-for-sale (3)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5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(9,723)</w:t>
            </w:r>
          </w:p>
        </w:tc>
      </w:tr>
      <w:tr>
        <w:trPr>
          <w:trHeight w:val="223"/>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 (1)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2,651,193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2,930,211</w:t>
            </w:r>
          </w:p>
        </w:tc>
      </w:tr>
      <w:tr>
        <w:trPr>
          <w:trHeight w:val="23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due to an acquisition (2)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r>
      <w:tr>
        <w:trPr>
          <w:trHeight w:val="23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22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2023 (1)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2,657,549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183,997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2,937,260</w:t>
            </w:r>
          </w:p>
        </w:tc>
      </w:tr>
      <w:tr>
        <w:trPr>
          <w:trHeight w:val="20"/>
        </w:trPr>
        <w:tc>
          <w:tcPr>
            <w:tcW w:w="4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63"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accumulated goodwill impairment losses.</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additions were due to the acquisition of UpCity in October 2022 and an independent sales agent in September 2023 See Note 2 — Acquisitions and Divestiture for additional information.</w:t>
      </w: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reclassified to Assets held-for-sale due to the divestiture of the Company’s TalentNeuron business in February 2023. See Note 2</w:t>
      </w:r>
    </w:p>
    <w:p>
      <w:pPr>
        <w:spacing w:after="0" w:line="17" w:lineRule="exact"/>
        <w:rPr>
          <w:rFonts w:ascii="Times New Roman" w:cs="Times New Roman" w:eastAsia="Times New Roman" w:hAnsi="Times New Roman"/>
          <w:sz w:val="18"/>
          <w:szCs w:val="18"/>
          <w:color w:val="auto"/>
        </w:rPr>
      </w:pPr>
    </w:p>
    <w:p>
      <w:pPr>
        <w:ind w:left="3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Acquisitions and Divestiture for additional information. The amount of goodwill allocated to the divestiture was determined using a relative fair value approach.</w:t>
      </w:r>
    </w:p>
    <w:p>
      <w:pPr>
        <w:spacing w:after="0" w:line="18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Finite-lived intangible assets. </w:t>
      </w:r>
      <w:r>
        <w:rPr>
          <w:rFonts w:ascii="Times New Roman" w:cs="Times New Roman" w:eastAsia="Times New Roman" w:hAnsi="Times New Roman"/>
          <w:sz w:val="18"/>
          <w:szCs w:val="18"/>
          <w:color w:val="auto"/>
        </w:rPr>
        <w:t>Changes in finite-lived intangible assets during the two-year period ended December 31, 2023 are presented in the tables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(in thousands).</w:t>
      </w:r>
    </w:p>
    <w:tbl>
      <w:tblPr>
        <w:tblLayout w:type="fixed"/>
        <w:tblInd w:w="0" w:type="dxa"/>
        <w:tblCellMar>
          <w:top w:w="0" w:type="dxa"/>
          <w:left w:w="0" w:type="dxa"/>
          <w:bottom w:w="0" w:type="dxa"/>
          <w:right w:w="0" w:type="dxa"/>
        </w:tblCellMar>
      </w:tblPr>
      <w:tr>
        <w:trPr>
          <w:trHeight w:val="186"/>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line="186" w:lineRule="exact"/>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line="186" w:lineRule="exact"/>
              <w:rPr>
                <w:sz w:val="20"/>
                <w:szCs w:val="20"/>
                <w:color w:val="auto"/>
              </w:rPr>
            </w:pPr>
            <w:r>
              <w:rPr>
                <w:rFonts w:ascii="Times New Roman" w:cs="Times New Roman" w:eastAsia="Times New Roman" w:hAnsi="Times New Roman"/>
                <w:sz w:val="18"/>
                <w:szCs w:val="18"/>
                <w:b w:val="1"/>
                <w:bCs w:val="1"/>
                <w:color w:val="auto"/>
                <w:w w:val="96"/>
              </w:rPr>
              <w:t>Technology-</w:t>
            </w:r>
          </w:p>
        </w:tc>
        <w:tc>
          <w:tcPr>
            <w:tcW w:w="240" w:type="dxa"/>
            <w:vAlign w:val="bottom"/>
          </w:tcPr>
          <w:p>
            <w:pPr>
              <w:spacing w:after="0"/>
              <w:rPr>
                <w:sz w:val="16"/>
                <w:szCs w:val="16"/>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16"/>
                <w:szCs w:val="16"/>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4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18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related</w:t>
            </w:r>
          </w:p>
        </w:tc>
        <w:tc>
          <w:tcPr>
            <w:tcW w:w="2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 at December 31, 2022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1,060,541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1,082,177</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due to an acquisition (1)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fully amortized</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1,098,583</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 (3)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(596,625)</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501,958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4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5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240" w:type="dxa"/>
            <w:vAlign w:val="bottom"/>
          </w:tcPr>
          <w:p>
            <w:pPr>
              <w:spacing w:after="0"/>
              <w:rPr>
                <w:sz w:val="17"/>
                <w:szCs w:val="17"/>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17"/>
                <w:szCs w:val="17"/>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8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18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related</w:t>
            </w:r>
          </w:p>
        </w:tc>
        <w:tc>
          <w:tcPr>
            <w:tcW w:w="2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 at December 31, 2021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1,168,010</w:t>
            </w:r>
          </w:p>
        </w:tc>
        <w:tc>
          <w:tcPr>
            <w:tcW w:w="0" w:type="dxa"/>
            <w:vAlign w:val="bottom"/>
          </w:tcPr>
          <w:p>
            <w:pPr>
              <w:spacing w:after="0"/>
              <w:rPr>
                <w:sz w:val="1"/>
                <w:szCs w:val="1"/>
                <w:color w:val="auto"/>
              </w:rPr>
            </w:pPr>
          </w:p>
        </w:tc>
      </w:tr>
      <w:tr>
        <w:trPr>
          <w:trHeight w:val="229"/>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Reclassified as held-for-sale (2)</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(49,487)</w:t>
            </w:r>
          </w:p>
        </w:tc>
        <w:tc>
          <w:tcPr>
            <w:tcW w:w="0" w:type="dxa"/>
            <w:vAlign w:val="bottom"/>
          </w:tcPr>
          <w:p>
            <w:pPr>
              <w:spacing w:after="0"/>
              <w:rPr>
                <w:sz w:val="1"/>
                <w:szCs w:val="1"/>
                <w:color w:val="auto"/>
              </w:rPr>
            </w:pPr>
          </w:p>
        </w:tc>
      </w:tr>
      <w:tr>
        <w:trPr>
          <w:trHeight w:val="230"/>
        </w:trPr>
        <w:tc>
          <w:tcPr>
            <w:tcW w:w="5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(36,346)</w:t>
            </w:r>
          </w:p>
        </w:tc>
        <w:tc>
          <w:tcPr>
            <w:tcW w:w="0" w:type="dxa"/>
            <w:vAlign w:val="bottom"/>
          </w:tcPr>
          <w:p>
            <w:pPr>
              <w:spacing w:after="0"/>
              <w:rPr>
                <w:sz w:val="1"/>
                <w:szCs w:val="1"/>
                <w:color w:val="auto"/>
              </w:rPr>
            </w:pPr>
          </w:p>
        </w:tc>
      </w:tr>
      <w:tr>
        <w:trPr>
          <w:trHeight w:val="223"/>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cost</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1,060,541</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1,082,177</w:t>
            </w:r>
          </w:p>
        </w:tc>
        <w:tc>
          <w:tcPr>
            <w:tcW w:w="0" w:type="dxa"/>
            <w:vAlign w:val="bottom"/>
          </w:tcPr>
          <w:p>
            <w:pPr>
              <w:spacing w:after="0"/>
              <w:rPr>
                <w:sz w:val="1"/>
                <w:szCs w:val="1"/>
                <w:color w:val="auto"/>
              </w:rPr>
            </w:pPr>
          </w:p>
        </w:tc>
      </w:tr>
      <w:tr>
        <w:trPr>
          <w:trHeight w:val="230"/>
        </w:trPr>
        <w:tc>
          <w:tcPr>
            <w:tcW w:w="5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 (3)</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(486,260)</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(497,463)</w:t>
            </w:r>
          </w:p>
        </w:tc>
        <w:tc>
          <w:tcPr>
            <w:tcW w:w="0" w:type="dxa"/>
            <w:vAlign w:val="bottom"/>
          </w:tcPr>
          <w:p>
            <w:pPr>
              <w:spacing w:after="0"/>
              <w:rPr>
                <w:sz w:val="1"/>
                <w:szCs w:val="1"/>
                <w:color w:val="auto"/>
              </w:rPr>
            </w:pPr>
          </w:p>
        </w:tc>
      </w:tr>
      <w:tr>
        <w:trPr>
          <w:trHeight w:val="223"/>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574,281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584,714</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line="261"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additions were due to the acquisition of an independent sales agent in September 2023. See Note 2 — Acquisitions and Divestiture for additional information.</w:t>
      </w: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reclassified to Assets held-for-sale due to the divestiture of the Company’s TalentNeuron business in February 2023. See Note 2</w:t>
      </w:r>
    </w:p>
    <w:p>
      <w:pPr>
        <w:spacing w:after="0" w:line="1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Acquisitions and Divestiture for additional information.</w:t>
      </w:r>
    </w:p>
    <w:p>
      <w:pPr>
        <w:spacing w:after="0" w:line="27"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Finite-lived intangible assets are amortized using the straight-line method over the following periods: Customer relationships—6 to 13 years; Technology-related—3 to 7 years; and Other —4 to 11 years.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finite-lived intangible assets was $92.5 million, $98.5 million and $109.6 million in 2023, 2022 and 2021,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amortization expense by year for finite-lived intangible assets is presented in the table below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90,138</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81,471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78,796</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76,716</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96,649</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501,958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Other Assets</w:t>
            </w: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other assets are summarized in the table below (in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plan-related 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99,527</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138,318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59,686</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339,288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297,531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Accounts Payable and Accrued and Other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Accounts payable and accrued liabilities are summarized in the table below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1517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Payroll and employee benefits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Bonus payable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Commissions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payable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VAT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7774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Other liabilities are summarized in the table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1517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Non-current deferred revenues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Benefit plan-related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Non-current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7774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total outstanding borrowings are summarized in the table below (in thousands).</w:t>
      </w:r>
    </w:p>
    <w:p>
      <w:pPr>
        <w:spacing w:after="0" w:line="20" w:lineRule="exact"/>
        <w:rPr>
          <w:sz w:val="20"/>
          <w:szCs w:val="20"/>
          <w:color w:val="auto"/>
        </w:rPr>
      </w:pPr>
      <w:r>
        <w:rPr>
          <w:sz w:val="20"/>
          <w:szCs w:val="20"/>
          <w:color w:val="auto"/>
        </w:rPr>
        <w:br w:type="column"/>
      </w:r>
    </w:p>
    <w:p>
      <w:pPr>
        <w:ind w:left="9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63,139</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83,225</w:t>
            </w:r>
          </w:p>
        </w:tc>
      </w:tr>
      <w:tr>
        <w:trPr>
          <w:trHeight w:val="229"/>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221,242</w:t>
            </w:r>
          </w:p>
        </w:tc>
      </w:tr>
      <w:tr>
        <w:trPr>
          <w:trHeight w:val="230"/>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254,675</w:t>
            </w:r>
          </w:p>
        </w:tc>
      </w:tr>
      <w:tr>
        <w:trPr>
          <w:trHeight w:val="229"/>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168,042</w:t>
            </w:r>
          </w:p>
        </w:tc>
      </w:tr>
      <w:tr>
        <w:trPr>
          <w:trHeight w:val="229"/>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76,383</w:t>
            </w:r>
          </w:p>
        </w:tc>
      </w:tr>
      <w:tr>
        <w:trPr>
          <w:trHeight w:val="230"/>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43,187</w:t>
            </w:r>
          </w:p>
        </w:tc>
      </w:tr>
      <w:tr>
        <w:trPr>
          <w:trHeight w:val="229"/>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99,717</w:t>
            </w:r>
          </w:p>
        </w:tc>
      </w:tr>
      <w:tr>
        <w:trPr>
          <w:trHeight w:val="234"/>
        </w:trPr>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144,364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168,727</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1,127,604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1,115,198</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33,490</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39,115</w:t>
            </w:r>
          </w:p>
        </w:tc>
      </w:tr>
      <w:tr>
        <w:trPr>
          <w:trHeight w:val="230"/>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92,812</w:t>
            </w:r>
          </w:p>
        </w:tc>
      </w:tr>
      <w:tr>
        <w:trPr>
          <w:trHeight w:val="229"/>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124,378</w:t>
            </w:r>
          </w:p>
        </w:tc>
      </w:tr>
      <w:tr>
        <w:trPr>
          <w:trHeight w:val="229"/>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139,531</w:t>
            </w:r>
          </w:p>
        </w:tc>
      </w:tr>
      <w:tr>
        <w:trPr>
          <w:trHeight w:val="234"/>
        </w:trPr>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27,628</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415,464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423,464</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sectPr>
          <w:pgSz w:w="11900" w:h="16838" w:orient="portrait"/>
          <w:cols w:equalWidth="0" w:num="2">
            <w:col w:w="7520" w:space="720"/>
            <w:col w:w="3000"/>
          </w:cols>
          <w:pgMar w:left="320" w:top="927" w:right="339" w:bottom="1440" w:gutter="0" w:footer="0" w:header="0"/>
        </w:sectPr>
      </w:pPr>
    </w:p>
    <w:tbl>
      <w:tblPr>
        <w:tblLayout w:type="fixed"/>
        <w:tblInd w:w="0" w:type="dxa"/>
        <w:tblCellMar>
          <w:top w:w="0" w:type="dxa"/>
          <w:left w:w="0" w:type="dxa"/>
          <w:bottom w:w="0" w:type="dxa"/>
          <w:right w:w="0" w:type="dxa"/>
        </w:tblCellMar>
      </w:tblPr>
      <w:tr>
        <w:trPr>
          <w:trHeight w:val="223"/>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6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Credit Agreement - Term loan facility (1)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282,200</w:t>
            </w:r>
          </w:p>
        </w:tc>
      </w:tr>
      <w:tr>
        <w:trPr>
          <w:trHeight w:val="23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2020 Credit Agreement - Revolving credit facility (1), (2)</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2028 (“2028 Notes”) (3)</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3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2029 (“2029 Notes”) (4)</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9"/>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2030 (“2030 Notes”) (5)</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30"/>
        </w:trPr>
        <w:tc>
          <w:tcPr>
            <w:tcW w:w="78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(6)</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outstanding (7)</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2,479,400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2,487,200</w:t>
            </w:r>
          </w:p>
        </w:tc>
      </w:tr>
      <w:tr>
        <w:trPr>
          <w:trHeight w:val="230"/>
        </w:trPr>
        <w:tc>
          <w:tcPr>
            <w:tcW w:w="78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deferred financing fees (8)</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(25,793)</w:t>
            </w:r>
          </w:p>
        </w:tc>
      </w:tr>
      <w:tr>
        <w:trPr>
          <w:trHeight w:val="248"/>
        </w:trPr>
        <w:tc>
          <w:tcPr>
            <w:tcW w:w="78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sheet carrying amount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2,458,296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2,461,407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4380" w:type="dxa"/>
            <w:vAlign w:val="bottom"/>
            <w:tcBorders>
              <w:bottom w:val="single" w:sz="8" w:color="auto"/>
            </w:tcBorders>
          </w:tcPr>
          <w:p>
            <w:pPr>
              <w:spacing w:after="0"/>
              <w:rPr>
                <w:sz w:val="11"/>
                <w:szCs w:val="11"/>
                <w:color w:val="auto"/>
              </w:rPr>
            </w:pPr>
          </w:p>
        </w:tc>
        <w:tc>
          <w:tcPr>
            <w:tcW w:w="3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r>
    </w:tbl>
    <w:p>
      <w:pPr>
        <w:spacing w:after="0" w:line="76" w:lineRule="exact"/>
        <w:rPr>
          <w:sz w:val="20"/>
          <w:szCs w:val="20"/>
          <w:color w:val="auto"/>
        </w:rPr>
      </w:pPr>
    </w:p>
    <w:p>
      <w:pPr>
        <w:jc w:val="both"/>
        <w:ind w:left="340" w:hanging="332"/>
        <w:spacing w:after="0" w:line="257"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annualized interest rate as of December 31, 2023 on the 2020 Credit Agreement Term loan facility and the Revolving credit facility was 6.73%, which consisted of Term Secured Overnight Financing Rate (“SOFR”) of 5.375% plus a margin of 1.350%. However, the Company has an interest rate swap contracts that effectively converts the floating SOFR on outstanding amounts to a fixed base rate.</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approximately $1.0 billion of available borrowing capacity on the 2020 Credit Agreement revolver (not including the expansion feature) as of December 31, 2023.</w:t>
      </w:r>
    </w:p>
    <w:p>
      <w:pPr>
        <w:ind w:left="340" w:hanging="332"/>
        <w:spacing w:after="0" w:line="25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$800.0 million principal amount of 2028 Notes outstanding. The 2028 Notes bear interest at a fixed rate of 4.50% and mature on July 1, 2028.</w:t>
      </w:r>
    </w:p>
    <w:p>
      <w:pPr>
        <w:ind w:left="340" w:hanging="332"/>
        <w:spacing w:after="0" w:line="25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$600.0 million principal amount of 2029 Notes outstanding. The 2029 Notes bear interest at a fixed rate of 3.625% and mature on June 15, 2029.</w:t>
      </w:r>
    </w:p>
    <w:p>
      <w:pPr>
        <w:ind w:left="340" w:hanging="332"/>
        <w:spacing w:after="0" w:line="26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$800.0 million principal amount of 2030 Notes outstanding. The 2030 Notes bear interest at a fixed rate of 3.75% and mature on October 1, 2030.</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3" w:name="page54"/>
    <w:bookmarkEnd w:id="53"/>
    <w:p>
      <w:pPr>
        <w:ind w:left="340" w:hanging="332"/>
        <w:spacing w:after="0" w:line="261"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State of Connecticut economic development loan originated in 2019 with a 10-year maturity and bears interest at a fixed rate of 1.75%. This loan may be repaid at any time by the Company without penalty.</w:t>
      </w:r>
    </w:p>
    <w:p>
      <w:pPr>
        <w:ind w:left="340" w:hanging="332"/>
        <w:spacing w:after="0" w:line="250"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annual effective rate on the Company’s outstanding debt for 2023, including the effects of its interest rate swaps discussed below, was 5.00%.</w:t>
      </w: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financing fees are being amortized to Interest expense over the term of the related debt obligation.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2021, the Company issued $600.0 million aggregate principal amount of 3.625% Senior Notes due 2029. The 2029 Notes were issued pursuant to an indenture, dated as of June 18, 2021 (the “2029 Note Indenture”), among the Company, the guarantors party thereto and U.S. Bank National Association, as trustee.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2029 Notes were issued at an issue price of 100.0% and bear interest at a rate of 3.625% per annum. Interest on the 2029 Notes is payable on June 15 and December 15 of each year, beginning on December 15, 2021. The 2029 Notes will mature on June 15, 2029. The Company may redeem some or all of the 2029 Notes at any time on or after June 15, 2024 for cash at the redemption prices set forth in the 2029 Notes Indenture, plus accrued and unpaid interest to, but excluding, the redemption date. Prior to June 15, 2024, the Company may redeem up to 40% of the aggregate principal amount of the 2029 Notes in connection with certain equity offerings, or some or all of the 2029 Notes with a “make-whole” premium, in each case subject to the terms set forth in the 2029 Note Indenture.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28, 2020, the Company issued $800.0 million aggregate principal amount of 3.75% Senior Notes due 2030. The 2030 Notes were issued pursuant to an indenture, dated as of September 28, 2020 (the “2030 Note Indenture”), among the Company, the guarantors party thereto and U.S. Bank National Association, as trustee.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2030 Notes were issued at an issue price of 100.0% and bear interest at a rate of 3.75% per annum. Interest on the 2030 Notes is payable on April 1 and October 1 of each year, beginning on April 1, 2021. The 2030 Notes will mature on October 1, 2030.</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some or all of the 2030 Notes at any time on or after October 1, 2025 for cash at the redemption prices set forth in the 2030 Note Indenture, plus accrued and unpaid interest to, but excluding, the redemption date. Prior to October 1, 2025, the Company may redeem up to 40% of the aggregate principal amount of the 2030 Notes in connection with certain equity offerings, or some or all of the 2030 Notes with a “make-whole” premium, in each case subject to the terms set forth in the 2030 Note Indenture.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2028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22, 2020, the Company issued $800.0 million aggregate principal amount of 4.50% Senior Notes due 2028. The 2028 Notes were issued pursuant to an indenture, dated as of June 22, 2020 (the “2028 Note Indenture”), among the Company, the guarantors party thereto and U.S. Bank National Association, as trustee.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2028 Notes were issued at an issue price of 100.0% and bear interest at a rate of 4.50% per annum. Interest on the 2028 Notes is payable on January 1 and July 1 of each year, beginning on January 1, 2021. The 2028 Notes will mature on July 1, 2028.</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some or all of the 2028 Notes at any time on or after July 1, 2023 for cash at the redemption prices set forth in the 2028 Note Indenture, plus accrued and unpaid interest to, but excluding, the redemption date. Prior to July 1, 2023, the Company may redeem up to 40% of the aggregate principal amount of the 2028 Notes in connection with certain equity offerings, or some or all of the 2028 Notes with a “make-whole” premium, in each case subject to the terms set forth in the 2028 Note Indenture.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Credit Agreement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credit facility that currently provides for a $400.0 million Term loan facility and a $1.0 billion Revolving credit facility (the “2020 Credit Agreement”). The 2020 Credit Agreement contains certain customary restrictive loan covenants, including, among others, financial covenants that apply a maximum consolidated leverage ratio and a minimum consolidated interest expense coverage ratio. The Company was in compliance with all financial covenants as of December 31, 2023.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is being repaid in consecutive quarterly installments that commenced on December 31, 2020, plus a final payment to be made on September 28, 2025. The Company used a portion of the net proceeds from the issuance of the 2029 Notes to repay $100.0 million of the outstanding borrowings under the term loan facility in June 2021. The Revolving credit facility may be borrowed, repaid and re-borrowed through September 28, 2025, at which all then-outstanding amounts must be repaid.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2023, the Company entered into an amendment of the 2020 Credit Agreement that replaced the interest rate benchmark from LIBOR to Secured Overnight Financing Rate (“SOFR”). After the amendment, interest is accrued on outstanding balances under the credit facility and payable monthly at a rate of the one month Term SOFR plus 10 basis points and the applicable margin. Prior to the amendment, interest was accrued at a rate of the one month LIBOR plus the applicable margin.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one fixed-for-floating interest rate swap contract with a total notional value of $350.0 million that matures in 2025. In May 2023, in conjunction with the amendment of the 2020 credit agreement, the Company entered into an amendment of its interest rate swap contract. Under the amended agreement, the Company pays a base fixed rate of 2.98% and in return receives a floating Term SOFR base rate on 30-day notional borrowings. Prior to the amendment, the Company paid a base fixed rate of 3.04% and in return received a floating Eurodollar base rate on 30-day notional borrowings.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June 30, 2020, the Company de-designated all of its interest rate swaps and discontinued hedge accounting. Accordingly, subsequent changes to the fair value of the interest rate swaps are recorded in Other income, net. The amounts previously recorded in Accumulated other comprehensive loss are amortized into Interest expense over the terms of the hedged forecasted interest payments. As of December 31, 2023, $32.3 million is remaining in Accumulated other comprehensive loss, net. See Note 14 — Fair Value Disclosures for the determination of the fair values of Company’s interest rate swaps.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leasing activities are primarily for facilities under cancelable and non-cancelable lease agreements expiring during 2024 and through 2038. These facilities support the Company’s executive and administrative activities, research and consulting, sales, systems support, operations, and other functions. The Company also has leases for office equipment and other assets, which are not significant. Certain of the Company’s lease agreements include (i) renewal options to extend the lease term for up to ten years and/or (ii) options to terminate the agreement within one year. Additionally, certain of the Company’s lease agreements provide standard recurring escalations of lease payments for, among other things, increases in a lessor’s maintenance costs and taxes. Under some lease agreements, the Company may be entitled to allowances, free rent, lessor-financed tenant improvements and other incentives. The Company’s lease agreements do not contain any material residual value guarantees or material restrictive covenants.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subleases certain office space that it does not intend to occupy. Such sublease arrangements expire during 2024 and through 2032 and primarily relate to facilities in Arlington, Virginia. Certain of the Company’s sublease agreements: (i) include renewal and termination options; (ii) provide for customary escalations of lease payments in the normal course of business; and (iii) grant the subtenant certain allowances, free rent, Gartner-financed tenant improvements and other incentives.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Accounting under ASC 842</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ASC 842, a lease is a contract or an agreement, or a part of another arrangement, between two or more parties that, at its inception, creates enforceable rights and obligations that conveys the right to control the use of identified property, plant or equipment for a period of time in exchange for consideration.</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Right-of-use assets represent a right to use an underlying asset for the lease term and the related lease liability represents an obligation to make lease payments pursuant to the contractual terms of the lease agreement. Right-of-use assets and lease liabilities are initially recognized on the lease commencement date based on the present value of the lease payments over the lease term. For all of the Company’s facilities leases, the Company accounts for both lease components and nonlease components (e.g., common area maintenance charges, etc.) as a single lease component when determining the present value of the Company’s lease payments. Variable lease payments that are not dependent on an index or a rate are excluded from the determination of right-of-use assets and lease liabilities and such payments are recognized as expense in the period when the related obligation is incurred.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5" w:name="page56"/>
    <w:bookmarkEnd w:id="55"/>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lease agreements do not provide implicit interest rates. Instead, the Company uses an incremental borrowing rate determined on the lease commencement date to calculate the present value of future lease payments. The incremental borrowing rate is calculated for each individual lease and represents the rate of interest that the Company would have to pay to borrow on a collateralized basis (in the currency that the lease is denominated) over a similar term an amount equal to the lease payments in a similar economic environment. Right-of-use assets also include initial direct costs incurred by the Company and lease payments made to a lessor on or before the related lease commencement date, less any lease incentives received directly from the lessor.</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facility lease agreements include options to extend or terminate the lease. When it is reasonably certain that the Company will exercise a renewal or termination option, the present value of the lease payments for the affected lease is adjusted accordingly. Leases with a term of twelve months or less are accounted for in the same manner as long-term lease arrangements, including any related disclosures. Lease expense for operating leases is generally recognized on a straight-line basis over the lease term, unless the related right-of-use asset was previously impaired.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 Company’s existing sublease arrangements have been classified as operating leases with sublease income recognized on a straight-line basis over the term of the sublease arrangement. To measure the Company’s periodic sublease income, the Company elected to use a practical expedient under ASC 842 to aggregate nonlease components with the related lease components when (i) the timing and pattern of transfer for the nonlease components and the related lease components are the same and (ii) the lease components, if accounted for separately, would be classified as an operating lease. This practical expedient applies to all of the Company’s existing sublease arrangements.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projected lease cost for the term of a sublease exceeds the anticipated sublease income for that same period, the Company treats that circumstance as an indicator that the carrying amount of the related right-of-use asset may not be fully recoverable. In those situations, the Company performs an impairment analysis and, if indicated, the Company records a charge against earnings to reduce the right-of-use asset to the amount deemed to be recoverable in the future.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Consolidated Balance Sheet, right-of-use assets are classified and reported in Operating lease right-of-use assets, and the related lease liabilities are included in Accounts payable and accrued liabilities (current) and Operating lease liabilities (long-term). On the Consolidated Statement of Cash Flows, the reduction in the carrying amount of right-of-use assets is presented separately and the change in operating lease liabilities is included under Accounts payable and accrued and other liabilities in the reconciliation of net income to cash provided by operating activities.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All of the Company’s leasing and subleasing activities are recognized in Selling, general and administrative expense in the Consolidated Statements of Operations. The table below presents the Company’s net lease cost and certain other information related to the Company’s leasing activities as of and for the years ended December 31, 2023, 2022 and 2021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2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80" w:type="dxa"/>
            <w:vAlign w:val="bottom"/>
          </w:tcPr>
          <w:p>
            <w:pPr>
              <w:spacing w:after="0"/>
              <w:rPr>
                <w:sz w:val="19"/>
                <w:szCs w:val="19"/>
                <w:color w:val="auto"/>
              </w:rPr>
            </w:pPr>
          </w:p>
        </w:tc>
      </w:tr>
      <w:tr>
        <w:trPr>
          <w:trHeight w:val="238"/>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2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5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cost (1)</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112,948</w:t>
            </w:r>
          </w:p>
        </w:tc>
        <w:tc>
          <w:tcPr>
            <w:tcW w:w="1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117,750</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130,383</w:t>
            </w:r>
          </w:p>
        </w:tc>
      </w:tr>
      <w:tr>
        <w:trPr>
          <w:trHeight w:val="229"/>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Variable lease cost (2)</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15,209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17,940</w:t>
            </w:r>
          </w:p>
        </w:tc>
      </w:tr>
      <w:tr>
        <w:trPr>
          <w:trHeight w:val="230"/>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(53,377)</w:t>
            </w: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(46,698)</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(42,801)</w:t>
            </w:r>
          </w:p>
        </w:tc>
      </w:tr>
      <w:tr>
        <w:trPr>
          <w:trHeight w:val="223"/>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lease cost, net (3) (4)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81,825</w:t>
            </w:r>
          </w:p>
        </w:tc>
        <w:tc>
          <w:tcPr>
            <w:tcW w:w="1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86,261</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105,522</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16"/>
        </w:trPr>
        <w:tc>
          <w:tcPr>
            <w:tcW w:w="6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75"/>
        </w:trPr>
        <w:tc>
          <w:tcPr>
            <w:tcW w:w="666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145,226</w:t>
            </w:r>
          </w:p>
        </w:tc>
        <w:tc>
          <w:tcPr>
            <w:tcW w:w="6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137,399</w:t>
            </w:r>
          </w:p>
        </w:tc>
        <w:tc>
          <w:tcPr>
            <w:tcW w:w="1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140,571</w:t>
            </w:r>
          </w:p>
        </w:tc>
      </w:tr>
      <w:tr>
        <w:trPr>
          <w:trHeight w:val="230"/>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receipts from sublease arrangements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51,968</w:t>
            </w:r>
          </w:p>
        </w:tc>
        <w:tc>
          <w:tcPr>
            <w:tcW w:w="6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46,159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42,374</w:t>
            </w:r>
          </w:p>
        </w:tc>
      </w:tr>
      <w:tr>
        <w:trPr>
          <w:trHeight w:val="229"/>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6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20,597</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33,113</w:t>
            </w:r>
          </w:p>
        </w:tc>
      </w:tr>
      <w:tr>
        <w:trPr>
          <w:trHeight w:val="270"/>
        </w:trPr>
        <w:tc>
          <w:tcPr>
            <w:tcW w:w="6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remaining lease term for operating leases (in years)</w:t>
            </w: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8.7</w:t>
            </w:r>
          </w:p>
        </w:tc>
      </w:tr>
      <w:tr>
        <w:trPr>
          <w:trHeight w:val="234"/>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p>
        </w:tc>
        <w:tc>
          <w:tcPr>
            <w:tcW w:w="144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6.6 %</w:t>
            </w:r>
          </w:p>
        </w:tc>
        <w:tc>
          <w:tcPr>
            <w:tcW w:w="140" w:type="dxa"/>
            <w:vAlign w:val="bottom"/>
          </w:tcPr>
          <w:p>
            <w:pPr>
              <w:spacing w:after="0"/>
              <w:rPr>
                <w:sz w:val="20"/>
                <w:szCs w:val="20"/>
                <w:color w:val="auto"/>
              </w:rPr>
            </w:pPr>
          </w:p>
        </w:tc>
        <w:tc>
          <w:tcPr>
            <w:tcW w:w="144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6.6 %</w:t>
            </w:r>
          </w:p>
        </w:tc>
        <w:tc>
          <w:tcPr>
            <w:tcW w:w="140" w:type="dxa"/>
            <w:vAlign w:val="bottom"/>
          </w:tcPr>
          <w:p>
            <w:pPr>
              <w:spacing w:after="0"/>
              <w:rPr>
                <w:sz w:val="20"/>
                <w:szCs w:val="20"/>
                <w:color w:val="auto"/>
              </w:rPr>
            </w:pPr>
          </w:p>
        </w:tc>
        <w:tc>
          <w:tcPr>
            <w:tcW w:w="14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6.5 %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7774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27" w:lineRule="exact"/>
        <w:rPr>
          <w:sz w:val="20"/>
          <w:szCs w:val="20"/>
          <w:color w:val="auto"/>
        </w:rPr>
      </w:pPr>
    </w:p>
    <w:p>
      <w:pPr>
        <w:ind w:left="340" w:hanging="332"/>
        <w:spacing w:after="0" w:line="261" w:lineRule="auto"/>
        <w:tabs>
          <w:tab w:leader="none" w:pos="3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operating lease cost was $43.1 million, $41.9 million and $42.3 million of costs for subleasing activities during 2023, 2022, and 2021 respectively.</w:t>
      </w:r>
    </w:p>
    <w:p>
      <w:pPr>
        <w:ind w:left="340" w:right="20" w:hanging="332"/>
        <w:spacing w:after="0" w:line="250" w:lineRule="auto"/>
        <w:tabs>
          <w:tab w:leader="none" w:pos="3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primarily variable lease and nonlease costs that were not fixed at the lease commencement date or are dependent on something other than an index or a rate.</w:t>
      </w: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capitalize any initial direct costs for operating leases during 2023, 2022, or 2021.</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ind w:left="340" w:hanging="332"/>
        <w:spacing w:after="0" w:line="282" w:lineRule="auto"/>
        <w:tabs>
          <w:tab w:leader="none" w:pos="3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excludes impairment charges of $20.4 million, $54.0 million, and $49.5 million for the years ended December 31, 2023, 2022, and 2021 respectively, as discussed below.</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(i) maturities of operating lease liabilities under non-cancelable arrangements and (ii) estimated future sublease cash receipts from non-cancelable arrangements were as follows (in thousands):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Sublease</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Cash</w:t>
            </w:r>
          </w:p>
        </w:tc>
        <w:tc>
          <w:tcPr>
            <w:tcW w:w="0" w:type="dxa"/>
            <w:vAlign w:val="bottom"/>
          </w:tcPr>
          <w:p>
            <w:pPr>
              <w:spacing w:after="0"/>
              <w:rPr>
                <w:sz w:val="1"/>
                <w:szCs w:val="1"/>
                <w:color w:val="auto"/>
              </w:rPr>
            </w:pPr>
          </w:p>
        </w:tc>
      </w:tr>
      <w:tr>
        <w:trPr>
          <w:trHeight w:val="23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Period ending December 31,</w:t>
            </w:r>
          </w:p>
        </w:tc>
        <w:tc>
          <w:tcPr>
            <w:tcW w:w="22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Receipts</w:t>
            </w:r>
          </w:p>
        </w:tc>
        <w:tc>
          <w:tcPr>
            <w:tcW w:w="0" w:type="dxa"/>
            <w:vAlign w:val="bottom"/>
          </w:tcPr>
          <w:p>
            <w:pPr>
              <w:spacing w:after="0"/>
              <w:rPr>
                <w:sz w:val="1"/>
                <w:szCs w:val="1"/>
                <w:color w:val="auto"/>
              </w:rPr>
            </w:pPr>
          </w:p>
        </w:tc>
      </w:tr>
      <w:tr>
        <w:trPr>
          <w:trHeight w:val="223"/>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5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135,707</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47,311</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113,494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44,243</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109,493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45,120</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237,439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operating lease payments and estimated sublease cash receipts (1)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778,942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207,647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(167,043)</w:t>
            </w: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60" w:type="dxa"/>
            <w:vAlign w:val="bottom"/>
            <w:tcBorders>
              <w:bottom w:val="single" w:sz="8" w:color="CCEEFF"/>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 per the Consolidated Balance Sheet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611,899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Approximately 79% of the operating lease payments pertain to properties in the United States.</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table below indicates where the discounted operating lease payments from the above table are classified in the Consolidated Balance Sheet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Pr>
          <w:p>
            <w:pPr>
              <w:spacing w:after="0"/>
              <w:rPr>
                <w:sz w:val="19"/>
                <w:szCs w:val="19"/>
                <w:color w:val="auto"/>
              </w:rPr>
            </w:pPr>
          </w:p>
        </w:tc>
      </w:tr>
      <w:tr>
        <w:trPr>
          <w:trHeight w:val="238"/>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98,493</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99,717</w:t>
            </w:r>
          </w:p>
        </w:tc>
      </w:tr>
      <w:tr>
        <w:trPr>
          <w:trHeight w:val="230"/>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513,406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597,267</w:t>
            </w:r>
          </w:p>
        </w:tc>
      </w:tr>
      <w:tr>
        <w:trPr>
          <w:trHeight w:val="24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 per the Consolidated Balance Sheet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696,984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additional operating leases for facilities that have not yet commenced. These operating leases, which aggregated $3.2 million of undiscounted lease payments, are scheduled to commence during 2024 with lease terms of up to 5 years.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and in consideration of the changing nature of the Company’s use of office space, the Company continues to evaluate its existing real estate lease portfolio. In connection with this evaluation, the Company reviewed certain of its right-of-use assets and related other long-lived assets for impairment under ASC 360.</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evaluation, the Company recognized an impairment loss of $20.4 million, $54.0 million and $49.5 million during the years ended December 31, 2023, 2022, and 2021, respectively, which is included as a component of Selling, general and administrative expenses in the accompanying Consolidated Statements of Operations. The impairment loss for the year ended December 31, 2023 includes $14.7 million related to right-of-use assets and $5.7 million related to other long-lived assets, primarily leasehold improvements. The impairment loss for the year ended December 31, 2022 includes $40.7 million related to right-of-use assets and $13.3 million related to other long-lived assets, primarily leasehold improvements. The impairment loss for the year ended December 31, 2021 includes $50.9 million related to right-of-use assets and $17.9 million related to other long-lived assets, primarily leasehold improvements and a $19.3 million reduction in lease liabilities.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for the asset groups relating to the impaired long-lived assets were estimated primarily using discounted cash flow models (income approach) with Level 3 inputs. The significant assumptions used in estimating fair value include the expected downtime prior to the commencement of future subleases, projected sublease income over the remaining lease periods and discount rates that reflect the level of risk associated with receiving future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Holders of Gartner’s common stock, par value $0.0005 per share, are entitled to one vote per share on all matters to be voted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The Company does not currently pay cash dividends on its common stock. Also, the 2020 Credit Agreement contains a negative covenant that may limit the Company’s ability to pay dividends. The table below summarizes transactions relating to the Company’s common stock for the three years ended December 31, 2023.</w:t>
      </w: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5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4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5"/>
              </w:rPr>
              <w:t>Treasury</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163,602,067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74,759,985</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(807,320)</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for treasury (1)</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7,252,839</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163,602,067</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81,205,504</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(599,081)</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for treasury (1)</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3,822,090</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163,602,067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84,428,513</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(975,745)</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for treasury (1)</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1,811,758</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163,602,067</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85,264,526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Company used a total of $0.6 billion, $1.0 billion and $1.7 billion in cash for share repurchases during 2023, 2022 and 2021, respectively.</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Share repurchase authorization. </w:t>
      </w:r>
      <w:r>
        <w:rPr>
          <w:rFonts w:ascii="Times New Roman" w:cs="Times New Roman" w:eastAsia="Times New Roman" w:hAnsi="Times New Roman"/>
          <w:sz w:val="18"/>
          <w:szCs w:val="18"/>
          <w:color w:val="auto"/>
        </w:rPr>
        <w:t>In 2015, the Company’s Board of Directors (the “Board”) authorized a share repurchase program to repurchase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billion of the Company’s common stock. The Board authorized incremental share repurchases of up to an additional $1.6 billion, $1.0 billion and $0.9 billion of the Company’s common stock during 2021, 2022 and 2023, respectively. $987 million remained available as of December 31, 2023.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 net (“AOCI/L”)</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provide information about the changes in AOCI/L by component and the related amounts reclassified out of AOCI/L to income during the years indicated (net of tax, in thousands) (1).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3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Defined Benefit</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60" w:type="dxa"/>
            <w:vAlign w:val="bottom"/>
          </w:tcPr>
          <w:p>
            <w:pPr>
              <w:spacing w:after="0"/>
              <w:rPr>
                <w:sz w:val="16"/>
                <w:szCs w:val="16"/>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(101,610)</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year:</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AOCI/L before reclassifications to income</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0" w:type="dxa"/>
            <w:vAlign w:val="bottom"/>
          </w:tcPr>
          <w:p>
            <w:pPr>
              <w:spacing w:after="0"/>
              <w:rPr>
                <w:sz w:val="1"/>
                <w:szCs w:val="1"/>
                <w:color w:val="auto"/>
              </w:rPr>
            </w:pPr>
          </w:p>
        </w:tc>
      </w:tr>
      <w:tr>
        <w:trPr>
          <w:trHeight w:val="230"/>
        </w:trPr>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Reclassifications from AOCI/L to income (2), (3)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15,218</w:t>
            </w:r>
          </w:p>
        </w:tc>
        <w:tc>
          <w:tcPr>
            <w:tcW w:w="0" w:type="dxa"/>
            <w:vAlign w:val="bottom"/>
          </w:tcPr>
          <w:p>
            <w:pPr>
              <w:spacing w:after="0"/>
              <w:rPr>
                <w:sz w:val="1"/>
                <w:szCs w:val="1"/>
                <w:color w:val="auto"/>
              </w:rPr>
            </w:pP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for the year</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25,279</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w:t>
            </w: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220" w:type="dxa"/>
            <w:vAlign w:val="bottom"/>
          </w:tcPr>
          <w:p>
            <w:pPr>
              <w:spacing w:after="0"/>
              <w:rPr>
                <w:sz w:val="15"/>
                <w:szCs w:val="15"/>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8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(81,431)</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year:</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AOCI/L before reclassifications to income</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(37,435)</w:t>
            </w:r>
          </w:p>
        </w:tc>
        <w:tc>
          <w:tcPr>
            <w:tcW w:w="0" w:type="dxa"/>
            <w:vAlign w:val="bottom"/>
          </w:tcPr>
          <w:p>
            <w:pPr>
              <w:spacing w:after="0"/>
              <w:rPr>
                <w:sz w:val="1"/>
                <w:szCs w:val="1"/>
                <w:color w:val="auto"/>
              </w:rPr>
            </w:pPr>
          </w:p>
        </w:tc>
      </w:tr>
      <w:tr>
        <w:trPr>
          <w:trHeight w:val="229"/>
        </w:trPr>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Reclassifications from AOCI/L to income (2), (3)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17,256</w:t>
            </w: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for the year</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0" w:type="dxa"/>
            <w:vAlign w:val="bottom"/>
          </w:tcPr>
          <w:p>
            <w:pPr>
              <w:spacing w:after="0"/>
              <w:rPr>
                <w:sz w:val="1"/>
                <w:szCs w:val="1"/>
                <w:color w:val="auto"/>
              </w:rPr>
            </w:pPr>
          </w:p>
        </w:tc>
      </w:tr>
      <w:tr>
        <w:trPr>
          <w:trHeight w:val="22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 December 31, 2022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(39,248)</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(101,610)</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parentheses represent debits (deferred losses).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 million and $22.6 million of the reclassifications related to interest rate swaps (cash flow hedges) were recorded in Interest expense for the year ended December 31, 2023 and 2022, respectively. See Note 6 — Debt and Note 13 — Derivatives and Hedging for information regarding the cash flow hedges.</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reclassifications related to defined benefit pension plans were primarily recorded in Selling, general and administrative expense, net of tax effect. See Note 15 — Employee Benefits for information regarding the Company’s defined benefit pension plans.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net amount of the existing losses on the Company’s interest rate swaps that are reported in Accumulated other comprehensive loss, net at December 31, 2023 that is expected to be reclassified into earnings within the next 12 months is $19.1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Revenue and Related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and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Gartner delivers its products and services globally through three business segments – Research, Conferences and Consulting, as described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equips executives and their teams from every function and across all industries with actionable, objective insight, guidance and tools. Our experienced experts deliver all this value informed by a combination of practitioner-sourced and data-driven research to help our clients address their mission critical priorities.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revenues are mainly derived from subscription contracts for research products, representing approximately 92% of the segment’s revenue. The related revenues are deferred and recognized ratably over the applicable contract term (i.e., as services are provided over the contract period). Fees derived from assisting organizations in selecting the right business software for their needs are recognized at a point in time (i.e., when the lead is provided to the vendor).</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enters into subscription contracts for research products that generally are for twelve-month periods or longer. Approximately 80% to 85% of the Company’s annual and multi-year Research subscription contracts provide for billing of the first full service period upon signing. In subsequent years, multi-year subscription contracts are normally billed prior to the contract’s anniversary date. Other Research subscription contracts are usually invoiced in advance, commencing with the contract signing, on (i) a quarterly, monthly or other recurring basis or (ii) in accordance with a customized invoicing schedule. Research contracts are generally non-cancelable and non-refundable, except for government contracts that may have cancellation or fiscal funding clauses, which have not historically resulted in material cancellations. It is the Company’s policy to record the amount of a subscription contract that is billable as a fee receivable at the time the contract is signed with a corresponding amount as deferred revenue because the contract represents a legally enforceable claim.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Conferences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Conferences provides executives and teams across an organization the opportunity to learn, share and network. From our Gartner Symposium/Xpo series, to industry-leading conferences focused on specific business roles and topics, to peer-driven sessions, our offerings enable attendees to experience the best of Gartner insight and guidance.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9" w:name="page60"/>
    <w:bookmarkEnd w:id="59"/>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earns revenues from both the attendees and exhibitors at Gartner conferences and meetings. Attendees are generally invoiced for the full attendance fee upon their completion of an online registration form or their signing of a contract, while exhibitors typically make several individual payments commencing with the signing of a contract. Almost all of the invoiced amounts are collected in advance of the related activity, resulting in the recording of deferred revenue. Both the attendee and exhibitor revenues are recognized as the related performance obligations are satisfied (i.e., when the related conference is held).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defers certain costs directly related to specific conferences and meetings and expenses those costs in the period during which the related activity occurs. The Company’s policy is to defer only those costs that are incremental and directly attributable to a specific activity, primarily prepaid site and production services costs. Other costs of organizing and producing conference activities, primarily Company personnel and non-conference specific expenses, are expensed in the period incurred.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Consulting serves senior executives leading technology-driven strategic initiatives leveraging the power of Gartner’s actionable, objective insight. Through custom analysis and on-the-ground support we enable optimized technology investments and stronger performance on our clients’ mission critical priorities.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Consulting revenues, primarily derived from custom consulting and measurement services, are principally generated from fixed fee or time and materials engagements. Revenues from fixed fee engagements are recognized as the Company works to satisfy its performance obligations, while revenues from time and materials engagements are recognized as work is delivered and/or services are provided. In both of these circumstances, performance obligations are satisfied and control of the services are passed to customers over time (i.e., during the duration of the contract or consulting engagement). On a contract-by-contract basis, the Company typically uses actual labor hours incurred compared to total expected labor hours to measure the Company’s performance in respect of fixed fee engagements. If labor and other costs on an individual contract are expected to exceed the total contract value or the contract’s funded ceiling amount, the Company reflects an adjustment to the contract’s overall profitability in the period determined. Revenues related to contract optimization engagements are contingent in nature and are only recognized at the point in time when all of the conditions related to their payment have been satisfied.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Consulting customers are invoiced based on the specific terms and conditions in their underlying contracts. They are typically invoiced after the Company has satisfied some or all of the related performance obligations and the related revenue has been recognized. The Company records fees receivable for amounts that are billed or billable. Contract assets are also recorded representing amounts for which the Company has recognized revenue but lacks the unconditional right to payment as of the balance sheet date due to the required continued performance under the relevant contract, progress billing milestones or other billing-related restrictions.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Disaggregated 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Disaggregated revenue by reportable segment is presented in the tables below for the years indicated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By Primary Geographic Market (1)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80"/>
        </w:trPr>
        <w:tc>
          <w:tcPr>
            <w:tcW w:w="2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6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3,275,866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317,645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3,911,042</w:t>
            </w:r>
          </w:p>
        </w:tc>
      </w:tr>
      <w:tr>
        <w:trPr>
          <w:trHeight w:val="22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1,060,959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140,640</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130,471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1,332,070</w:t>
            </w:r>
          </w:p>
        </w:tc>
      </w:tr>
      <w:tr>
        <w:trPr>
          <w:trHeight w:val="230"/>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550,221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46,993</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66,630</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663,844</w:t>
            </w:r>
          </w:p>
        </w:tc>
      </w:tr>
      <w:tr>
        <w:trPr>
          <w:trHeight w:val="22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4,887,046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505,164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514,746</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5,906,956</w:t>
            </w:r>
          </w:p>
        </w:tc>
      </w:tr>
      <w:tr>
        <w:trPr>
          <w:trHeight w:val="20"/>
        </w:trPr>
        <w:tc>
          <w:tcPr>
            <w:tcW w:w="25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6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Conferences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3,056,096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300,121</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3,619,382</w:t>
            </w:r>
          </w:p>
        </w:tc>
        <w:tc>
          <w:tcPr>
            <w:tcW w:w="0" w:type="dxa"/>
            <w:vAlign w:val="bottom"/>
          </w:tcPr>
          <w:p>
            <w:pPr>
              <w:spacing w:after="0"/>
              <w:rPr>
                <w:sz w:val="1"/>
                <w:szCs w:val="1"/>
                <w:color w:val="auto"/>
              </w:rPr>
            </w:pPr>
          </w:p>
        </w:tc>
      </w:tr>
      <w:tr>
        <w:trPr>
          <w:trHeight w:val="229"/>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1,017,860</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127,820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1,234,659</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530,835</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53,841</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621,805</w:t>
            </w:r>
          </w:p>
        </w:tc>
        <w:tc>
          <w:tcPr>
            <w:tcW w:w="0" w:type="dxa"/>
            <w:vAlign w:val="bottom"/>
          </w:tcPr>
          <w:p>
            <w:pPr>
              <w:spacing w:after="0"/>
              <w:rPr>
                <w:sz w:val="1"/>
                <w:szCs w:val="1"/>
                <w:color w:val="auto"/>
              </w:rPr>
            </w:pPr>
          </w:p>
        </w:tc>
      </w:tr>
      <w:tr>
        <w:trPr>
          <w:trHeight w:val="223"/>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4,604,791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389,273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481,782</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5,475,846</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2,655,534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246,661</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3,048,902</w:t>
            </w:r>
          </w:p>
        </w:tc>
        <w:tc>
          <w:tcPr>
            <w:tcW w:w="0" w:type="dxa"/>
            <w:vAlign w:val="bottom"/>
          </w:tcPr>
          <w:p>
            <w:pPr>
              <w:spacing w:after="0"/>
              <w:rPr>
                <w:sz w:val="1"/>
                <w:szCs w:val="1"/>
                <w:color w:val="auto"/>
              </w:rPr>
            </w:pPr>
          </w:p>
        </w:tc>
      </w:tr>
      <w:tr>
        <w:trPr>
          <w:trHeight w:val="23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958,339</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124,757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1,130,979</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487,519</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19,859</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46,703</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554,081</w:t>
            </w:r>
          </w:p>
        </w:tc>
        <w:tc>
          <w:tcPr>
            <w:tcW w:w="0" w:type="dxa"/>
            <w:vAlign w:val="bottom"/>
          </w:tcPr>
          <w:p>
            <w:pPr>
              <w:spacing w:after="0"/>
              <w:rPr>
                <w:sz w:val="1"/>
                <w:szCs w:val="1"/>
                <w:color w:val="auto"/>
              </w:rPr>
            </w:pPr>
          </w:p>
        </w:tc>
      </w:tr>
      <w:tr>
        <w:trPr>
          <w:trHeight w:val="223"/>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4,101,392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214,449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418,121</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4,733,962</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380" w:type="dxa"/>
            <w:vAlign w:val="bottom"/>
            <w:tcBorders>
              <w:bottom w:val="single" w:sz="8" w:color="auto"/>
            </w:tcBorders>
          </w:tcPr>
          <w:p>
            <w:pPr>
              <w:spacing w:after="0"/>
              <w:rPr>
                <w:sz w:val="13"/>
                <w:szCs w:val="13"/>
                <w:color w:val="auto"/>
              </w:rPr>
            </w:pPr>
          </w:p>
        </w:tc>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Revenue is reported based on where the sale is fulfilled.</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revenue is generated primarily through direct sales to clients by domestic and international sales forces and a network of independent international sales agents. Most of the Company’s products and services are provided on an integrated worldwide basis and, because of this integrated delivery approach, it is not practical to precisely separate Company’s revenue by geographic location. Accordingly, revenue information presented in the above tables is based on internal allocations, which involve certain management estimates and judgments.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9"/>
              </w:rPr>
              <w:t>By Timing of Revenue Recognition</w:t>
            </w:r>
          </w:p>
        </w:tc>
        <w:tc>
          <w:tcPr>
            <w:tcW w:w="35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4,506,621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400,171</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4,906,792</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380,425</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505,164</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114,575</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1,000,164</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4,887,046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505,164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514,746</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5,906,956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0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4,182,747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378,062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4,560,809</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422,044</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389,273</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103,720</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915,037</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4,604,791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481,782</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5,475,846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0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3,740,694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334,945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4,075,639</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360,698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214,449</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83,176</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658,323</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4,101,392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418,121</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4,733,962</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5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61"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revenues were recognized in connection with performance obligations that were satisfied over time using a time-elapsed output method to measure progress. Consulting revenues were recognized over time using labor hours as an input measurement basis.</w:t>
      </w:r>
    </w:p>
    <w:p>
      <w:pPr>
        <w:ind w:left="340" w:hanging="332"/>
        <w:spacing w:after="0" w:line="260"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in this category were recognized in connection with performance obligations that were satisfied at the point in time that the contractual deliverables were provided to the customer.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1" w:name="page62"/>
    <w:bookmarkEnd w:id="61"/>
    <w:p>
      <w:pPr>
        <w:jc w:val="both"/>
        <w:spacing w:after="0" w:line="266" w:lineRule="auto"/>
        <w:rPr>
          <w:sz w:val="20"/>
          <w:szCs w:val="20"/>
          <w:color w:val="auto"/>
        </w:rPr>
      </w:pPr>
      <w:r>
        <w:rPr>
          <w:rFonts w:ascii="Times New Roman" w:cs="Times New Roman" w:eastAsia="Times New Roman" w:hAnsi="Times New Roman"/>
          <w:sz w:val="18"/>
          <w:szCs w:val="18"/>
          <w:color w:val="auto"/>
        </w:rPr>
        <w:t>Determining a measure of progress for performance obligations that are satisfied over time and when control transfers for performance obligations that are satisfied at a point in time requires management to make judgments that affect the timing of revenue recognition. A key factor in this determination is when the customer can direct the use of, and can obtain substantially all of the benefits from, the deliverable.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performance obligations recognized in accordance with a time-elapsed output method, the Company’s efforts are expended consistently throughout the contractual period and the Company transfers control evenly by providing stand-ready services. For performance obligations satisfied under Consulting fixed fee or time and materials engagements, the Company believes that labor hours are the best measure of depicting the Company’s progress because labor output corresponds directly to the value of the Company’s performance to date as control is transferred.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customer contracts that are greater than one year in duration, the aggregate amount of the transaction price allocated to performance obligations that are unsatisfied (or partially unsatisfied) as of December 31, 2023 was approximately $5.6 billion. The Company expects to recognize $3.3 billion, $1.8 billion and $0.5 billion of this revenue (most of which pertains to Research) during the year ending December 31, 2024, the year ending December 31, 2025 and thereafter, respectively. The Company applies a practical expedient allowed in ASC 606 and, accordingly, it does not disclose such performance obligation information for customer contracts that have original durations of one year or less. The Company’s performance obligations for contracts meeting this ASC 606 disclosure exclusion primarily include: (i) stand-ready services under Research subscription contracts; (ii) holding conferences and meetings where attendees and exhibitors can participate; and (iii) providing customized Consulting solutions for clients under fixed fee or time and materials engagements. The remaining duration of these performance obligations is generally less than one year, which aligns with the period that the parties have enforceable rights and obligations under the affected contracts.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Contract Assets and Liabilities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payment terms and conditions in the Company’s customer contracts vary. In some cases, customers prepay and, in other cases, after the Company conducts a credit evaluation, payment may be due in arrears. Because the timing of the Company’s service delivery typically differs from the timing of customer payments, the Company recognizes either a contract asset (the Company performs either fully or partially under the contract but a contingency remains) or a contract liability (upfront customer payments precede the Company’s performance, resulting in deferred revenue). Amounts recorded as contract assets are reclassified to fees receivable when all of the outstanding conditions have been resolved and the Company’s right to payment becomes unconditional. Contracts with payments due in arrears are also recognized as fees receivable. As contractual performance obligations are satisfied, the Company correspondingly relieves its contract liabilities and records the associated revenue.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regarding certain of the Company’s balance sheet accounts that pertain to its contracts with customers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Fees receivable, gross (1)</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1,610,228</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1,565,786</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recorded in Prepaid expenses and other current assets (2)</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(current liability) (3)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2,640,515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2,443,762</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deferred revenues recorded in Other liabilities (3)</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39,115</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2,674,005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2,482,877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3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receivable represent an unconditional right of payment from the Company’s customers and include both billed and unbilled amounts.</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assets represent recognized revenue for which the Company does not have an unconditional right to payment as of the balance sheet date because the project may be subject to a progress billing milestone or some other billing restriction.</w:t>
      </w:r>
    </w:p>
    <w:p>
      <w:pPr>
        <w:ind w:left="340" w:right="20" w:hanging="332"/>
        <w:spacing w:after="0" w:line="260"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revenues represent amounts (i) for which the Company has received an upfront customer payment or (ii) that pertain to recognized fees receivable. Both situations occur before the completion of the Company’s performance obligation(s).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2" w:name="page63"/>
    <w:bookmarkEnd w:id="62"/>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revenue of $2.0 billion, $1.9 billion and $1.6 billion during 2023, 2022 and 2021 respectively, which was attributable to deferred revenues that were recorded at the beginning of each such year. Those amounts primarily consisted of (i) Research revenues and (ii) Conferences revenues pertaining to conferences and meetings that occurred during the reporting periods. During 2023, 2022 and 2021, the Company did not record any material impairments related to its contract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Obtaining and Fulfilling a Customer Contract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the Company concludes that a liability should be recognized for the costs of obtaining a customer contract and determines how such liability should be measured, certain commissions are capitalized as a recoverable direct incremental cost of obtaining the underlying contract. No other amounts are capitalized as a cost of obtaining or fulfilling a customer contract because no expenditures have been identified that meet the requisite capitalization criteria. For Research and Consulting, the Company amortizes deferred commissions on a systematic basis that aligns with the transfer to customers of the services to which the commissions relate. For Conferences, deferred commissions are expensed during the period when the related conference or meeting occurs.</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2023, 2022 and 2021, deferred commission amortization expense was $550.5 million, $562.1 million and $472.5 million, respectively, and was included in Selling, general and administrative expense in the Consolidated Statements of Operations. The Company classifies Deferred commissions as a current asset on the Consolidated Balance Sheets at both December 31, 2023 and 2022 because those costs were, or will be, amortized over the twelve months following the respective balance sheet dates.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grants stock-based compensation awards as an incentive for employees and directors to contribute to the Company’s long-term success. The Company currently awards stock-settled stock appreciation rights, service-based and performance-based restricted stock units, and common stock equivalents. As of December 31, 2023, the Company had 5.9 million shares of its common stock, par value $0.0005 per share, (the “Common Stock”) available for stock-based compensation awards under its Long-Term Incentive Plan as amended and restated in June 2023 (the “Plan”). Currently, the Company issues treasury shares upon the exercise, release or settlement of stock-based compensation awards.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Determining the appropriate fair value model and calculating the fair value of stock-based compensation awards requires the use of certain subjective assumptions, including the expected life of a stock-based compensation award and Common Stock price volatility. In addition, determining the appropriate periodic stock-based compensation expense requires management to estimate the likelihood of the achievement of certain performance targets. The assumptions used in calculating the fair values of stock-based compensation awards and the related periodic expense represent management’s best estimates, which involve inherent uncertainties and the application of judgment. As a result, if circumstances change and the Company deems it necessary in the future to modify the assumptions it made or to use different assumptions, or if the quantity and nature of the Company’s stock-based compensation awards changes, then the amount of expense may need to be adjusted and future stock-based compensation expense could be materially different from what has been recorded in the current year.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tables below summarize the Company’s stock-based compensation expense by award type and expense category line item during the years ended December 31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Award type</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 (1)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(2) (3)</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Expense category line item</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6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48"/>
        </w:trPr>
        <w:tc>
          <w:tcPr>
            <w:tcW w:w="6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(1) (2) (3)</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p>
      <w:pPr>
        <w:jc w:val="both"/>
        <w:ind w:left="340" w:hanging="332"/>
        <w:spacing w:after="0" w:line="253"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5, 2020, prior to the COVID-19 related shutdown in the U.S., the Compensation Committee (“Committee”) of the Board of Directors of the Company established performance measures for the performance-based restricted stock units (the “PSUs”) awarded to the Company’s executive officers in 2020 under the Plan. Based on preliminary corporate performance results for the 2020 performance measures, the 2020 PSUs would have been earned at 50% of target. However, on February 3, 2021, the Committee determined to use its discretion under the Plan to approve a payout at 95% of target. In deciding to exercise this discretion to adjust the performance-based RSU payout, the Committee considered the Company’s strong overall performance in 2020 despite the significant negative impact of the COVID-19 pandemic. As a result of the modification, the Company recognized $6.5 million of incremental compensation cost during the year ended December 31, 2021.</w:t>
      </w:r>
    </w:p>
    <w:p>
      <w:pPr>
        <w:spacing w:after="0" w:line="2"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stock-based compensation expense during 2023 was primarily due to changes in retirement-eligible provisions for certain stock-based compensation awards.</w:t>
      </w:r>
    </w:p>
    <w:p>
      <w:pPr>
        <w:ind w:left="340" w:hanging="332"/>
        <w:spacing w:after="0" w:line="260"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charges of $55.5 million, $32.2 million and $41.2 million during 2023, 2022 and 2021, respectively, for awards to retirement-eligible employees. Those awards vest on an accelerated basis.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$142.7 million of total unrecognized stock-based compensation cost, which is expected to be expensed over the remaining weighted average service period of approximately 1.6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Awards</w:t>
      </w:r>
    </w:p>
    <w:p>
      <w:pPr>
        <w:spacing w:after="0" w:line="2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disclosures presented below provide information regarding the Company’s stock-based compensation awards, all of which have been classified as equity awards in accordance with FASB ASC Topic 505.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Stock-settled stock appreciation rights (“SARs”) permit the holder to participate in the appreciation of the value of the Common Stock. After the applicable vesting criteria have been satisfied, SARs are settled in shares of Common Stock upon exercise by the employee. SARs vest ratably over a four-year service period and expire seven years from the date of grant. The fair value of a SARs award is recognized as compensation expense on a straight-line basis over four years. SARs have only been awarded to the Company’s executive officers.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SARs are exercised, the number of shares of Common Stock issued is calculated as follows: (1) the total proceeds from the exercise of the SARs award (calculated as the closing price of the Common Stock as reported on the New York Stock Exchange on the date of exercise less the exercise price of the SARs award, multiplied by the number of SARs exercised) is divided by (2) the closing price of the Common Stock on the date of exercise. Upon exercise, the Company withholds a portion of the shares of the Common Stock to satisfy statutory tax withholding requirements. SARs recipients do not have any stockholder rights until the shares of Common Stock are issued in respect of the award, which is subject to the prior satisfaction of the vesting and other criteria relating to such grants.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changes in SARs outstanding during the year ended December 31,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80"/>
              <w:spacing w:after="0" w:line="18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of SARs</w:t>
            </w:r>
          </w:p>
        </w:tc>
        <w:tc>
          <w:tcPr>
            <w:tcW w:w="180" w:type="dxa"/>
            <w:vAlign w:val="bottom"/>
          </w:tcPr>
          <w:p>
            <w:pPr>
              <w:spacing w:after="0"/>
              <w:rPr>
                <w:sz w:val="15"/>
                <w:szCs w:val="15"/>
                <w:color w:val="auto"/>
              </w:rPr>
            </w:pPr>
          </w:p>
        </w:tc>
        <w:tc>
          <w:tcPr>
            <w:tcW w:w="146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5"/>
                <w:szCs w:val="15"/>
                <w:color w:val="auto"/>
              </w:rPr>
            </w:pPr>
          </w:p>
        </w:tc>
        <w:tc>
          <w:tcPr>
            <w:tcW w:w="14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6"/>
                <w:szCs w:val="16"/>
                <w:color w:val="auto"/>
              </w:rPr>
            </w:pPr>
          </w:p>
        </w:tc>
        <w:tc>
          <w:tcPr>
            <w:tcW w:w="1420" w:type="dxa"/>
            <w:vAlign w:val="bottom"/>
            <w:gridSpan w:val="2"/>
          </w:tcPr>
          <w:p>
            <w:pPr>
              <w:jc w:val="center"/>
              <w:ind w:right="340"/>
              <w:spacing w:after="0" w:line="189"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8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8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520" w:type="dxa"/>
            <w:vAlign w:val="bottom"/>
            <w:tcBorders>
              <w:top w:val="single" w:sz="8" w:color="auto"/>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 (1) (2)</w:t>
            </w:r>
          </w:p>
        </w:tc>
        <w:tc>
          <w:tcPr>
            <w:tcW w:w="1520" w:type="dxa"/>
            <w:vAlign w:val="bottom"/>
            <w:tcBorders>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December 31, 2023 (2)</w:t>
            </w:r>
          </w:p>
        </w:tc>
        <w:tc>
          <w:tcPr>
            <w:tcW w:w="1520" w:type="dxa"/>
            <w:vAlign w:val="bottom"/>
            <w:tcBorders>
              <w:bottom w:val="single" w:sz="8" w:color="auto"/>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 = not applicable</w:t>
      </w:r>
    </w:p>
    <w:p>
      <w:pPr>
        <w:spacing w:after="0" w:line="27" w:lineRule="exact"/>
        <w:rPr>
          <w:sz w:val="20"/>
          <w:szCs w:val="20"/>
          <w:color w:val="auto"/>
        </w:rPr>
      </w:pPr>
    </w:p>
    <w:p>
      <w:pPr>
        <w:ind w:left="340" w:right="20" w:hanging="332"/>
        <w:spacing w:after="0" w:line="250"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0.3 million of the total SARs outstanding were unvested. The Company expects that substantially all of those unvested awards will vest in future periods.</w:t>
      </w:r>
    </w:p>
    <w:p>
      <w:pPr>
        <w:ind w:left="340" w:hanging="332"/>
        <w:spacing w:after="0" w:line="260"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total SARs outstanding had an intrinsic value of $139.9 million. On such date, SARs vested and exercisable had an intrinsic value of $81.3 million.</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of a SARs award is determined on the date of grant using the Black-Scholes-Merton valuation model with the following weighted average assumptions for the years ended December 31:</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ind w:left="70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 (1)</w:t>
            </w:r>
          </w:p>
        </w:tc>
        <w:tc>
          <w:tcPr>
            <w:tcW w:w="10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 (2)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4"/>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in years (4)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7774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27" w:lineRule="exact"/>
        <w:rPr>
          <w:sz w:val="20"/>
          <w:szCs w:val="20"/>
          <w:color w:val="auto"/>
        </w:rPr>
      </w:pPr>
    </w:p>
    <w:p>
      <w:pPr>
        <w:ind w:left="340" w:right="20" w:hanging="332"/>
        <w:spacing w:after="0" w:line="261"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assumption was based on both the Company’s historical and anticipated dividend payouts. Historically, the Company has not paid cash dividends on its Common Stock.</w:t>
      </w:r>
    </w:p>
    <w:p>
      <w:pPr>
        <w:ind w:left="340" w:hanging="332"/>
        <w:spacing w:after="0" w:line="250"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expected stock price volatility was based on both historical Common Stock prices and implied volatility from publicly traded options in the Common Stock.</w:t>
      </w: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was based on the yield of a U.S. Treasury security with a maturity similar to the expected life of the award.</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life represents the Company’s estimate of the weighted average period of time the SARs are expected to be outstanding (that is, the period between the service inception date and the expected exercise 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Restricted stock units (“RSUs”) give the awardee the right to receive shares of Common Stock when the vesting conditions are met and certain restrictions lapse. Each RSU that vests entitles the awardee to one share of Common Stock. RSU awardees do not have any of the rights of a Gartner stockholder, including voting rights and the right to receive dividends and distributions, until the shares are released. The fair value of an RSU award is determined on the date of grant based on the closing price of the Common Stock as reported on the New York Stock Exchange on that date. Service-based RSUs vest ratably over four years and are expensed on a straight-line basis over the vesting period. Performance-based RSUs are subject to the satisfaction of both performance and service conditions, vest ratably over four years and are expensed on an accelerated basis over the vesting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changes in RSUs outstanding during the year ended December 31,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184"/>
        </w:trPr>
        <w:tc>
          <w:tcPr>
            <w:tcW w:w="43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tcPr>
          <w:p>
            <w:pPr>
              <w:jc w:val="center"/>
              <w:ind w:right="2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of RSUs</w:t>
            </w:r>
          </w:p>
        </w:tc>
        <w:tc>
          <w:tcPr>
            <w:tcW w:w="360" w:type="dxa"/>
            <w:vAlign w:val="bottom"/>
          </w:tcPr>
          <w:p>
            <w:pPr>
              <w:spacing w:after="0"/>
              <w:rPr>
                <w:sz w:val="15"/>
                <w:szCs w:val="15"/>
                <w:color w:val="auto"/>
              </w:rPr>
            </w:pPr>
          </w:p>
        </w:tc>
        <w:tc>
          <w:tcPr>
            <w:tcW w:w="174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tcPr>
          <w:p>
            <w:pPr>
              <w:jc w:val="center"/>
              <w:ind w:right="250"/>
              <w:spacing w:after="0" w:line="180"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60" w:type="dxa"/>
            <w:vAlign w:val="bottom"/>
          </w:tcPr>
          <w:p>
            <w:pPr>
              <w:spacing w:after="0"/>
              <w:rPr>
                <w:sz w:val="20"/>
                <w:szCs w:val="20"/>
                <w:color w:val="auto"/>
              </w:rPr>
            </w:pPr>
          </w:p>
        </w:tc>
        <w:tc>
          <w:tcPr>
            <w:tcW w:w="17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23"/>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760" w:type="dxa"/>
            <w:vAlign w:val="bottom"/>
            <w:tcBorders>
              <w:top w:val="single" w:sz="8" w:color="auto"/>
            </w:tcBorders>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211.25</w:t>
            </w:r>
          </w:p>
        </w:tc>
        <w:tc>
          <w:tcPr>
            <w:tcW w:w="0" w:type="dxa"/>
            <w:vAlign w:val="bottom"/>
          </w:tcPr>
          <w:p>
            <w:pPr>
              <w:spacing w:after="0"/>
              <w:rPr>
                <w:sz w:val="1"/>
                <w:szCs w:val="1"/>
                <w:color w:val="auto"/>
              </w:rPr>
            </w:pPr>
          </w:p>
        </w:tc>
      </w:tr>
      <w:tr>
        <w:trPr>
          <w:trHeight w:val="22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 (1)</w:t>
            </w:r>
          </w:p>
        </w:tc>
        <w:tc>
          <w:tcPr>
            <w:tcW w:w="17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348.02</w:t>
            </w:r>
          </w:p>
        </w:tc>
        <w:tc>
          <w:tcPr>
            <w:tcW w:w="0" w:type="dxa"/>
            <w:vAlign w:val="bottom"/>
          </w:tcPr>
          <w:p>
            <w:pPr>
              <w:spacing w:after="0"/>
              <w:rPr>
                <w:sz w:val="1"/>
                <w:szCs w:val="1"/>
                <w:color w:val="auto"/>
              </w:rPr>
            </w:pPr>
          </w:p>
        </w:tc>
      </w:tr>
      <w:tr>
        <w:trPr>
          <w:trHeight w:val="230"/>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released</w:t>
            </w:r>
          </w:p>
        </w:tc>
        <w:tc>
          <w:tcPr>
            <w:tcW w:w="1760" w:type="dxa"/>
            <w:vAlign w:val="bottom"/>
            <w:tcBorders>
              <w:bottom w:val="single" w:sz="8" w:color="auto"/>
            </w:tcBorders>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193.30</w:t>
            </w:r>
          </w:p>
        </w:tc>
        <w:tc>
          <w:tcPr>
            <w:tcW w:w="0" w:type="dxa"/>
            <w:vAlign w:val="bottom"/>
          </w:tcPr>
          <w:p>
            <w:pPr>
              <w:spacing w:after="0"/>
              <w:rPr>
                <w:sz w:val="1"/>
                <w:szCs w:val="1"/>
                <w:color w:val="auto"/>
              </w:rPr>
            </w:pPr>
          </w:p>
        </w:tc>
      </w:tr>
      <w:tr>
        <w:trPr>
          <w:trHeight w:val="22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 (2) (3)</w:t>
            </w:r>
          </w:p>
        </w:tc>
        <w:tc>
          <w:tcPr>
            <w:tcW w:w="1760" w:type="dxa"/>
            <w:vAlign w:val="bottom"/>
            <w:tcBorders>
              <w:bottom w:val="single" w:sz="8" w:color="auto"/>
            </w:tcBorders>
          </w:tcPr>
          <w:p>
            <w:pPr>
              <w:jc w:val="center"/>
              <w:ind w:left="1290"/>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2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hanging="332"/>
        <w:spacing w:after="0" w:line="253"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0.5 million of RSUs granted during 2023 consisted of 0.1 million of performance-based RSUs awarded to executives and 0.4 million of service-based RSUs awarded to non-executive employees and non-management board members. The performance-based awards include RSUs in final adjustments of 2022 grants and approximately 0.1 million of RSUs representing the target amount of the grant for 2023 that is tied to an increase in Gartner’s contract value for such year. The number of performance-based RSUs for 2023 that holders could receive ranges from 0% to 200% of the target amount based on the extent to which the corresponding performance goals have been achieved and subject to certain other conditions. Any adjustments in the number of performance-based RSUs under the 2023 grant will be made in 2024.</w:t>
      </w:r>
    </w:p>
    <w:p>
      <w:pPr>
        <w:spacing w:after="0" w:line="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that substantially all of the RSUs outstanding will vest in future periods.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weighted average remaining contractual term of the RSUs outstanding was approximately 1.1 years.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Equivalents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Common stock equivalents (“CSEs”) are convertible into Common Stock. Each CSE entitles the holder to one share of Common Stock. Members of the Company’s Board of Directors receive their directors’ fees in CSEs unless they opt to receive up to 50% of those fees in cash. Generally, CSEs have no defined term and are converted into shares of Common Stock when service as a director terminates unless the director has elected an accelerated release. The fair value of a CSE award is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5" w:name="page66"/>
    <w:bookmarkEnd w:id="65"/>
    <w:p>
      <w:pPr>
        <w:jc w:val="both"/>
        <w:spacing w:after="0" w:line="282" w:lineRule="auto"/>
        <w:rPr>
          <w:sz w:val="20"/>
          <w:szCs w:val="20"/>
          <w:color w:val="auto"/>
        </w:rPr>
      </w:pPr>
      <w:r>
        <w:rPr>
          <w:rFonts w:ascii="Times New Roman" w:cs="Times New Roman" w:eastAsia="Times New Roman" w:hAnsi="Times New Roman"/>
          <w:sz w:val="18"/>
          <w:szCs w:val="18"/>
          <w:color w:val="auto"/>
        </w:rPr>
        <w:t>determined on the date of grant based on the closing price of the Common Stock as reported on the New York Stock Exchange on that date. CSEs vest immediately and, as a result, they are recorded as expense on the date of grant.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changes in CSEs outstanding during the year ended December 31,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180"/>
        </w:trPr>
        <w:tc>
          <w:tcPr>
            <w:tcW w:w="7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jc w:val="center"/>
              <w:ind w:right="130"/>
              <w:spacing w:after="0" w:line="180"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4"/>
        </w:trPr>
        <w:tc>
          <w:tcPr>
            <w:tcW w:w="7280" w:type="dxa"/>
            <w:vAlign w:val="bottom"/>
          </w:tcPr>
          <w:p>
            <w:pPr>
              <w:spacing w:after="0"/>
              <w:rPr>
                <w:sz w:val="16"/>
                <w:szCs w:val="16"/>
                <w:color w:val="auto"/>
              </w:rPr>
            </w:pPr>
          </w:p>
        </w:tc>
        <w:tc>
          <w:tcPr>
            <w:tcW w:w="18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Units of CSEs</w:t>
            </w:r>
          </w:p>
        </w:tc>
        <w:tc>
          <w:tcPr>
            <w:tcW w:w="240" w:type="dxa"/>
            <w:vAlign w:val="bottom"/>
          </w:tcPr>
          <w:p>
            <w:pPr>
              <w:spacing w:after="0"/>
              <w:rPr>
                <w:sz w:val="16"/>
                <w:szCs w:val="16"/>
                <w:color w:val="auto"/>
              </w:rPr>
            </w:pPr>
          </w:p>
        </w:tc>
        <w:tc>
          <w:tcPr>
            <w:tcW w:w="186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29"/>
        </w:trPr>
        <w:tc>
          <w:tcPr>
            <w:tcW w:w="728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23"/>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115,279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359.23</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Converted to shares of Common Stock upon grant and termination</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106,350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purchase plan (the “ESP Plan”) wherein eligible employees are permitted to purchase shares of Common Stock through payroll deductions, which may not exceed 10% of an employee’s compensation, or $23,750 in any calendar year, at a price equal to 95% of the closing price of the Common Stock as reported on the New York Stock Exchange at the end of each offering period. As of December 31, 2023, the Company had 3.2 million shares available for purchase under the ESP Plan. The ESP Plan is considered non-compensatory under FASB ASC Topic 718 and, as a result, the Company does not record stock-based compensation expense for employee share purchases. The Company received $25.1 million, $22.2 million and $18.2 million in cash from employee share purchases under the ESP Plan during 2023, 2022 and 2021,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Computation of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by the weighted average number of shares of Common Stock outstanding during the period. Diluted EPS reflects the potential dilution of securities that could share in earnings. Potential shares of common stock are excluded from the computation of diluted earnings per share when their effect would be anti-dilutive.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calculation of basic and diluted income per share for the years ended December 31 (in thousands, except per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Borders>
              <w:bottom w:val="single" w:sz="8" w:color="CCEEFF"/>
            </w:tcBorders>
          </w:tcPr>
          <w:p>
            <w:pPr>
              <w:spacing w:after="0"/>
              <w:rPr>
                <w:sz w:val="20"/>
                <w:szCs w:val="20"/>
                <w:color w:val="auto"/>
              </w:rPr>
            </w:pPr>
          </w:p>
        </w:tc>
        <w:tc>
          <w:tcPr>
            <w:tcW w:w="3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used for calculating basic and diluted income per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807,799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793,560</w:t>
            </w:r>
          </w:p>
        </w:tc>
      </w:tr>
      <w:tr>
        <w:trPr>
          <w:trHeight w:val="223"/>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the calculation of basic income per share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85,026</w:t>
            </w: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outstanding awards associated with stock-based compensation plans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23"/>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used in the calculation of diluted income per share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79,680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81,067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86,177</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Income per share </w:t>
            </w: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9"/>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4380" w:type="dxa"/>
            <w:vAlign w:val="bottom"/>
            <w:tcBorders>
              <w:bottom w:val="single" w:sz="8" w:color="auto"/>
            </w:tcBorders>
          </w:tcPr>
          <w:p>
            <w:pPr>
              <w:spacing w:after="0"/>
              <w:rPr>
                <w:sz w:val="11"/>
                <w:szCs w:val="11"/>
                <w:color w:val="auto"/>
              </w:rPr>
            </w:pPr>
          </w:p>
        </w:tc>
        <w:tc>
          <w:tcPr>
            <w:tcW w:w="3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76" w:lineRule="exact"/>
        <w:rPr>
          <w:sz w:val="20"/>
          <w:szCs w:val="20"/>
          <w:color w:val="auto"/>
        </w:rPr>
      </w:pPr>
    </w:p>
    <w:p>
      <w:pPr>
        <w:ind w:left="340" w:hanging="332"/>
        <w:spacing w:after="0" w:line="282"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basic and diluted income per share for 2021 included a tax benefit of approximately $0.63 per share related to intercompany sales of certain intellectual property (see Note 12 — Income Taxes).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number of outstanding awards associated with stock-based compensation plans that were not included in the computations of diluted income per share in the above table because the effect would have been anti-dilutive. During years with net income, the outstanding awards were anti-dilutive because their exercise prices were greater than the average market price per share of Common Stock during such year.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56"/>
        </w:trPr>
        <w:tc>
          <w:tcPr>
            <w:tcW w:w="70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Anti-dilutive outstanding awards associated with stock-based compensation plans (in millions)</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market price per share of Common Stock during the year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351.31</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7774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number of anti-dilutive common stock equivalents for 2021 was de minimis.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components of the Company’s income before income taxes for the years ended December 31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Borders>
              <w:bottom w:val="single" w:sz="8" w:color="auto"/>
            </w:tcBorders>
          </w:tcPr>
          <w:p>
            <w:pPr>
              <w:spacing w:after="0"/>
              <w:rPr>
                <w:sz w:val="20"/>
                <w:szCs w:val="20"/>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485,472</w:t>
            </w:r>
          </w:p>
        </w:tc>
        <w:tc>
          <w:tcPr>
            <w:tcW w:w="40" w:type="dxa"/>
            <w:vAlign w:val="bottom"/>
            <w:shd w:val="clear" w:color="auto" w:fill="CCEEFF"/>
          </w:tcPr>
          <w:p>
            <w:pPr>
              <w:spacing w:after="0"/>
              <w:rPr>
                <w:sz w:val="19"/>
                <w:szCs w:val="19"/>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572,671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9"/>
              </w:rPr>
              <w:t>484,398</w:t>
            </w:r>
          </w:p>
        </w:tc>
        <w:tc>
          <w:tcPr>
            <w:tcW w:w="40" w:type="dxa"/>
            <w:vAlign w:val="bottom"/>
            <w:tcBorders>
              <w:bottom w:val="single" w:sz="8" w:color="auto"/>
            </w:tcBorders>
          </w:tcPr>
          <w:p>
            <w:pPr>
              <w:spacing w:after="0"/>
              <w:rPr>
                <w:sz w:val="19"/>
                <w:szCs w:val="19"/>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1,147,129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969,870</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501"/>
        </w:trPr>
        <w:tc>
          <w:tcPr>
            <w:tcW w:w="97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components of the expense (benefit) for income taxes on the above income are summarized in the table below (in thousands).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6"/>
        </w:trPr>
        <w:tc>
          <w:tcPr>
            <w:tcW w:w="67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22"/>
                <w:szCs w:val="2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 federal</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117,024</w:t>
            </w:r>
          </w:p>
        </w:tc>
        <w:tc>
          <w:tcPr>
            <w:tcW w:w="40" w:type="dxa"/>
            <w:vAlign w:val="bottom"/>
          </w:tcPr>
          <w:p>
            <w:pPr>
              <w:spacing w:after="0"/>
              <w:rPr>
                <w:sz w:val="19"/>
                <w:szCs w:val="19"/>
                <w:color w:val="auto"/>
              </w:rPr>
            </w:pPr>
          </w:p>
        </w:tc>
      </w:tr>
      <w:tr>
        <w:trPr>
          <w:trHeight w:val="230"/>
        </w:trPr>
        <w:tc>
          <w:tcPr>
            <w:tcW w:w="6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State and local</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36,266</w:t>
            </w:r>
          </w:p>
        </w:tc>
        <w:tc>
          <w:tcPr>
            <w:tcW w:w="40" w:type="dxa"/>
            <w:vAlign w:val="bottom"/>
          </w:tcPr>
          <w:p>
            <w:pPr>
              <w:spacing w:after="0"/>
              <w:rPr>
                <w:sz w:val="19"/>
                <w:szCs w:val="19"/>
                <w:color w:val="auto"/>
              </w:rPr>
            </w:pPr>
          </w:p>
        </w:tc>
      </w:tr>
      <w:tr>
        <w:trPr>
          <w:trHeight w:val="229"/>
        </w:trPr>
        <w:tc>
          <w:tcPr>
            <w:tcW w:w="6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64,835</w:t>
            </w:r>
          </w:p>
        </w:tc>
        <w:tc>
          <w:tcPr>
            <w:tcW w:w="40" w:type="dxa"/>
            <w:vAlign w:val="bottom"/>
          </w:tcPr>
          <w:p>
            <w:pPr>
              <w:spacing w:after="0"/>
              <w:rPr>
                <w:sz w:val="19"/>
                <w:szCs w:val="19"/>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330,779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218,125</w:t>
            </w:r>
          </w:p>
        </w:tc>
        <w:tc>
          <w:tcPr>
            <w:tcW w:w="40" w:type="dxa"/>
            <w:vAlign w:val="bottom"/>
          </w:tcPr>
          <w:p>
            <w:pPr>
              <w:spacing w:after="0"/>
              <w:rPr>
                <w:sz w:val="19"/>
                <w:szCs w:val="19"/>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federal</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(35,457)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40" w:type="dxa"/>
            <w:vAlign w:val="bottom"/>
          </w:tcPr>
          <w:p>
            <w:pPr>
              <w:spacing w:after="0"/>
              <w:rPr>
                <w:sz w:val="19"/>
                <w:szCs w:val="19"/>
                <w:color w:val="auto"/>
              </w:rPr>
            </w:pPr>
          </w:p>
        </w:tc>
      </w:tr>
      <w:tr>
        <w:trPr>
          <w:trHeight w:val="230"/>
        </w:trPr>
        <w:tc>
          <w:tcPr>
            <w:tcW w:w="6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State and local</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40" w:type="dxa"/>
            <w:vAlign w:val="bottom"/>
          </w:tcPr>
          <w:p>
            <w:pPr>
              <w:spacing w:after="0"/>
              <w:rPr>
                <w:sz w:val="19"/>
                <w:szCs w:val="19"/>
                <w:color w:val="auto"/>
              </w:rPr>
            </w:pPr>
          </w:p>
        </w:tc>
      </w:tr>
      <w:tr>
        <w:trPr>
          <w:trHeight w:val="229"/>
        </w:trPr>
        <w:tc>
          <w:tcPr>
            <w:tcW w:w="6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(12,845)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(33,389)</w:t>
            </w:r>
          </w:p>
        </w:tc>
        <w:tc>
          <w:tcPr>
            <w:tcW w:w="40" w:type="dxa"/>
            <w:vAlign w:val="bottom"/>
          </w:tcPr>
          <w:p>
            <w:pPr>
              <w:spacing w:after="0"/>
              <w:rPr>
                <w:sz w:val="19"/>
                <w:szCs w:val="19"/>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(61,777)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(34,873)</w:t>
            </w:r>
          </w:p>
        </w:tc>
        <w:tc>
          <w:tcPr>
            <w:tcW w:w="40" w:type="dxa"/>
            <w:vAlign w:val="bottom"/>
          </w:tcPr>
          <w:p>
            <w:pPr>
              <w:spacing w:after="0"/>
              <w:rPr>
                <w:sz w:val="19"/>
                <w:szCs w:val="19"/>
                <w:color w:val="auto"/>
              </w:rPr>
            </w:pP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and deferred</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183,252</w:t>
            </w:r>
          </w:p>
        </w:tc>
        <w:tc>
          <w:tcPr>
            <w:tcW w:w="40" w:type="dxa"/>
            <w:vAlign w:val="bottom"/>
          </w:tcPr>
          <w:p>
            <w:pPr>
              <w:spacing w:after="0"/>
              <w:rPr>
                <w:sz w:val="19"/>
                <w:szCs w:val="19"/>
                <w:color w:val="auto"/>
              </w:rPr>
            </w:pP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 relating to interest rate swaps used to increase equity</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40" w:type="dxa"/>
            <w:vAlign w:val="bottom"/>
          </w:tcPr>
          <w:p>
            <w:pPr>
              <w:spacing w:after="0"/>
              <w:rPr>
                <w:sz w:val="19"/>
                <w:szCs w:val="19"/>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 from stock transactions with employees used to increase equity</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19"/>
                <w:szCs w:val="19"/>
                <w:color w:val="auto"/>
              </w:rPr>
            </w:pPr>
          </w:p>
        </w:tc>
      </w:tr>
      <w:tr>
        <w:trPr>
          <w:trHeight w:val="230"/>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Benefit (expense) relating to defined-benefit pension adjustments used to increase equity</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Pr>
          <w:p>
            <w:pPr>
              <w:spacing w:after="0"/>
              <w:rPr>
                <w:sz w:val="19"/>
                <w:szCs w:val="19"/>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tax expense</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264,663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176,310</w:t>
            </w:r>
          </w:p>
        </w:tc>
        <w:tc>
          <w:tcPr>
            <w:tcW w:w="40" w:type="dxa"/>
            <w:vAlign w:val="bottom"/>
          </w:tcPr>
          <w:p>
            <w:pPr>
              <w:spacing w:after="0"/>
              <w:rPr>
                <w:sz w:val="21"/>
                <w:szCs w:val="2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long-term deferred tax assets (liabilities) are summarized in the table below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72,610</w:t>
            </w: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63,289</w:t>
            </w: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35,803</w:t>
            </w: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equipment and leasehold improvements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credit carryforwards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37,978</w:t>
            </w: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 relating to equity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w:t>
            </w: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w:t>
            </w:r>
          </w:p>
        </w:tc>
      </w:tr>
      <w:tr>
        <w:trPr>
          <w:trHeight w:val="223"/>
        </w:trPr>
        <w:tc>
          <w:tcPr>
            <w:tcW w:w="8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245,617</w:t>
            </w: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(177,132)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(152,808)</w:t>
            </w:r>
          </w:p>
        </w:tc>
      </w:tr>
      <w:tr>
        <w:trPr>
          <w:trHeight w:val="223"/>
        </w:trPr>
        <w:tc>
          <w:tcPr>
            <w:tcW w:w="8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92,809</w:t>
            </w: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leasehold improvements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(69,230)</w:t>
            </w: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(22,936)</w:t>
            </w:r>
          </w:p>
        </w:tc>
      </w:tr>
      <w:tr>
        <w:trPr>
          <w:trHeight w:val="223"/>
        </w:trPr>
        <w:tc>
          <w:tcPr>
            <w:tcW w:w="82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(85,143)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(94,022)</w:t>
            </w:r>
          </w:p>
        </w:tc>
      </w:tr>
      <w:tr>
        <w:trPr>
          <w:trHeight w:val="248"/>
        </w:trPr>
        <w:tc>
          <w:tcPr>
            <w:tcW w:w="82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3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deferred tax assets and net deferred tax liabilities were $144.7 million and $86.6 million as of December 31, 2023, respectively, and $138.3 million and $139.5 million as of December 31, 2022, respectively. These amounts are reported in Other assets and Other liabilities in the Consolidated Balance Sheets. Management has concluded it is more likely than not that the reversal of deferred tax liabilities and results of future operations will generate sufficient taxable income to realize the deferred tax assets, net of the valuation allowance at December 31,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the Company increased deferred tax assets by approximately $38.4 million for tax basis in intangible assets due to the intercompany transfer of certain intellectual property. The Company recorded an offsetting increase in the valuation allowance. No net tax benefit was recognized on the transfer, consistent with the Company’s continued expectation that no benefit will be recovered from the tax basis.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valuation allowances of $177.1 million and $152.8 million as of December 31, 2023 and 2022, respectively, primarily related to tax basis in certain intangible assets and loss and credit carryovers that are not likely to be realized.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2023, the Company had state and local tax net operating loss carryforwards of $16.3 million, of which $0.1 million expires within one to five years. $7.4 million expires within six to fifteen years, and $8.8 million expires within sixteen years to twenty years. The Company also had state tax credits of $7.7 million, a majority of which will expire in five to six years. As of December 31, 2023, the Company had non-U.S. net operating loss carryforwards of $3.6 million, of which $2.4 million expires over the next 20 years and $1.2 million can be carried forward indefinitely. In addition, the Company also had foreign tax credit carryforwards of $19.2 million, all of which will expire between 2029 and 2033. These amounts have been reduced for associated unrecognized tax benefits, consistent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items comprising the differences between the U.S. federal statutory income tax rate and the Company’s effective tax rate on income before income taxes for the years ended December 31 are summarized in the table below.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7460" w:type="dxa"/>
            <w:vAlign w:val="bottom"/>
            <w:gridSpan w:val="2"/>
          </w:tcPr>
          <w:p>
            <w:pPr>
              <w:ind w:left="710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tax rate</w:t>
            </w:r>
          </w:p>
        </w:tc>
        <w:tc>
          <w:tcPr>
            <w:tcW w:w="9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non-U.S. operations</w:t>
            </w: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Intercompany sale of intellectual property</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activity in unrecognized tax benefits</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Law changes</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Limitation on executive compensation</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 net of foreign tax credits</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the valuation allowance</w:t>
            </w: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completed intercompany transfers of certain intellectual property in both 2023 and 2021. The 2023 transfer resulted in the recognition of net deferred tax assets of $38.4 million representing tax basis in the acquiring jurisdiction less tax basis in the selling jurisdiction. Full valuation allowances have been established for these assets. No net tax benefit was recognized on the transfer, consistent with the Company's continued expectation that no benefit will be recovered from the tax basis.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2021 transfer resulted in recognition of approximately $54.1 million net tax benefits during 2021. These benefits represent the value of future tax deductions for amortization of the assets in the acquiring jurisdiction, net of any tax recognized in the selling jurisdiction. The Company’s intellectual property footprint continues to evolve and may result in tax rate volatility in the future.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Company had gross unrecognized tax benefits of $148.4 million and $137.2 million, respectively. The increase is primarily due to positions taken with respect to certain intercompany transactions. The gross unrecognized tax benefits at December 31, 2023 related primarily to transfer pricing on intercompany transactions, the exclusion of stock-based compensation expense from the Company’s cost sharing agreement, and the ability to realize certain refund claims. It is reasonably possible that gross unrecognized tax benefits will decrease by approximately $8.6 million within the next twelve months due to the anticipated closure of audits and the expiration of certain statutes of limitation.</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Included in the balance of gross unrecognized tax benefits at December 31, 2023 are potential benefits of $139.1 million that, if recognized, would reduce our effective tax rate on income from continuing operations. Also included in the balance of gross unrecognized tax benefits at December 31, 2023 are potential benefits of $9.3 million that, if recognized, would result in adjustments to other tax accounts, primarily deferred taxes.</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table below is a reconciliation of the beginning and ending amounts of gross unrecognized tax benefits, excluding interest and penalties, for the years ended December 31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150,024</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12,153</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expiration of statutes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foreign currency exchange rates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137,227</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accrues interest and penalties related to gross unrecognized tax benefits in its income tax provision. As of December 31, 2023 and 2022, the Company had $17.4 million and $16.3 million, respectively, of accrued interest and penalties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9" w:name="page70"/>
    <w:bookmarkEnd w:id="69"/>
    <w:p>
      <w:pPr>
        <w:jc w:val="both"/>
        <w:spacing w:after="0" w:line="282" w:lineRule="auto"/>
        <w:rPr>
          <w:sz w:val="20"/>
          <w:szCs w:val="20"/>
          <w:color w:val="auto"/>
        </w:rPr>
      </w:pPr>
      <w:r>
        <w:rPr>
          <w:rFonts w:ascii="Times New Roman" w:cs="Times New Roman" w:eastAsia="Times New Roman" w:hAnsi="Times New Roman"/>
          <w:sz w:val="18"/>
          <w:szCs w:val="18"/>
          <w:color w:val="auto"/>
        </w:rPr>
        <w:t>related to gross unrecognized tax benefits. These amounts are in addition to the gross unrecognized tax benefits disclosed above. The total amount of interest and penalties recognized in the income tax provision during 2023 and 2022 was $1.8 million and $2.4 million,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years with open statutes of limitation varies depending on the tax jurisdiction. The Company’s statutes are open with respect to the U.S. federal jurisdiction for 2020 and forward, India for 2006 and forward, and Ireland for 2019 and forward. For other major taxing jurisdictions, including U.S. states, the United Kingdom, Canada, Japan, Cyprus, and France, the Company’s statutes vary and are open as far back as 2013.</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(“the OECD”) has issued various proposals that would change long-standing global tax principles. These proposals include a two-pillar approach to global taxation, focusing on global profit allocation and a 15% global corporate minimum tax rate.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countries in which Gartner does business have proposed or enacted new laws or are actively considering changes to their tax laws to align with OECD proposals. Significant details around the provisions are still uncertain as the OECD and participating countries continue to work on defining the underlying rules and administrative procedures. Enactment of this and similar legislation could significantly increase our tax obligations in countries where we do business. We will continue to monitor and reflect the impact of such legislative changes in future financial statements as appropriate.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U.S. GAAP, no provision for income taxes that may result from the remittance of earnings held overseas is required if the Company has the ability and intent to indefinitely reinvest such funds overseas. The Company continues to assert its intention to reinvest all accumulated undistributed foreign earnings in its non-U.S. operations, except in instances where the repatriation of those earnings would result in minimal additional tax. Consequently, the Company has not recognized income tax expense that would result from the remittance of those earnings. The accumulated undistributed earnings of non-U.S. subsidiaries that have not been previously taxed were approximately $109.1 million as of December 31,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Derivatives and Hedging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a limited number of derivative contracts to mitigate the cash flow risk associated with changes in interest rates on variable-rate debt and changes in foreign exchange rates on forecasted foreign currency transactions. The Company accounts for its outstanding derivative contracts in accordance with FASB ASC Topic 815, which requires all derivatives, including derivatives designated as accounting hedges, to be recorded on the balance sheet at fair value. The tables below provide information regarding the Company’s outstanding derivative contracts as of the dates indicated (in thousands, except for number of contracts).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Asset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Contract Type</w:t>
            </w:r>
          </w:p>
        </w:tc>
        <w:tc>
          <w:tcPr>
            <w:tcW w:w="13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(Liability), Net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Loss Recorded in</w:t>
            </w:r>
          </w:p>
        </w:tc>
        <w:tc>
          <w:tcPr>
            <w:tcW w:w="0" w:type="dxa"/>
            <w:vAlign w:val="bottom"/>
          </w:tcPr>
          <w:p>
            <w:pPr>
              <w:spacing w:after="0"/>
              <w:rPr>
                <w:sz w:val="1"/>
                <w:szCs w:val="1"/>
                <w:color w:val="auto"/>
              </w:rPr>
            </w:pPr>
          </w:p>
        </w:tc>
      </w:tr>
      <w:tr>
        <w:trPr>
          <w:trHeight w:val="229"/>
        </w:trPr>
        <w:tc>
          <w:tcPr>
            <w:tcW w:w="3040" w:type="dxa"/>
            <w:vAlign w:val="bottom"/>
            <w:gridSpan w:val="4"/>
            <w:vMerge w:val="continue"/>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AOCI/L</w:t>
            </w:r>
          </w:p>
        </w:tc>
        <w:tc>
          <w:tcPr>
            <w:tcW w:w="0" w:type="dxa"/>
            <w:vAlign w:val="bottom"/>
          </w:tcPr>
          <w:p>
            <w:pPr>
              <w:spacing w:after="0"/>
              <w:rPr>
                <w:sz w:val="1"/>
                <w:szCs w:val="1"/>
                <w:color w:val="auto"/>
              </w:rPr>
            </w:pPr>
          </w:p>
        </w:tc>
      </w:tr>
      <w:tr>
        <w:trPr>
          <w:trHeight w:val="223"/>
        </w:trPr>
        <w:tc>
          <w:tcPr>
            <w:tcW w:w="29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(24,162)</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forwards (2)</w:t>
            </w: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525,719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875,719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(24,162)</w:t>
            </w:r>
          </w:p>
        </w:tc>
        <w:tc>
          <w:tcPr>
            <w:tcW w:w="0" w:type="dxa"/>
            <w:vAlign w:val="bottom"/>
          </w:tcPr>
          <w:p>
            <w:pPr>
              <w:spacing w:after="0"/>
              <w:rPr>
                <w:sz w:val="1"/>
                <w:szCs w:val="1"/>
                <w:color w:val="auto"/>
              </w:rPr>
            </w:pPr>
          </w:p>
        </w:tc>
      </w:tr>
      <w:tr>
        <w:trPr>
          <w:trHeight w:val="20"/>
        </w:trPr>
        <w:tc>
          <w:tcPr>
            <w:tcW w:w="30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3040" w:type="dxa"/>
            <w:vAlign w:val="bottom"/>
            <w:gridSpan w:val="4"/>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Asset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Contract Type</w:t>
            </w:r>
          </w:p>
        </w:tc>
        <w:tc>
          <w:tcPr>
            <w:tcW w:w="13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3"/>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 Net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Loss Recorded in</w:t>
            </w:r>
          </w:p>
        </w:tc>
        <w:tc>
          <w:tcPr>
            <w:tcW w:w="0" w:type="dxa"/>
            <w:vAlign w:val="bottom"/>
          </w:tcPr>
          <w:p>
            <w:pPr>
              <w:spacing w:after="0"/>
              <w:rPr>
                <w:sz w:val="1"/>
                <w:szCs w:val="1"/>
                <w:color w:val="auto"/>
              </w:rPr>
            </w:pPr>
          </w:p>
        </w:tc>
      </w:tr>
      <w:tr>
        <w:trPr>
          <w:trHeight w:val="243"/>
        </w:trPr>
        <w:tc>
          <w:tcPr>
            <w:tcW w:w="3040" w:type="dxa"/>
            <w:vAlign w:val="bottom"/>
            <w:gridSpan w:val="4"/>
            <w:vMerge w:val="continue"/>
          </w:tcPr>
          <w:p>
            <w:pPr>
              <w:spacing w:after="0"/>
              <w:rPr>
                <w:sz w:val="21"/>
                <w:szCs w:val="21"/>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AOCI/L</w:t>
            </w: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 (1)</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forwards (2)</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8"/>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0" w:name="page71"/>
    <w:bookmarkEnd w:id="70"/>
    <w:p>
      <w:pPr>
        <w:jc w:val="both"/>
        <w:ind w:left="340" w:hanging="332"/>
        <w:spacing w:after="0" w:line="254" w:lineRule="auto"/>
        <w:tabs>
          <w:tab w:leader="none" w:pos="3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payment under the then outstanding 2016 Credit Agreement term loan and revolving credit facility, the Company de-designated all of its interest rate swaps effective June 30, 2020. Accordingly, hedge accounting is not applicable, and subsequent changes to fair value of the interest rate swaps are recorded in Other income, net. The amounts previously recorded in Accumulated other comprehensive loss are amortized into Interest expense over the terms of the hedged forecasted interest payments. Note 6 — Debt provides additional information regarding the Company’s interest rate swap contracts.</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foreign exchange transaction risk because it typically enters into transactions in the normal course of business that are denominated in foreign currencies that differ from the local functional currency. The Company enters into short-term foreign currency forward exchange contracts to mitigate the cash flow risk associated with changes in foreign currency rates on forecasted foreign currency transactions. These contracts are accounted for at fair value with realized and unrealized gains and losses recognized in Other income, net because the Company does not designate these contracts as hedges for accounting purposes. All of the outstanding foreign currency forward exchange contracts at December 31, 2023 matured before January 31, 2024.</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14 — Fair Value Disclosures for the determination of the fair values of these instruments.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2023, all of the Company’s derivative counterparties were investment grade financial institutions. The Company did not have any collateral arrangements with its derivative counterparties and none of the derivative contracts contained credit-risk related contingent features. The table below provides information regarding amounts recognized in the Consolidated Statements of Operations for derivative contracts for the years ended December 31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 Recorded In</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20,062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29,061</w:t>
            </w:r>
          </w:p>
        </w:tc>
      </w:tr>
      <w:tr>
        <w:trPr>
          <w:trHeight w:val="229"/>
        </w:trPr>
        <w:tc>
          <w:tcPr>
            <w:tcW w:w="6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net (2)</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(5,836)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7"/>
              </w:rPr>
              <w:t>(18,844)</w:t>
            </w:r>
          </w:p>
        </w:tc>
      </w:tr>
      <w:tr>
        <w:trPr>
          <w:trHeight w:val="248"/>
        </w:trPr>
        <w:tc>
          <w:tcPr>
            <w:tcW w:w="6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14,226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10,217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380" w:type="dxa"/>
            <w:vAlign w:val="bottom"/>
            <w:tcBorders>
              <w:bottom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63"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interest expense from interest rate swap contracts.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net realized and unrealized gains and losses on foreign currency forward contracts, gains and losses on de-designated interest rate swaps.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Note 14 — Fair Value Disclosures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include cash equivalents, fees receivable from customers, accounts payable and accrued liabilities, all of which are normally short-term in nature. The Company believes that the carrying amounts of these financial instruments reasonably approximate their fair values due to their short-term nature. The Company’s financial instruments also include its outstanding variable-rate borrowings under the 2020 Credit Agreement. The Company believes that the carrying amounts of its variable-rate borrowings reasonably approximate their fair values because the rates of interest on those borrowings reflect current market rates of interest for similar instruments with comparable maturities.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enters into a limited number of derivatives transactions but does not enter into repurchase agreements, securities lending transactions or master netting arrangements. Receivables or payables that result from derivatives transactions are recorded gross in the Consolidated Balance Sheets.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FASB ASC Topic 820 provides a framework for the measurement of fair value and a valuation hierarchy based on the transparency of inputs used in the valuation of assets and liabilities. Classification within the valuation hierarchy is based on the lowest level of input that is significant to the resulting fair value measurement. The valuation hierarchy contains three levels. Level 1 measurements consist of quoted prices in active markets for identical assets or liabilities. Level 2 measurements include significant other observable inputs such as quoted prices for similar assets or liabilities in active markets; identical assets or liabilities in inactive markets; observable inputs such as interest rates and yield curves; and other market-corroborated inputs. Level 3 measurements include significant unobservable inputs such as internally-created valuation models. Generally, the Company does not utilize Level 3 valuation inputs to remeasure any of its assets or liabilities. However, Level 3 inputs may be used by the Company when certain long-lived assets, including identifiable intangible assets, goodwill, and right-of-use assets are measured at fair value on a nonrecurring basis when there are indicators of impairment. Additionally, Level 3 inputs may be used by the Company in its required annual impairment review of goodwill. Information regarding the periodic assessment of the Company’s goodwill is included in Note 1 — Business and Significant Accounting Policies. The Company does not typically transfer assets or liabilities between different levels of the valuation hierarchy.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1" w:name="page72"/>
    <w:bookmarkEnd w:id="71"/>
    <w:p>
      <w:pPr>
        <w:ind w:right="460"/>
        <w:spacing w:after="0" w:line="271" w:lineRule="auto"/>
        <w:rPr>
          <w:sz w:val="20"/>
          <w:szCs w:val="20"/>
          <w:color w:val="auto"/>
        </w:rPr>
      </w:pPr>
      <w:r>
        <w:rPr>
          <w:rFonts w:ascii="Times New Roman" w:cs="Times New Roman" w:eastAsia="Times New Roman" w:hAnsi="Times New Roman"/>
          <w:sz w:val="18"/>
          <w:szCs w:val="18"/>
          <w:color w:val="auto"/>
        </w:rPr>
        <w:t>The table below presents the fair value of certain financial assets and liabilities that are recorded at fair value and measured on a recurring basis in the Company’s Consolidated Balance Sheets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Borders>
              <w:bottom w:val="single" w:sz="8" w:color="auto"/>
            </w:tcBorders>
          </w:tcPr>
          <w:p>
            <w:pPr>
              <w:spacing w:after="0"/>
              <w:rPr>
                <w:sz w:val="20"/>
                <w:szCs w:val="20"/>
                <w:color w:val="auto"/>
              </w:rPr>
            </w:pPr>
          </w:p>
        </w:tc>
      </w:tr>
      <w:tr>
        <w:trPr>
          <w:trHeight w:val="223"/>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00" w:type="dxa"/>
            <w:vAlign w:val="bottom"/>
          </w:tcPr>
          <w:p>
            <w:pPr>
              <w:spacing w:after="0"/>
              <w:rPr>
                <w:sz w:val="19"/>
                <w:szCs w:val="19"/>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Values based on Level 1 inputs: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compensation plan assets (1)</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r>
      <w:tr>
        <w:trPr>
          <w:trHeight w:val="223"/>
        </w:trPr>
        <w:tc>
          <w:tcPr>
            <w:tcW w:w="7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Total Level 1 inputs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r>
      <w:tr>
        <w:trPr>
          <w:trHeight w:val="230"/>
        </w:trPr>
        <w:tc>
          <w:tcPr>
            <w:tcW w:w="7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Values based on Level 2 inputs: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7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Deferred compensation plan assets (1)</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84,318</w:t>
            </w:r>
          </w:p>
        </w:tc>
      </w:tr>
      <w:tr>
        <w:trPr>
          <w:trHeight w:val="229"/>
        </w:trPr>
        <w:tc>
          <w:tcPr>
            <w:tcW w:w="7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 (2)</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r>
      <w:tr>
        <w:trPr>
          <w:trHeight w:val="230"/>
        </w:trPr>
        <w:tc>
          <w:tcPr>
            <w:tcW w:w="77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Interest rate swap contract (3)</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10,298</w:t>
            </w:r>
          </w:p>
        </w:tc>
      </w:tr>
      <w:tr>
        <w:trPr>
          <w:trHeight w:val="223"/>
        </w:trPr>
        <w:tc>
          <w:tcPr>
            <w:tcW w:w="77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Level 2 inputs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97,852</w:t>
            </w:r>
          </w:p>
        </w:tc>
      </w:tr>
      <w:tr>
        <w:trPr>
          <w:trHeight w:val="223"/>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123,550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103,917</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7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Values based on Level 2 inputs: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compensation plan liabilities (1)</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96,641</w:t>
            </w:r>
          </w:p>
        </w:tc>
      </w:tr>
      <w:tr>
        <w:trPr>
          <w:trHeight w:val="229"/>
        </w:trPr>
        <w:tc>
          <w:tcPr>
            <w:tcW w:w="77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 (2)</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23"/>
        </w:trPr>
        <w:tc>
          <w:tcPr>
            <w:tcW w:w="77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Level 2 inputs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99,252</w:t>
            </w:r>
          </w:p>
        </w:tc>
      </w:tr>
      <w:tr>
        <w:trPr>
          <w:trHeight w:val="223"/>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123,174</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99,252</w:t>
            </w:r>
          </w:p>
        </w:tc>
      </w:tr>
      <w:tr>
        <w:trPr>
          <w:trHeight w:val="21"/>
        </w:trPr>
        <w:tc>
          <w:tcPr>
            <w:tcW w:w="43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63" w:lineRule="exact"/>
        <w:rPr>
          <w:sz w:val="20"/>
          <w:szCs w:val="20"/>
          <w:color w:val="auto"/>
        </w:rPr>
      </w:pPr>
    </w:p>
    <w:p>
      <w:pPr>
        <w:jc w:val="both"/>
        <w:ind w:left="340" w:hanging="332"/>
        <w:spacing w:after="0" w:line="252" w:lineRule="auto"/>
        <w:tabs>
          <w:tab w:leader="none" w:pos="3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deferred compensation plan for the benefit of certain highly compensated officers, managers and other key employees (see Note 15 — Employee Benefits). The assets consist of investments in money market funds, mutual funds and company-owned life insurance contracts. The money market funds consist of cash equivalents while the mutual fund investments consist of publicly-traded and quoted equity shares. The Company considers the fair values of these assets to be based on Level 1 inputs, and such assets had fair values of $10.3 million and $6.1 million as of December 31, 2023 and 2022, respectively. The carrying amounts of the life insurance contracts equal their cash surrender values. Cash surrender value represents the estimated amount that the Company would receive upon termination of a contract, which approximates fair value. The Company considers life insurance contracts to be valued based on Level 2 inputs, and such assets had fair values of $104.6 million and $84.3 million at December 31, 2023 and 2022, respectively. The related deferred compensation plan liabilities are recorded at fair value, or the estimated amount needed to settle the liability, which the Company considers to be a Level 2 input.</w:t>
      </w:r>
    </w:p>
    <w:p>
      <w:pPr>
        <w:spacing w:after="0" w:line="6"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foreign currency forward exchange contracts to hedge the effects of adverse fluctuations in foreign currency exchange rates (see Note 13 — Derivatives and Hedging). Valuation of these contracts is based on observable foreign currency exchange rates in active markets, which the Company considers to be a Level 2 input.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interest rate swap contracts that hedge the risk of variability from interest payments on its borrowings (see Note 6 — Debt). The fair values of interest rate swaps are based on mark-to-market valuations prepared by a third-party broker. Those valuations are based on observable interest rates from recently executed market transactions and other observable market data, which the Company considers to be Level 2 inputs. The Company independently corroborates the reasonableness of the valuations prepared by the third-party broker by using an electronic quotation service.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carrying amounts (net of deferred financing costs) and fair values of financial instruments that are not recorded at fair value in the Company’s Consolidated Balance Sheets (in thousands). The estimated fair value of the financial instruments was derived from quoted market prices provided by an independent dealer, which the Company considers to be a Level 2 input.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320" w:type="dxa"/>
            <w:vAlign w:val="bottom"/>
          </w:tcPr>
          <w:p>
            <w:pPr>
              <w:spacing w:after="0"/>
              <w:rPr>
                <w:sz w:val="19"/>
                <w:szCs w:val="19"/>
                <w:color w:val="auto"/>
              </w:rPr>
            </w:pPr>
          </w:p>
        </w:tc>
        <w:tc>
          <w:tcPr>
            <w:tcW w:w="17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20" w:type="dxa"/>
            <w:vAlign w:val="bottom"/>
          </w:tcPr>
          <w:p>
            <w:pPr>
              <w:spacing w:after="0"/>
              <w:rPr>
                <w:sz w:val="19"/>
                <w:szCs w:val="19"/>
                <w:color w:val="auto"/>
              </w:rPr>
            </w:pPr>
          </w:p>
        </w:tc>
      </w:tr>
      <w:tr>
        <w:trPr>
          <w:trHeight w:val="238"/>
        </w:trPr>
        <w:tc>
          <w:tcPr>
            <w:tcW w:w="5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2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3"/>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Notes</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794,088</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792,934</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759,040</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740,864</w:t>
            </w:r>
          </w:p>
        </w:tc>
      </w:tr>
      <w:tr>
        <w:trPr>
          <w:trHeight w:val="229"/>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594,794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593,951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543,408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523,842</w:t>
            </w:r>
          </w:p>
        </w:tc>
      </w:tr>
      <w:tr>
        <w:trPr>
          <w:trHeight w:val="230"/>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793,189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792,324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709,600</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688,856</w:t>
            </w:r>
          </w:p>
        </w:tc>
      </w:tr>
      <w:tr>
        <w:trPr>
          <w:trHeight w:val="22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2,182,071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2,179,209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2,012,048</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1,953,562</w:t>
            </w:r>
          </w:p>
        </w:tc>
      </w:tr>
      <w:tr>
        <w:trPr>
          <w:trHeight w:val="21"/>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certain long-lived assets, including identifiable intangible assets, goodwill, and right-of-use assets assets are measured at fair value on a nonrecurring basis when there are indicators of impairment. During the years ended December 31, 2023, 2022 and 2021, the Company recorded impairment charges of $20.4 million, $54.0 million, and $49.5 million, respectively, on right-of-use assets and other long-lived assets primarily related to certain office leases that the Company determined will no longer be used, net of a reduction in the related lease liabilities. The impairment was derived by comparing the fair value of the impacted assets to the carrying value of those assets as of the impairment measurement date, as required under ASC Topic 360 using Level 3 inputs. See Note 7 — Leases for additional discussion related to these impairment charges.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see Note 2 — Acquisitions and Divestiture for fair value measurements of certain assets and liabilities acquired in business combinations that are recorded at fair value on a nonrecurring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Employee Benefits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Defined contribution plans. </w:t>
      </w:r>
      <w:r>
        <w:rPr>
          <w:rFonts w:ascii="Times New Roman" w:cs="Times New Roman" w:eastAsia="Times New Roman" w:hAnsi="Times New Roman"/>
          <w:sz w:val="18"/>
          <w:szCs w:val="18"/>
          <w:color w:val="auto"/>
        </w:rPr>
        <w:t>The Company has savings and investment plans (the “401(k) Plans”) covering substantially all U.S. employees.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contributions are based on the level of employee contributions, up to a maximum of 4% of an employee’s eligible salary, subject to an annual maximum. For 2023, the maximum Company match was $7,200. Amounts expensed in connection with the 401(k) Plans totaled $56.0 million, $50.4 million and $44.1 million in 2023, 2022 and 2021, respectively.</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plans. </w:t>
      </w:r>
      <w:r>
        <w:rPr>
          <w:rFonts w:ascii="Times New Roman" w:cs="Times New Roman" w:eastAsia="Times New Roman" w:hAnsi="Times New Roman"/>
          <w:sz w:val="18"/>
          <w:szCs w:val="18"/>
          <w:color w:val="auto"/>
        </w:rPr>
        <w:t>The Company has supplemental deferred compensation plans for the benefit of certain highly compensated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managers and other key employees. The plans’ investment assets are recorded at fair value in Other assets on the Consolidated Balance Sheets. The value of those assets was $114.8 million and $90.4 million at December 31, 2023 and 2022, respectively (see Note 14 — Fair Value Disclosures for fair value information). The related deferred compensation plan liabilities, which were $121.7 million and $96.6 million at December 31, 2023 and 2022, respectively, are carried at fair value and are adjusted with a corresponding charge or credit to compensation expense to reflect the fair value of the amount owed to the employees. Deferred compensation plan liabilities are recorded in Other liabilities on the Consolidated Balance Sheets. Compensation expense recognized for all of the Company’s deferred compensation plans was $2.8 million, $0.4 million and $1.3 million in 2023, 2022 and 2021, respectively.</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Defined benefit pension plans. </w:t>
      </w:r>
      <w:r>
        <w:rPr>
          <w:rFonts w:ascii="Times New Roman" w:cs="Times New Roman" w:eastAsia="Times New Roman" w:hAnsi="Times New Roman"/>
          <w:sz w:val="18"/>
          <w:szCs w:val="18"/>
          <w:color w:val="auto"/>
        </w:rPr>
        <w:t>The Company has defined benefit pension plans at several of its international locations. Benefits earned and paid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plans are generally based on years of service and level of employee compensation. The Company’s vested benefit obligation is the actuarial present value of the vested benefits to which an employee is entitled based on the employee’s expected date of separation or retirement. The Company’s defined benefit pension plans are accounted for in accordance with FASB ASC Topics 715 and 960. The table below presents the components of the Company’s defined benefit pension plan expense for the years ended December 31 (in thousands). The components of pension expense, other than service cost, are recorded in Other income, net in the Consolidated Statements of Operations.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CCEEFF"/>
            </w:tcBorders>
          </w:tcPr>
          <w:p>
            <w:pPr>
              <w:spacing w:after="0"/>
              <w:rPr>
                <w:sz w:val="20"/>
                <w:szCs w:val="20"/>
                <w:color w:val="auto"/>
              </w:rPr>
            </w:pPr>
          </w:p>
        </w:tc>
        <w:tc>
          <w:tcPr>
            <w:tcW w:w="23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3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Recognition of actuarial loss</w:t>
            </w:r>
          </w:p>
        </w:tc>
        <w:tc>
          <w:tcPr>
            <w:tcW w:w="2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loss due to settlements</w:t>
            </w:r>
          </w:p>
        </w:tc>
        <w:tc>
          <w:tcPr>
            <w:tcW w:w="2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defined benefit pension plan expense</w:t>
            </w:r>
          </w:p>
        </w:tc>
        <w:tc>
          <w:tcPr>
            <w:tcW w:w="2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32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The table below presents the key assumptions used in the computation of pension expense for the years ended December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gridSpan w:val="2"/>
          </w:tcPr>
          <w:p>
            <w:pPr>
              <w:ind w:left="700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(1)</w:t>
            </w: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0.94 %</w:t>
            </w:r>
          </w:p>
        </w:tc>
      </w:tr>
      <w:tr>
        <w:trPr>
          <w:trHeight w:val="229"/>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3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compensation increase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r>
      <w:tr>
        <w:trPr>
          <w:trHeight w:val="234"/>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balance interest credit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7774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27" w:lineRule="exact"/>
        <w:rPr>
          <w:sz w:val="20"/>
          <w:szCs w:val="20"/>
          <w:color w:val="auto"/>
        </w:rPr>
      </w:pPr>
    </w:p>
    <w:p>
      <w:pPr>
        <w:ind w:left="340" w:right="20" w:hanging="332"/>
        <w:spacing w:after="0" w:line="282" w:lineRule="auto"/>
        <w:tabs>
          <w:tab w:leader="none" w:pos="3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are typically determined by using the yields on long-term corporate or government bonds in the relevant country with a duration consistent with the expected term of the underlying pension obligations.</w:t>
      </w:r>
    </w:p>
    <w:p>
      <w:pPr>
        <w:spacing w:after="0" w:line="1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table below provides information regarding changes in the projected benefit obligation of the Company’s defined benefit pension plans for the years ended December 31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62,297</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 (gain) due to assumption changes and plan experience (1)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payments (2)</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amendments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Acquisition/Business Combination/Divestiture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(4,675)</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 (3)</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table below presents the key assumptions used in determining the projected benefit obligations at December 31.</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64"/>
        </w:trPr>
        <w:tc>
          <w:tcPr>
            <w:tcW w:w="438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30"/>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compensation increase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r>
      <w:tr>
        <w:trPr>
          <w:trHeight w:val="230"/>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balance interest credit rate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175"/>
        </w:trPr>
        <w:tc>
          <w:tcPr>
            <w:tcW w:w="4380" w:type="dxa"/>
            <w:vAlign w:val="bottom"/>
            <w:tcBorders>
              <w:bottom w:val="single" w:sz="8" w:color="auto"/>
            </w:tcBorders>
          </w:tcPr>
          <w:p>
            <w:pPr>
              <w:spacing w:after="0"/>
              <w:rPr>
                <w:sz w:val="15"/>
                <w:szCs w:val="15"/>
                <w:color w:val="auto"/>
              </w:rPr>
            </w:pP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bl>
    <w:p>
      <w:pPr>
        <w:spacing w:after="0" w:line="171"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actuarial (gain) losses were primarily due to changes in the weighted average discount rate assumption.</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projects benefit payments will be made in future years directly to plan participants as follows: $3.5 million in 2024; $3.6 million in 2025; $4.0 million in 2026; $4.6 million in 2027; $5.8 million in 2028; and $32.6 million in total in the five years thereafter.</w:t>
      </w: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Measured as of December 31.</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are typically determined by using the yields on long-term corporate or government bonds in the relevant country with a duration consistent with the expected term of the underlying pension obligations.</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provide information regarding the funded status of the Company’s defined benefit pension plans and the related amounts recorded in the Consolidated Balance Sheets as of December 31 (in thousands).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 of the plans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57,973</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Pension plan assets at fair value (1)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(29,737)</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 shortfall (2)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recorded in the Consolidated Balance Sheets for the plans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 accrued pension obligation (2)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Stockholders’ equity – deferred actuarial loss (3)</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(5,731)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(4,247)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(6,672)</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40" w:hanging="332"/>
        <w:spacing w:after="0" w:line="254" w:lineRule="auto"/>
        <w:tabs>
          <w:tab w:leader="none" w:pos="3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pension plan assets are held by third-party trustees and are invested in a diversified portfolio of equities, high-quality government and corporate bonds, and other investments. The assets are primarily valued based on Level 1 and Level 2 inputs under the fair value hierarchy in FASB ASC Topic 820, with the majority of the invested assets considered to be of low-to-medium investment risk. The Company projects a future long-term rate of return on these plan assets of 3.59%, which it believes is reasonable based on the composition of the assets and both current and projected market conditions. Additional information regarding pension plan asset activity is provided below.</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Funded status – shortfall represents the amount of the projected benefit obligation that the Company has not funded with a third-party trustee. These liabilities of the Company are recorded in Other liabilities on the Consolidated Balance Sheets. The level of future contributions by the Company will vary and is dependent on a number of factors including investment returns, interest rate fluctuations, plan demographics, funding regulations and the results of the final actuarial valuation.</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actuarial loss as of December 31, 2023 is recorded in AOCI/L and will be reclassified out of AOCI/L and recognized as pension expense over approximately 11 years, subject to certain limitations set forth in FASB ASC Topic 715.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rollforward of the Company’s defined benefit pension plans assets for the years ended December 31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assets at the beginning of the year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28,636</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contributions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payments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assets at the end of the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a reinsurance asset arrangement with a large international insurance company that is intended to fund benefit payments for one of its plans. The reinsurance asset is not a pension plan asset but is an asset of the Company. At December 31, 2023 and 2022, the reinsurance asset was recorded at its cash surrender value of $9.5 million and $9.1 million, respectively, and recorded in Other assets on the Consolidated Balance Sheets. The Company believes that cash surrender value approximates fair value and is equivalent to a Level 2 input under the FASB’s fair value hierarchy in FASB ASC Topic 820.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products and services are delivered through three business segments – Research, Conferences and Consulting, as described below.</w:t>
      </w:r>
    </w:p>
    <w:p>
      <w:pPr>
        <w:spacing w:after="0" w:line="221" w:lineRule="exact"/>
        <w:rPr>
          <w:sz w:val="20"/>
          <w:szCs w:val="20"/>
          <w:color w:val="auto"/>
        </w:rPr>
      </w:pPr>
    </w:p>
    <w:p>
      <w:pPr>
        <w:jc w:val="both"/>
        <w:ind w:left="340" w:hanging="332"/>
        <w:spacing w:after="0" w:line="268" w:lineRule="auto"/>
        <w:tabs>
          <w:tab w:leader="none" w:pos="335"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Research </w:t>
      </w:r>
      <w:r>
        <w:rPr>
          <w:rFonts w:ascii="Times New Roman" w:cs="Times New Roman" w:eastAsia="Times New Roman" w:hAnsi="Times New Roman"/>
          <w:sz w:val="18"/>
          <w:szCs w:val="18"/>
          <w:color w:val="auto"/>
        </w:rPr>
        <w:t>equips executives and their teams from every function and across all industries with actionable, objective insight, guidance and tools.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experienced experts deliver all this value informed by a combination of practitioner-sourced and data-driven research to help our clients address their mission critical priorities.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5" w:name="page76"/>
    <w:bookmarkEnd w:id="75"/>
    <w:p>
      <w:pPr>
        <w:jc w:val="both"/>
        <w:ind w:left="340" w:hanging="332"/>
        <w:spacing w:after="0" w:line="261" w:lineRule="auto"/>
        <w:tabs>
          <w:tab w:leader="none" w:pos="328" w:val="left"/>
        </w:tabs>
        <w:numPr>
          <w:ilvl w:val="0"/>
          <w:numId w:val="42"/>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i w:val="1"/>
          <w:iCs w:val="1"/>
          <w:color w:val="auto"/>
        </w:rPr>
        <w:t xml:space="preserve">Conferences </w:t>
      </w:r>
      <w:r>
        <w:rPr>
          <w:rFonts w:ascii="Times New Roman" w:cs="Times New Roman" w:eastAsia="Times New Roman" w:hAnsi="Times New Roman"/>
          <w:sz w:val="18"/>
          <w:szCs w:val="18"/>
          <w:color w:val="auto"/>
        </w:rPr>
        <w:t>provides executives and teams across an organization the opportunity to learn, share and network. From our Gartner Symposium/Xpo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to industry-leading conferences focused on specific business roles and topics, to peer-driven sessions, our offerings enable attendees to experience the best of Gartner insight and guidance.</w:t>
      </w:r>
    </w:p>
    <w:p>
      <w:pPr>
        <w:spacing w:after="0" w:line="204" w:lineRule="exact"/>
        <w:rPr>
          <w:rFonts w:ascii="Arial" w:cs="Arial" w:eastAsia="Arial" w:hAnsi="Arial"/>
          <w:sz w:val="20"/>
          <w:szCs w:val="20"/>
          <w:b w:val="1"/>
          <w:bCs w:val="1"/>
          <w:color w:val="auto"/>
        </w:rPr>
      </w:pPr>
    </w:p>
    <w:p>
      <w:pPr>
        <w:jc w:val="both"/>
        <w:ind w:left="340" w:hanging="332"/>
        <w:spacing w:after="0" w:line="253" w:lineRule="auto"/>
        <w:tabs>
          <w:tab w:leader="none" w:pos="333" w:val="left"/>
        </w:tabs>
        <w:numPr>
          <w:ilvl w:val="0"/>
          <w:numId w:val="42"/>
        </w:numPr>
        <w:rPr>
          <w:rFonts w:ascii="Calibri" w:cs="Calibri" w:eastAsia="Calibri" w:hAnsi="Calibri"/>
          <w:sz w:val="20"/>
          <w:szCs w:val="20"/>
          <w:b w:val="1"/>
          <w:bCs w:val="1"/>
          <w:color w:val="auto"/>
        </w:rPr>
      </w:pPr>
      <w:r>
        <w:rPr>
          <w:rFonts w:ascii="Times New Roman" w:cs="Times New Roman" w:eastAsia="Times New Roman" w:hAnsi="Times New Roman"/>
          <w:sz w:val="18"/>
          <w:szCs w:val="18"/>
          <w:b w:val="1"/>
          <w:bCs w:val="1"/>
          <w:i w:val="1"/>
          <w:iCs w:val="1"/>
          <w:color w:val="auto"/>
        </w:rPr>
        <w:t xml:space="preserve">Consulting </w:t>
      </w:r>
      <w:r>
        <w:rPr>
          <w:rFonts w:ascii="Times New Roman" w:cs="Times New Roman" w:eastAsia="Times New Roman" w:hAnsi="Times New Roman"/>
          <w:sz w:val="18"/>
          <w:szCs w:val="18"/>
          <w:color w:val="auto"/>
        </w:rPr>
        <w:t>serves senior executives leading technology-driven strategic initiatives leveraging the power of Gartner’s actionable, objective insight.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custom analysis and on-the-ground support we enable optimized technology investments and stronger performance on our clients’ mission critical priorities.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segment performance and allocates resources based on gross contribution margin. Gross contribution, as presented in the table below, is defined as operating income or loss excluding certain Cost of services and product development expenses, Selling, general and administrative expenses, Depreciation, Amortization of intangibles, and Acquisition and integration charges. Certain bonus and fringe benefit costs included in consolidated Cost of services and product development are not allocated to segment expense. The accounting policies used by the reportable segments are the same as those used by the Company. There are no intersegment revenues. The Company does not identify or allocate tangible assets, including capital expenditures, by reportable segment. Accordingly, tangible assets are not reported by segment because the information is not available by segment and is not reviewed in the evaluation of segment performance or in making decisions regarding the allocation of resources.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earns revenue from clients in many countries. Other than the United States, there is no individual country where revenues from external clients represent 10% or more of the Company’s consolidated revenues. Additionally, no single client accounted for 10% or more of the Company’s consolidated revenues and the loss of a single client, in management’s opinion, would not have a material adverse effect on revenues.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information about the Company’s reportable segments for the years ended December 31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4,887,046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505,164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514,746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5,906,956</w:t>
            </w:r>
          </w:p>
        </w:tc>
        <w:tc>
          <w:tcPr>
            <w:tcW w:w="0" w:type="dxa"/>
            <w:vAlign w:val="bottom"/>
          </w:tcPr>
          <w:p>
            <w:pPr>
              <w:spacing w:after="0"/>
              <w:rPr>
                <w:sz w:val="1"/>
                <w:szCs w:val="1"/>
                <w:color w:val="auto"/>
              </w:rPr>
            </w:pPr>
          </w:p>
        </w:tc>
      </w:tr>
      <w:tr>
        <w:trPr>
          <w:trHeight w:val="230"/>
        </w:trPr>
        <w:tc>
          <w:tcPr>
            <w:tcW w:w="5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Gross contribution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3,600,143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253,739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181,501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4,035,383</w:t>
            </w:r>
          </w:p>
        </w:tc>
        <w:tc>
          <w:tcPr>
            <w:tcW w:w="0" w:type="dxa"/>
            <w:vAlign w:val="bottom"/>
          </w:tcPr>
          <w:p>
            <w:pPr>
              <w:spacing w:after="0"/>
              <w:rPr>
                <w:sz w:val="1"/>
                <w:szCs w:val="1"/>
                <w:color w:val="auto"/>
              </w:rPr>
            </w:pPr>
          </w:p>
        </w:tc>
      </w:tr>
      <w:tr>
        <w:trPr>
          <w:trHeight w:val="229"/>
        </w:trPr>
        <w:tc>
          <w:tcPr>
            <w:tcW w:w="5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(2,798,489)</w:t>
            </w:r>
          </w:p>
        </w:tc>
        <w:tc>
          <w:tcPr>
            <w:tcW w:w="0" w:type="dxa"/>
            <w:vAlign w:val="bottom"/>
          </w:tcPr>
          <w:p>
            <w:pPr>
              <w:spacing w:after="0"/>
              <w:rPr>
                <w:sz w:val="1"/>
                <w:szCs w:val="1"/>
                <w:color w:val="auto"/>
              </w:rPr>
            </w:pPr>
          </w:p>
        </w:tc>
      </w:tr>
      <w:tr>
        <w:trPr>
          <w:trHeight w:val="223"/>
        </w:trPr>
        <w:tc>
          <w:tcPr>
            <w:tcW w:w="5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1,236,894</w:t>
            </w:r>
          </w:p>
        </w:tc>
        <w:tc>
          <w:tcPr>
            <w:tcW w:w="0" w:type="dxa"/>
            <w:vAlign w:val="bottom"/>
          </w:tcPr>
          <w:p>
            <w:pPr>
              <w:spacing w:after="0"/>
              <w:rPr>
                <w:sz w:val="1"/>
                <w:szCs w:val="1"/>
                <w:color w:val="auto"/>
              </w:rPr>
            </w:pPr>
          </w:p>
        </w:tc>
      </w:tr>
      <w:tr>
        <w:trPr>
          <w:trHeight w:val="21"/>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3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4,604,791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389,273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481,782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5,475,846</w:t>
            </w:r>
          </w:p>
        </w:tc>
        <w:tc>
          <w:tcPr>
            <w:tcW w:w="0" w:type="dxa"/>
            <w:vAlign w:val="bottom"/>
          </w:tcPr>
          <w:p>
            <w:pPr>
              <w:spacing w:after="0"/>
              <w:rPr>
                <w:sz w:val="1"/>
                <w:szCs w:val="1"/>
                <w:color w:val="auto"/>
              </w:rPr>
            </w:pPr>
          </w:p>
        </w:tc>
      </w:tr>
      <w:tr>
        <w:trPr>
          <w:trHeight w:val="229"/>
        </w:trPr>
        <w:tc>
          <w:tcPr>
            <w:tcW w:w="5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Gross contribution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3,414,574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210,726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3,815,134</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(2,715,028)</w:t>
            </w:r>
          </w:p>
        </w:tc>
        <w:tc>
          <w:tcPr>
            <w:tcW w:w="0" w:type="dxa"/>
            <w:vAlign w:val="bottom"/>
          </w:tcPr>
          <w:p>
            <w:pPr>
              <w:spacing w:after="0"/>
              <w:rPr>
                <w:sz w:val="1"/>
                <w:szCs w:val="1"/>
                <w:color w:val="auto"/>
              </w:rPr>
            </w:pPr>
          </w:p>
        </w:tc>
      </w:tr>
      <w:tr>
        <w:trPr>
          <w:trHeight w:val="223"/>
        </w:trPr>
        <w:tc>
          <w:tcPr>
            <w:tcW w:w="5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1,100,106</w:t>
            </w:r>
          </w:p>
        </w:tc>
        <w:tc>
          <w:tcPr>
            <w:tcW w:w="0" w:type="dxa"/>
            <w:vAlign w:val="bottom"/>
          </w:tcPr>
          <w:p>
            <w:pPr>
              <w:spacing w:after="0"/>
              <w:rPr>
                <w:sz w:val="1"/>
                <w:szCs w:val="1"/>
                <w:color w:val="auto"/>
              </w:rPr>
            </w:pPr>
          </w:p>
        </w:tc>
      </w:tr>
      <w:tr>
        <w:trPr>
          <w:trHeight w:val="21"/>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3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4,101,392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418,121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4,733,962</w:t>
            </w:r>
          </w:p>
        </w:tc>
        <w:tc>
          <w:tcPr>
            <w:tcW w:w="0" w:type="dxa"/>
            <w:vAlign w:val="bottom"/>
          </w:tcPr>
          <w:p>
            <w:pPr>
              <w:spacing w:after="0"/>
              <w:rPr>
                <w:sz w:val="1"/>
                <w:szCs w:val="1"/>
                <w:color w:val="auto"/>
              </w:rPr>
            </w:pPr>
          </w:p>
        </w:tc>
      </w:tr>
      <w:tr>
        <w:trPr>
          <w:trHeight w:val="229"/>
        </w:trPr>
        <w:tc>
          <w:tcPr>
            <w:tcW w:w="5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Gross contribution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3,036,925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133,748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158,843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3,329,516</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(2,413,765)</w:t>
            </w:r>
          </w:p>
        </w:tc>
        <w:tc>
          <w:tcPr>
            <w:tcW w:w="0" w:type="dxa"/>
            <w:vAlign w:val="bottom"/>
          </w:tcPr>
          <w:p>
            <w:pPr>
              <w:spacing w:after="0"/>
              <w:rPr>
                <w:sz w:val="1"/>
                <w:szCs w:val="1"/>
                <w:color w:val="auto"/>
              </w:rPr>
            </w:pPr>
          </w:p>
        </w:tc>
      </w:tr>
      <w:tr>
        <w:trPr>
          <w:trHeight w:val="223"/>
        </w:trPr>
        <w:tc>
          <w:tcPr>
            <w:tcW w:w="5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915,751</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reconciliation of total segment gross contribution to net income for the years ended December 31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4380" w:type="dxa"/>
            <w:vAlign w:val="bottom"/>
            <w:tcBorders>
              <w:bottom w:val="single" w:sz="8" w:color="CCEEFF"/>
            </w:tcBorders>
          </w:tcPr>
          <w:p>
            <w:pPr>
              <w:spacing w:after="0"/>
              <w:rPr>
                <w:sz w:val="20"/>
                <w:szCs w:val="20"/>
                <w:color w:val="auto"/>
              </w:rPr>
            </w:pPr>
          </w:p>
        </w:tc>
        <w:tc>
          <w:tcPr>
            <w:tcW w:w="25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gross contribution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4,035,383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3,815,134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3,329,516</w:t>
            </w:r>
          </w:p>
        </w:tc>
      </w:tr>
      <w:tr>
        <w:trPr>
          <w:trHeight w:val="22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services and product development - unallocated (1)</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39,647</w:t>
            </w:r>
          </w:p>
        </w:tc>
      </w:tr>
      <w:tr>
        <w:trPr>
          <w:trHeight w:val="230"/>
        </w:trPr>
        <w:tc>
          <w:tcPr>
            <w:tcW w:w="6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2,701,542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2,480,944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2,155,658</w:t>
            </w:r>
          </w:p>
        </w:tc>
      </w:tr>
      <w:tr>
        <w:trPr>
          <w:trHeight w:val="229"/>
        </w:trPr>
        <w:tc>
          <w:tcPr>
            <w:tcW w:w="6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191,103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191,946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212,405</w:t>
            </w:r>
          </w:p>
        </w:tc>
      </w:tr>
      <w:tr>
        <w:trPr>
          <w:trHeight w:val="230"/>
        </w:trPr>
        <w:tc>
          <w:tcPr>
            <w:tcW w:w="6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w:t>
            </w:r>
          </w:p>
        </w:tc>
      </w:tr>
      <w:tr>
        <w:trPr>
          <w:trHeight w:val="229"/>
        </w:trPr>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(135,410)</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1,236,894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1,100,106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915,751</w:t>
            </w:r>
          </w:p>
        </w:tc>
      </w:tr>
      <w:tr>
        <w:trPr>
          <w:trHeight w:val="229"/>
        </w:trPr>
        <w:tc>
          <w:tcPr>
            <w:tcW w:w="6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(98,191)</w:t>
            </w:r>
          </w:p>
        </w:tc>
      </w:tr>
      <w:tr>
        <w:trPr>
          <w:trHeight w:val="229"/>
        </w:trPr>
        <w:tc>
          <w:tcPr>
            <w:tcW w:w="6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152,310</w:t>
            </w:r>
          </w:p>
        </w:tc>
      </w:tr>
      <w:tr>
        <w:trPr>
          <w:trHeight w:val="230"/>
        </w:trPr>
        <w:tc>
          <w:tcPr>
            <w:tcW w:w="6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264,663</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219,396</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176,310</w:t>
            </w:r>
          </w:p>
        </w:tc>
      </w:tr>
      <w:tr>
        <w:trPr>
          <w:trHeight w:val="22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882,466</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807,799</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793,560</w:t>
            </w:r>
          </w:p>
        </w:tc>
      </w:tr>
      <w:tr>
        <w:trPr>
          <w:trHeight w:val="21"/>
        </w:trPr>
        <w:tc>
          <w:tcPr>
            <w:tcW w:w="4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306" w:lineRule="exact"/>
        <w:rPr>
          <w:sz w:val="20"/>
          <w:szCs w:val="20"/>
          <w:color w:val="auto"/>
        </w:rPr>
      </w:pPr>
    </w:p>
    <w:p>
      <w:pPr>
        <w:jc w:val="both"/>
        <w:ind w:left="340" w:hanging="332"/>
        <w:spacing w:after="0" w:line="266"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amounts consist of certain bonus and fringe costs recorded in consolidated Cost of services and product development that are not allocated to segment expense. The Company’s policy is to allocate bonuses to segments at 100% of a segment employee’s target bonus. Amounts above or below 100% are absorbed by corporate.</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Disaggregated revenue information by reportable segment for the three years ended December 31, 2023 is presented in Note 9 — Revenue and Related Matters. Long-lived asset information by geographic location as of December 31 is summarized in the table below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Borders>
              <w:bottom w:val="single" w:sz="8" w:color="CCEEFF"/>
            </w:tcBorders>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 (1):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622,993</w:t>
            </w:r>
          </w:p>
        </w:tc>
      </w:tr>
      <w:tr>
        <w:trPr>
          <w:trHeight w:val="229"/>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252,573</w:t>
            </w:r>
          </w:p>
        </w:tc>
      </w:tr>
      <w:tr>
        <w:trPr>
          <w:trHeight w:val="230"/>
        </w:trPr>
        <w:tc>
          <w:tcPr>
            <w:tcW w:w="8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International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123,138</w:t>
            </w: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long-lived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998,704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3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Excludes goodwill and intangible assets for all dates.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Contingencies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The Company is involved in legal proceedings and litigation arising in the ordinary course of business. The Company records a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pending litigation in its consolidated financial statements when it is determined that an unfavorable outcome is probable and the amount of the loss can be reasonably estimated. The Company believes that the potential liability, if any, in excess of amounts already accrued from all proceedings, claims and litigation will not have a material effect on its financial position, cash flows or results of operations when resolved in a future period.</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Indemnifications. </w:t>
      </w:r>
      <w:r>
        <w:rPr>
          <w:rFonts w:ascii="Times New Roman" w:cs="Times New Roman" w:eastAsia="Times New Roman" w:hAnsi="Times New Roman"/>
          <w:sz w:val="18"/>
          <w:szCs w:val="18"/>
          <w:color w:val="auto"/>
        </w:rPr>
        <w:t>The Company has various agreements that may obligate it to indemnify the other party with respect to certain matters. Generally,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clauses are included in contracts arising in the normal course of business under which the Company customarily agrees to hold the other party harmless against losses arising from a breach of representations related to matters such as title to assets sold and licensed or certain intellectual property rights. It is not possible to predict the maximum potential amount of future payments under these indemnification agreements due to the conditional nature of the Company’s obligations and the unique facts of each particular agreement. Historically, payments made by the Company under these agreements have not been material. As of December 31, 2023, the Company did not have any material payment obligations under any such indemnification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Valuation and Qualifying Accounts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an allowance for bad debt. The table below summarizes the activity in the Company’s allowance for losses for the years ended December 31 (in thousands).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200" w:type="dxa"/>
            <w:vAlign w:val="bottom"/>
          </w:tcPr>
          <w:p>
            <w:pPr>
              <w:spacing w:after="0"/>
              <w:rPr>
                <w:sz w:val="16"/>
                <w:szCs w:val="16"/>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Balance at</w:t>
            </w:r>
          </w:p>
        </w:tc>
      </w:tr>
      <w:tr>
        <w:trPr>
          <w:trHeight w:val="162"/>
        </w:trPr>
        <w:tc>
          <w:tcPr>
            <w:tcW w:w="4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Charged to</w:t>
            </w:r>
          </w:p>
        </w:tc>
        <w:tc>
          <w:tcPr>
            <w:tcW w:w="200" w:type="dxa"/>
            <w:vAlign w:val="bottom"/>
          </w:tcPr>
          <w:p>
            <w:pPr>
              <w:spacing w:after="0"/>
              <w:rPr>
                <w:sz w:val="14"/>
                <w:szCs w:val="14"/>
                <w:color w:val="auto"/>
              </w:rPr>
            </w:pPr>
          </w:p>
        </w:tc>
        <w:tc>
          <w:tcPr>
            <w:tcW w:w="12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from the</w:t>
            </w:r>
          </w:p>
        </w:tc>
        <w:tc>
          <w:tcPr>
            <w:tcW w:w="200" w:type="dxa"/>
            <w:vAlign w:val="bottom"/>
          </w:tcPr>
          <w:p>
            <w:pPr>
              <w:spacing w:after="0"/>
              <w:rPr>
                <w:sz w:val="14"/>
                <w:szCs w:val="14"/>
                <w:color w:val="auto"/>
              </w:rPr>
            </w:pPr>
          </w:p>
        </w:tc>
        <w:tc>
          <w:tcPr>
            <w:tcW w:w="1120" w:type="dxa"/>
            <w:vAlign w:val="bottom"/>
          </w:tcPr>
          <w:p>
            <w:pPr>
              <w:jc w:val="center"/>
              <w:ind w:right="115"/>
              <w:spacing w:after="0" w:line="162" w:lineRule="exact"/>
              <w:rPr>
                <w:sz w:val="20"/>
                <w:szCs w:val="20"/>
                <w:color w:val="auto"/>
              </w:rPr>
            </w:pPr>
            <w:r>
              <w:rPr>
                <w:rFonts w:ascii="Times New Roman" w:cs="Times New Roman" w:eastAsia="Times New Roman" w:hAnsi="Times New Roman"/>
                <w:sz w:val="16"/>
                <w:szCs w:val="16"/>
                <w:b w:val="1"/>
                <w:bCs w:val="1"/>
                <w:color w:val="auto"/>
                <w:w w:val="98"/>
              </w:rPr>
              <w:t>End</w:t>
            </w:r>
          </w:p>
        </w:tc>
      </w:tr>
      <w:tr>
        <w:trPr>
          <w:trHeight w:val="214"/>
        </w:trPr>
        <w:tc>
          <w:tcPr>
            <w:tcW w:w="4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of Year</w:t>
            </w: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Reserve</w:t>
            </w:r>
          </w:p>
        </w:tc>
        <w:tc>
          <w:tcPr>
            <w:tcW w:w="200" w:type="dxa"/>
            <w:vAlign w:val="bottom"/>
          </w:tcPr>
          <w:p>
            <w:pPr>
              <w:spacing w:after="0"/>
              <w:rPr>
                <w:sz w:val="18"/>
                <w:szCs w:val="18"/>
                <w:color w:val="auto"/>
              </w:rPr>
            </w:pPr>
          </w:p>
        </w:tc>
        <w:tc>
          <w:tcPr>
            <w:tcW w:w="112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7"/>
              </w:rPr>
              <w:t>of Year</w:t>
            </w:r>
          </w:p>
        </w:tc>
      </w:tr>
      <w:tr>
        <w:trPr>
          <w:trHeight w:val="225"/>
        </w:trPr>
        <w:tc>
          <w:tcPr>
            <w:tcW w:w="4380" w:type="dxa"/>
            <w:vAlign w:val="bottom"/>
            <w:tcBorders>
              <w:top w:val="single" w:sz="8" w:color="CCEEFF"/>
            </w:tcBorders>
            <w:shd w:val="clear" w:color="auto" w:fill="CCEEFF"/>
          </w:tcPr>
          <w:p>
            <w:pPr>
              <w:jc w:val="right"/>
              <w:ind w:right="3910"/>
              <w:spacing w:after="0"/>
              <w:rPr>
                <w:sz w:val="20"/>
                <w:szCs w:val="20"/>
                <w:color w:val="auto"/>
              </w:rPr>
            </w:pPr>
            <w:r>
              <w:rPr>
                <w:rFonts w:ascii="Times New Roman" w:cs="Times New Roman" w:eastAsia="Times New Roman" w:hAnsi="Times New Roman"/>
                <w:sz w:val="18"/>
                <w:szCs w:val="18"/>
                <w:color w:val="auto"/>
                <w:w w:val="99"/>
              </w:rPr>
              <w:t>2023</w:t>
            </w:r>
          </w:p>
        </w:tc>
        <w:tc>
          <w:tcPr>
            <w:tcW w:w="1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30"/>
        </w:trPr>
        <w:tc>
          <w:tcPr>
            <w:tcW w:w="4380" w:type="dxa"/>
            <w:vAlign w:val="bottom"/>
          </w:tcPr>
          <w:p>
            <w:pPr>
              <w:jc w:val="right"/>
              <w:ind w:right="3910"/>
              <w:spacing w:after="0"/>
              <w:rPr>
                <w:sz w:val="20"/>
                <w:szCs w:val="20"/>
                <w:color w:val="auto"/>
              </w:rPr>
            </w:pPr>
            <w:r>
              <w:rPr>
                <w:rFonts w:ascii="Times New Roman" w:cs="Times New Roman" w:eastAsia="Times New Roman" w:hAnsi="Times New Roman"/>
                <w:sz w:val="18"/>
                <w:szCs w:val="18"/>
                <w:color w:val="auto"/>
                <w:w w:val="99"/>
              </w:rPr>
              <w:t>2022</w:t>
            </w:r>
          </w:p>
        </w:tc>
        <w:tc>
          <w:tcPr>
            <w:tcW w:w="12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29"/>
        </w:trPr>
        <w:tc>
          <w:tcPr>
            <w:tcW w:w="4380" w:type="dxa"/>
            <w:vAlign w:val="bottom"/>
            <w:shd w:val="clear" w:color="auto" w:fill="CCEEFF"/>
          </w:tcPr>
          <w:p>
            <w:pPr>
              <w:jc w:val="right"/>
              <w:ind w:right="3910"/>
              <w:spacing w:after="0"/>
              <w:rPr>
                <w:sz w:val="20"/>
                <w:szCs w:val="20"/>
                <w:color w:val="auto"/>
              </w:rPr>
            </w:pPr>
            <w:r>
              <w:rPr>
                <w:rFonts w:ascii="Times New Roman" w:cs="Times New Roman" w:eastAsia="Times New Roman" w:hAnsi="Times New Roman"/>
                <w:sz w:val="18"/>
                <w:szCs w:val="18"/>
                <w:color w:val="auto"/>
                <w:w w:val="99"/>
              </w:rPr>
              <w:t>2021</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83"/>
        </w:trPr>
        <w:tc>
          <w:tcPr>
            <w:tcW w:w="438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674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Gartner, Inc.</w:t>
            </w:r>
          </w:p>
        </w:tc>
      </w:tr>
      <w:tr>
        <w:trPr>
          <w:trHeight w:val="45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15, 2024</w:t>
            </w:r>
          </w:p>
        </w:tc>
        <w:tc>
          <w:tcPr>
            <w:tcW w:w="674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By:  /s/ Eugene A. Hall</w:t>
            </w:r>
          </w:p>
        </w:tc>
      </w:tr>
      <w:tr>
        <w:trPr>
          <w:trHeight w:val="205"/>
        </w:trPr>
        <w:tc>
          <w:tcPr>
            <w:tcW w:w="4440" w:type="dxa"/>
            <w:vAlign w:val="bottom"/>
          </w:tcPr>
          <w:p>
            <w:pPr>
              <w:spacing w:after="0"/>
              <w:rPr>
                <w:sz w:val="17"/>
                <w:szCs w:val="17"/>
                <w:color w:val="auto"/>
              </w:rPr>
            </w:pPr>
          </w:p>
        </w:tc>
        <w:tc>
          <w:tcPr>
            <w:tcW w:w="2940" w:type="dxa"/>
            <w:vAlign w:val="bottom"/>
          </w:tcPr>
          <w:p>
            <w:pPr>
              <w:ind w:left="2500"/>
              <w:spacing w:after="0" w:line="205" w:lineRule="exact"/>
              <w:rPr>
                <w:sz w:val="20"/>
                <w:szCs w:val="20"/>
                <w:color w:val="auto"/>
              </w:rPr>
            </w:pPr>
            <w:r>
              <w:rPr>
                <w:rFonts w:ascii="Times New Roman" w:cs="Times New Roman" w:eastAsia="Times New Roman" w:hAnsi="Times New Roman"/>
                <w:sz w:val="18"/>
                <w:szCs w:val="18"/>
                <w:color w:val="auto"/>
                <w:w w:val="77"/>
              </w:rPr>
              <w:t>Eugene</w:t>
            </w:r>
          </w:p>
        </w:tc>
        <w:tc>
          <w:tcPr>
            <w:tcW w:w="3800" w:type="dxa"/>
            <w:vAlign w:val="bottom"/>
            <w:tcBorders>
              <w:top w:val="single" w:sz="8" w:color="auto"/>
            </w:tcBorders>
          </w:tcPr>
          <w:p>
            <w:pPr>
              <w:ind w:left="140"/>
              <w:spacing w:after="0" w:line="205" w:lineRule="exact"/>
              <w:rPr>
                <w:sz w:val="20"/>
                <w:szCs w:val="20"/>
                <w:color w:val="auto"/>
              </w:rPr>
            </w:pPr>
            <w:r>
              <w:rPr>
                <w:rFonts w:ascii="Times New Roman" w:cs="Times New Roman" w:eastAsia="Times New Roman" w:hAnsi="Times New Roman"/>
                <w:sz w:val="18"/>
                <w:szCs w:val="18"/>
                <w:color w:val="auto"/>
              </w:rPr>
              <w:t>A. Hall</w:t>
            </w:r>
          </w:p>
        </w:tc>
      </w:tr>
      <w:tr>
        <w:trPr>
          <w:trHeight w:val="234"/>
        </w:trPr>
        <w:tc>
          <w:tcPr>
            <w:tcW w:w="4440" w:type="dxa"/>
            <w:vAlign w:val="bottom"/>
          </w:tcPr>
          <w:p>
            <w:pPr>
              <w:spacing w:after="0"/>
              <w:rPr>
                <w:sz w:val="20"/>
                <w:szCs w:val="20"/>
                <w:color w:val="auto"/>
              </w:rPr>
            </w:pPr>
          </w:p>
        </w:tc>
        <w:tc>
          <w:tcPr>
            <w:tcW w:w="674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person whose signature appears below appoints Eugene A. Hall and Craig W. Safian and each of them, acting individually, as his or her attorney-in-fact, each with full power of substitution, for him or her in all capacities, to sign all amendments to this Report on Form 10-K, and to file the same, with appropriate exhibits and other related documents, with the Securities and Exchange Commission. Each of the undersigned ratifies and confirms his or her signatures as they may be signed by his or her attorney-in-fact to any amendments to this report. Pursuant to the requirements of the Securities Exchange Act of 1934, this report has been signed by the following persons on behalf of the registrant and in the capacities and on the dates indicated: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64"/>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Eugene A. Hall</w:t>
            </w:r>
          </w:p>
        </w:tc>
        <w:tc>
          <w:tcPr>
            <w:tcW w:w="100" w:type="dxa"/>
            <w:vAlign w:val="bottom"/>
          </w:tcPr>
          <w:p>
            <w:pPr>
              <w:spacing w:after="0"/>
              <w:rPr>
                <w:sz w:val="22"/>
                <w:szCs w:val="22"/>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Eugene A. Hall</w:t>
            </w:r>
          </w:p>
        </w:tc>
        <w:tc>
          <w:tcPr>
            <w:tcW w:w="100" w:type="dxa"/>
            <w:vAlign w:val="bottom"/>
          </w:tcPr>
          <w:p>
            <w:pPr>
              <w:spacing w:after="0"/>
              <w:rPr>
                <w:sz w:val="19"/>
                <w:szCs w:val="19"/>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W. Safian</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W. Safian</w:t>
            </w:r>
          </w:p>
        </w:tc>
        <w:tc>
          <w:tcPr>
            <w:tcW w:w="100" w:type="dxa"/>
            <w:vAlign w:val="bottom"/>
          </w:tcPr>
          <w:p>
            <w:pPr>
              <w:spacing w:after="0"/>
              <w:rPr>
                <w:sz w:val="19"/>
                <w:szCs w:val="19"/>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E. Bisson</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E. Bisson</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Bressler</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Bressler</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Raul E. Cesan</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Raul E. Cesan</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Karen E. Dykstra</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E. Dykstra</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José M. Gutiérrez</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José M. Gutiérrez</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Diana S. Ferguson</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Diana S. Ferguson</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Anne Sutherland Fuchs</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 Sutherland Fuchs</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O. Grabe</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O. Grabe</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Pagliuca</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Pagliuca</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Eileen M. Serra</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Eileen M. Serra</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C. Smith</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C. Smith</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887" w:right="339" w:bottom="1440" w:gutter="0" w:footer="0" w:header="0"/>
        </w:sectPr>
      </w:pPr>
    </w:p>
    <w:bookmarkStart w:id="79" w:name="page80"/>
    <w:bookmarkEnd w:id="79"/>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GARTNER, INC.</w:t>
      </w:r>
    </w:p>
    <w:p>
      <w:pPr>
        <w:spacing w:after="0" w:line="24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LONG-TERM INCENTIVE PLAN</w:t>
      </w:r>
    </w:p>
    <w:p>
      <w:pPr>
        <w:spacing w:after="0" w:line="24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STOCK APPRECIATION RIGHT AGREEMENT</w:t>
      </w:r>
    </w:p>
    <w:p>
      <w:pPr>
        <w:spacing w:after="0" w:line="23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Gartner,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you (or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 a stock appreciation right (the “</w:t>
      </w:r>
      <w:r>
        <w:rPr>
          <w:rFonts w:ascii="Times New Roman" w:cs="Times New Roman" w:eastAsia="Times New Roman" w:hAnsi="Times New Roman"/>
          <w:sz w:val="22"/>
          <w:szCs w:val="22"/>
          <w:b w:val="1"/>
          <w:bCs w:val="1"/>
          <w:color w:val="auto"/>
        </w:rPr>
        <w:t>SAR</w:t>
      </w:r>
      <w:r>
        <w:rPr>
          <w:rFonts w:ascii="Times New Roman" w:cs="Times New Roman" w:eastAsia="Times New Roman" w:hAnsi="Times New Roman"/>
          <w:sz w:val="22"/>
          <w:szCs w:val="22"/>
          <w:color w:val="auto"/>
        </w:rPr>
        <w:t>”) under the Company’s Long-Term Incentive Plan, as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to exercise in exchange for a payment from the Company pursuant to this SAR. The date of this Agreement is February 8, 2024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In general, the latest date this SAR will expire is February 8, 2031 (the “</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However, as provided in Appendix A (attached hereto), this SAR may expire earlier than the Expiration Date. Subject to the provisions of Appendix A and of the Plan, the principal features of this SAR are as follows:</w:t>
      </w:r>
    </w:p>
    <w:p>
      <w:pPr>
        <w:spacing w:after="0" w:line="175" w:lineRule="exact"/>
        <w:rPr>
          <w:sz w:val="20"/>
          <w:szCs w:val="20"/>
          <w:color w:val="auto"/>
        </w:rPr>
      </w:pPr>
    </w:p>
    <w:p>
      <w:pPr>
        <w:ind w:left="220" w:right="3480"/>
        <w:spacing w:after="0" w:line="458" w:lineRule="auto"/>
        <w:rPr>
          <w:sz w:val="20"/>
          <w:szCs w:val="20"/>
          <w:color w:val="auto"/>
        </w:rPr>
      </w:pPr>
      <w:r>
        <w:rPr>
          <w:rFonts w:ascii="Times New Roman" w:cs="Times New Roman" w:eastAsia="Times New Roman" w:hAnsi="Times New Roman"/>
          <w:sz w:val="22"/>
          <w:szCs w:val="22"/>
          <w:b w:val="1"/>
          <w:bCs w:val="1"/>
          <w:u w:val="single" w:color="auto"/>
          <w:color w:val="auto"/>
        </w:rPr>
        <w:t>Number of Shares to which this SAR pertains</w:t>
      </w:r>
      <w:r>
        <w:rPr>
          <w:rFonts w:ascii="Times New Roman" w:cs="Times New Roman" w:eastAsia="Times New Roman" w:hAnsi="Times New Roman"/>
          <w:sz w:val="22"/>
          <w:szCs w:val="22"/>
          <w:color w:val="auto"/>
        </w:rPr>
        <w:t>: As provided in the notice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Exercise Price per Share</w:t>
      </w:r>
      <w:r>
        <w:rPr>
          <w:rFonts w:ascii="Times New Roman" w:cs="Times New Roman" w:eastAsia="Times New Roman" w:hAnsi="Times New Roman"/>
          <w:sz w:val="22"/>
          <w:szCs w:val="22"/>
          <w:color w:val="auto"/>
        </w:rPr>
        <w:t>: As provided in the notice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Vesting Schedule:</w:t>
      </w:r>
    </w:p>
    <w:p>
      <w:pPr>
        <w:ind w:right="60" w:firstLine="648"/>
        <w:spacing w:after="0" w:line="295" w:lineRule="auto"/>
        <w:rPr>
          <w:sz w:val="20"/>
          <w:szCs w:val="20"/>
          <w:color w:val="auto"/>
        </w:rPr>
      </w:pPr>
      <w:r>
        <w:rPr>
          <w:rFonts w:ascii="Times New Roman" w:cs="Times New Roman" w:eastAsia="Times New Roman" w:hAnsi="Times New Roman"/>
          <w:sz w:val="21"/>
          <w:szCs w:val="21"/>
          <w:color w:val="auto"/>
        </w:rPr>
        <w:t>Twenty-five percent (25%) of the Shares to which this SAR pertains shall vest on each of the first four anniversaries of the date hereof, or February 8, 2025, 2026, 2027 and 2028, subject to Grantee’s Continued Service through each such date.</w:t>
      </w:r>
    </w:p>
    <w:p>
      <w:pPr>
        <w:sectPr>
          <w:pgSz w:w="11900" w:h="16838" w:orient="portrait"/>
          <w:cols w:equalWidth="0" w:num="1">
            <w:col w:w="11000"/>
          </w:cols>
          <w:pgMar w:left="320" w:top="1418" w:right="57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STOCK APPRECIATION RIGHTS</w:t>
      </w:r>
    </w:p>
    <w:p>
      <w:pPr>
        <w:spacing w:after="0" w:line="224" w:lineRule="exact"/>
        <w:rPr>
          <w:sz w:val="20"/>
          <w:szCs w:val="20"/>
          <w:color w:val="auto"/>
        </w:rPr>
      </w:pPr>
    </w:p>
    <w:p>
      <w:pPr>
        <w:ind w:firstLine="656"/>
        <w:spacing w:after="0" w:line="256" w:lineRule="auto"/>
        <w:tabs>
          <w:tab w:leader="none" w:pos="12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SAR</w:t>
      </w:r>
      <w:r>
        <w:rPr>
          <w:rFonts w:ascii="Times New Roman" w:cs="Times New Roman" w:eastAsia="Times New Roman" w:hAnsi="Times New Roman"/>
          <w:sz w:val="22"/>
          <w:szCs w:val="22"/>
          <w:color w:val="auto"/>
        </w:rPr>
        <w:t>. The Company hereby grants to the Grantee under the Plan, as a separate incentive in connection with his or her employment and not in lieu of any salary or other compensation for his or her services, a Stock Appreciation Right (“</w:t>
      </w:r>
      <w:r>
        <w:rPr>
          <w:rFonts w:ascii="Times New Roman" w:cs="Times New Roman" w:eastAsia="Times New Roman" w:hAnsi="Times New Roman"/>
          <w:sz w:val="22"/>
          <w:szCs w:val="22"/>
          <w:b w:val="1"/>
          <w:bCs w:val="1"/>
          <w:color w:val="auto"/>
        </w:rPr>
        <w:t>SAR</w:t>
      </w:r>
      <w:r>
        <w:rPr>
          <w:rFonts w:ascii="Times New Roman" w:cs="Times New Roman" w:eastAsia="Times New Roman" w:hAnsi="Times New Roman"/>
          <w:sz w:val="22"/>
          <w:szCs w:val="22"/>
          <w:color w:val="auto"/>
        </w:rPr>
        <w:t>”) pertaining to all or any part of an aggregate of Shares shown on the attached notice of grant, which SAR entitles the Grantee to exercise the SAR in exchange for Shares in the amount determined under Paragraph 9 below.</w:t>
      </w:r>
    </w:p>
    <w:p>
      <w:pPr>
        <w:spacing w:after="0" w:line="172" w:lineRule="exact"/>
        <w:rPr>
          <w:rFonts w:ascii="Times New Roman" w:cs="Times New Roman" w:eastAsia="Times New Roman" w:hAnsi="Times New Roman"/>
          <w:sz w:val="22"/>
          <w:szCs w:val="22"/>
          <w:color w:val="auto"/>
        </w:rPr>
      </w:pPr>
    </w:p>
    <w:p>
      <w:pPr>
        <w:ind w:firstLine="656"/>
        <w:spacing w:after="0" w:line="275" w:lineRule="auto"/>
        <w:tabs>
          <w:tab w:leader="none" w:pos="12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purchase price per Share for this SAR (the “</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shall be the Fair Market Value of a Share on the Grant Date, as reflected in the notice of grant.</w:t>
      </w:r>
    </w:p>
    <w:p>
      <w:pPr>
        <w:spacing w:after="0" w:line="19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42" w:lineRule="exact"/>
        <w:rPr>
          <w:rFonts w:ascii="Times New Roman" w:cs="Times New Roman" w:eastAsia="Times New Roman" w:hAnsi="Times New Roman"/>
          <w:sz w:val="22"/>
          <w:szCs w:val="22"/>
          <w:color w:val="auto"/>
        </w:rPr>
      </w:pPr>
    </w:p>
    <w:p>
      <w:pPr>
        <w:ind w:left="1960" w:right="80" w:hanging="656"/>
        <w:spacing w:after="0" w:line="252" w:lineRule="auto"/>
        <w:tabs>
          <w:tab w:leader="none" w:pos="195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 Rule</w:t>
      </w:r>
      <w:r>
        <w:rPr>
          <w:rFonts w:ascii="Times New Roman" w:cs="Times New Roman" w:eastAsia="Times New Roman" w:hAnsi="Times New Roman"/>
          <w:sz w:val="22"/>
          <w:szCs w:val="22"/>
          <w:color w:val="auto"/>
        </w:rPr>
        <w:t>. Except as otherwise provided in this Agreement, the right to exercise this SAR will vest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accordance with the vesting schedule set forth in the notice of grant which constitutes part of this Agreement. Shares scheduled to vest on any date will vest only if the Grantee remains in Continued Service (as defined below) through such date. Subject to the following subsections of this Paragraph 3, should the Grantee’s Continued Service end at any time (the “</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while the SAR remains outstanding, any unvested portion of this SAR will be immediately cancelled.</w:t>
      </w:r>
    </w:p>
    <w:p>
      <w:pPr>
        <w:spacing w:after="0" w:line="174" w:lineRule="exact"/>
        <w:rPr>
          <w:rFonts w:ascii="Times New Roman" w:cs="Times New Roman" w:eastAsia="Times New Roman" w:hAnsi="Times New Roman"/>
          <w:sz w:val="22"/>
          <w:szCs w:val="22"/>
          <w:color w:val="auto"/>
        </w:rPr>
      </w:pPr>
    </w:p>
    <w:p>
      <w:pPr>
        <w:ind w:left="1960" w:hanging="656"/>
        <w:spacing w:after="0" w:line="252" w:lineRule="auto"/>
        <w:tabs>
          <w:tab w:leader="none" w:pos="1955"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Continued Service due to Death or Disability</w:t>
      </w:r>
      <w:r>
        <w:rPr>
          <w:rFonts w:ascii="Times New Roman" w:cs="Times New Roman" w:eastAsia="Times New Roman" w:hAnsi="Times New Roman"/>
          <w:sz w:val="22"/>
          <w:szCs w:val="22"/>
          <w:color w:val="auto"/>
        </w:rPr>
        <w:t>. If the Grantee’s termination of Continued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Service is due to the Grantee’s death or Disability, the unvested portion of this SAR shall vest in full on the Termination Date. For the avoidance of doubt, if a Grantee’s Continued Service terminates due to his or her death or Disability and the Grantee is eligible for a Retirement as defined in and in accordance with the requirements set forth in Paragraph 31 of this Agreement, such termination of Continued Service shall be governed by this Paragraph 3(b) and shall not be treated as a Retirement.</w:t>
      </w:r>
    </w:p>
    <w:p>
      <w:pPr>
        <w:spacing w:after="0" w:line="174" w:lineRule="exact"/>
        <w:rPr>
          <w:rFonts w:ascii="Times New Roman" w:cs="Times New Roman" w:eastAsia="Times New Roman" w:hAnsi="Times New Roman"/>
          <w:sz w:val="22"/>
          <w:szCs w:val="22"/>
          <w:color w:val="auto"/>
        </w:rPr>
      </w:pPr>
    </w:p>
    <w:p>
      <w:pPr>
        <w:ind w:left="1960" w:right="120" w:hanging="656"/>
        <w:spacing w:after="0" w:line="250" w:lineRule="auto"/>
        <w:tabs>
          <w:tab w:leader="none" w:pos="195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Termination of Continued Service due to Retirement-Eligible Voluntary Resignation During the Year of Grant. </w:t>
      </w:r>
      <w:r>
        <w:rPr>
          <w:rFonts w:ascii="Times New Roman" w:cs="Times New Roman" w:eastAsia="Times New Roman" w:hAnsi="Times New Roman"/>
          <w:sz w:val="22"/>
          <w:szCs w:val="22"/>
          <w:color w:val="auto"/>
        </w:rPr>
        <w:t>If termination of Continued Service is due to a voluntary resignation and the Grantee is eligible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Retirement in accordance with the requirements set forth in Paragraph 31 of this Agreement, occurring during the calendar year in which the grant was made, the unvested portion of the SAR shall continue to vest after the Termination Date as set forth in the notice of grant, despite the termination of Continued Service (subject to Paragraph 17(c) hereof); provided, that the number of Shares to which this SAR pertains will be reduced to equal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81" w:name="page82"/>
    <w:bookmarkEnd w:id="81"/>
    <w:p>
      <w:pPr>
        <w:ind w:left="1920" w:right="180"/>
        <w:spacing w:after="0" w:line="277" w:lineRule="auto"/>
        <w:rPr>
          <w:sz w:val="20"/>
          <w:szCs w:val="20"/>
          <w:color w:val="auto"/>
        </w:rPr>
      </w:pPr>
      <w:r>
        <w:rPr>
          <w:rFonts w:ascii="Times New Roman" w:cs="Times New Roman" w:eastAsia="Times New Roman" w:hAnsi="Times New Roman"/>
          <w:sz w:val="21"/>
          <w:szCs w:val="21"/>
          <w:color w:val="auto"/>
        </w:rPr>
        <w:t>the percentage of days in that year in which the Grantee was in Continued Service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for the avoidance of doubt, the number of Shares will equal the number specified in the notice of grant, multiplied by the number of days from January 1 for which the Grantee was in Continued Service, divided by 365).</w:t>
      </w:r>
    </w:p>
    <w:p>
      <w:pPr>
        <w:spacing w:after="0" w:line="190" w:lineRule="exact"/>
        <w:rPr>
          <w:sz w:val="20"/>
          <w:szCs w:val="20"/>
          <w:color w:val="auto"/>
        </w:rPr>
      </w:pPr>
    </w:p>
    <w:p>
      <w:pPr>
        <w:ind w:left="1920" w:hanging="656"/>
        <w:spacing w:after="0" w:line="249" w:lineRule="auto"/>
        <w:tabs>
          <w:tab w:leader="none" w:pos="1915"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Continued Service due to Retirement-Eligible Voluntary Resignation After the Year of Grant or Retirement-Eligible Termination without Cause</w:t>
      </w:r>
      <w:r>
        <w:rPr>
          <w:rFonts w:ascii="Times New Roman" w:cs="Times New Roman" w:eastAsia="Times New Roman" w:hAnsi="Times New Roman"/>
          <w:sz w:val="22"/>
          <w:szCs w:val="22"/>
          <w:color w:val="auto"/>
        </w:rPr>
        <w:t>. If the Grantee is eligible for a Retirement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requirements set forth in Paragraph 31 of this Agreement and his or her termination of Continued Service is due to (i) a voluntary resignation occurring any time after the calendar year in which the grant was made, or (ii) an involuntary termination without Cause, other than pursuant to a Qualifying Termination (which treatment is governed exclusively by Paragraph 3(e)), the entire unvested portion of the SAR shall continue to vest after the Termination Date as set forth in the notice of grant, despite the termination of Continued Service, subject to Paragraph 17(c) hereof.</w:t>
      </w:r>
    </w:p>
    <w:p>
      <w:pPr>
        <w:spacing w:after="0" w:line="208" w:lineRule="exact"/>
        <w:rPr>
          <w:rFonts w:ascii="Times New Roman" w:cs="Times New Roman" w:eastAsia="Times New Roman" w:hAnsi="Times New Roman"/>
          <w:sz w:val="22"/>
          <w:szCs w:val="22"/>
          <w:color w:val="auto"/>
        </w:rPr>
      </w:pPr>
    </w:p>
    <w:p>
      <w:pPr>
        <w:ind w:left="1920" w:right="160" w:hanging="656"/>
        <w:spacing w:after="0" w:line="250" w:lineRule="auto"/>
        <w:tabs>
          <w:tab w:leader="none" w:pos="1917"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Qualifying Termination following a Change of Control</w:t>
      </w:r>
      <w:r>
        <w:rPr>
          <w:rFonts w:ascii="Times New Roman" w:cs="Times New Roman" w:eastAsia="Times New Roman" w:hAnsi="Times New Roman"/>
          <w:sz w:val="22"/>
          <w:szCs w:val="22"/>
          <w:color w:val="auto"/>
        </w:rPr>
        <w:t>. Unless the Grantee’s employment, severance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written agreement with the Company provides more favorable treatment, in the event the Company involuntarily terminates Grantee’s Continued Service without Cause (including as a result of the elimination of his or her position) during the twelve (12) months following a Change of Control (a “</w:t>
      </w:r>
      <w:r>
        <w:rPr>
          <w:rFonts w:ascii="Times New Roman" w:cs="Times New Roman" w:eastAsia="Times New Roman" w:hAnsi="Times New Roman"/>
          <w:sz w:val="22"/>
          <w:szCs w:val="22"/>
          <w:b w:val="1"/>
          <w:bCs w:val="1"/>
          <w:color w:val="auto"/>
        </w:rPr>
        <w:t>Qualifying Termination</w:t>
      </w:r>
      <w:r>
        <w:rPr>
          <w:rFonts w:ascii="Times New Roman" w:cs="Times New Roman" w:eastAsia="Times New Roman" w:hAnsi="Times New Roman"/>
          <w:sz w:val="22"/>
          <w:szCs w:val="22"/>
          <w:color w:val="auto"/>
        </w:rPr>
        <w:t>”), the unvested portion of the SAR shall vest on the Termination Date. For the avoidance of doubt, (i) to the extent that the Grantee is eligible for a Retirement in accordance with the requirements set forth in Paragraph 31 of this Agreement and he or she experiences a Qualifying Termination, the vesting provisions set forth in this Paragraph 3(e) (not Paragraph 3(d)) shall control, and (ii) Section 13.10 of the Plan does not apply to the SAR granted hereunder.</w:t>
      </w:r>
    </w:p>
    <w:p>
      <w:pPr>
        <w:spacing w:after="0" w:line="179" w:lineRule="exact"/>
        <w:rPr>
          <w:rFonts w:ascii="Times New Roman" w:cs="Times New Roman" w:eastAsia="Times New Roman" w:hAnsi="Times New Roman"/>
          <w:sz w:val="22"/>
          <w:szCs w:val="22"/>
          <w:color w:val="auto"/>
        </w:rPr>
      </w:pPr>
    </w:p>
    <w:p>
      <w:pPr>
        <w:ind w:left="1920" w:right="80" w:hanging="656"/>
        <w:spacing w:after="0" w:line="269" w:lineRule="auto"/>
        <w:tabs>
          <w:tab w:leader="none" w:pos="1920"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Other Conditions</w:t>
      </w:r>
      <w:r>
        <w:rPr>
          <w:rFonts w:ascii="Times New Roman" w:cs="Times New Roman" w:eastAsia="Times New Roman" w:hAnsi="Times New Roman"/>
          <w:sz w:val="21"/>
          <w:szCs w:val="21"/>
          <w:color w:val="auto"/>
        </w:rPr>
        <w:t>. Notwithstanding anything herein to the contrary, the vesting terms set forth in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Paragraph 3 are contingent upon the Grantee being in full compliance with all the terms of this Agreement at the time of vesting. The Committee, in its discretion, may accelerate the vesting of the balance, or some lesser portion of the balance, of the SARs at any time, subject to the terms of the Plan. If so accelerated, such SARs will be considered as having vested as of the date specified by the Committee.</w:t>
      </w:r>
    </w:p>
    <w:p>
      <w:pPr>
        <w:spacing w:after="0" w:line="162" w:lineRule="exact"/>
        <w:rPr>
          <w:rFonts w:ascii="Times New Roman" w:cs="Times New Roman" w:eastAsia="Times New Roman" w:hAnsi="Times New Roman"/>
          <w:sz w:val="21"/>
          <w:szCs w:val="21"/>
          <w:color w:val="auto"/>
        </w:rPr>
      </w:pPr>
    </w:p>
    <w:p>
      <w:pPr>
        <w:ind w:left="-40" w:right="40" w:firstLine="656"/>
        <w:spacing w:after="0" w:line="257" w:lineRule="auto"/>
        <w:tabs>
          <w:tab w:leader="none" w:pos="125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SAR</w:t>
      </w:r>
      <w:r>
        <w:rPr>
          <w:rFonts w:ascii="Times New Roman" w:cs="Times New Roman" w:eastAsia="Times New Roman" w:hAnsi="Times New Roman"/>
          <w:sz w:val="22"/>
          <w:szCs w:val="22"/>
          <w:color w:val="auto"/>
        </w:rPr>
        <w:t>. In the event of the Grantee’s termination of Continued Service, the Grantee shall have the right to exercise any vested but unexercised portion of this SAR for the timeframe indicated in the table below following the date of such termination of Continued Service. Any unvested portion of this SAR automatically will terminate and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80"/>
          </w:cols>
          <w:pgMar w:left="360" w:top="1418" w:right="359" w:bottom="1440" w:gutter="0" w:footer="0" w:header="0"/>
        </w:sectPr>
      </w:pPr>
    </w:p>
    <w:bookmarkStart w:id="82" w:name="page83"/>
    <w:bookmarkEnd w:id="82"/>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forfeited (at no cost to the Company) on the first day on which it no longer is possible such portion to become vested:</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60" w:type="dxa"/>
            <w:vAlign w:val="bottom"/>
            <w:tcBorders>
              <w:top w:val="single" w:sz="8" w:color="auto"/>
              <w:left w:val="single" w:sz="8" w:color="auto"/>
              <w:bottom w:val="single" w:sz="8" w:color="auto"/>
            </w:tcBorders>
            <w:shd w:val="clear" w:color="auto" w:fill="D9D9D9"/>
          </w:tcPr>
          <w:p>
            <w:pPr>
              <w:spacing w:after="0"/>
              <w:rPr>
                <w:sz w:val="24"/>
                <w:szCs w:val="24"/>
                <w:color w:val="auto"/>
              </w:rPr>
            </w:pPr>
          </w:p>
        </w:tc>
        <w:tc>
          <w:tcPr>
            <w:tcW w:w="5700" w:type="dxa"/>
            <w:vAlign w:val="bottom"/>
            <w:tcBorders>
              <w:top w:val="single" w:sz="8" w:color="auto"/>
              <w:bottom w:val="single" w:sz="8" w:color="auto"/>
              <w:right w:val="single" w:sz="8" w:color="auto"/>
            </w:tcBorders>
            <w:shd w:val="clear" w:color="auto" w:fill="D9D9D9"/>
          </w:tcPr>
          <w:p>
            <w:pPr>
              <w:ind w:left="2040"/>
              <w:spacing w:after="0"/>
              <w:rPr>
                <w:sz w:val="20"/>
                <w:szCs w:val="20"/>
                <w:color w:val="auto"/>
              </w:rPr>
            </w:pPr>
            <w:r>
              <w:rPr>
                <w:rFonts w:ascii="Times New Roman" w:cs="Times New Roman" w:eastAsia="Times New Roman" w:hAnsi="Times New Roman"/>
                <w:sz w:val="22"/>
                <w:szCs w:val="22"/>
                <w:b w:val="1"/>
                <w:bCs w:val="1"/>
                <w:color w:val="auto"/>
              </w:rPr>
              <w:t>Termination Scenario</w:t>
            </w:r>
          </w:p>
        </w:tc>
        <w:tc>
          <w:tcPr>
            <w:tcW w:w="5300" w:type="dxa"/>
            <w:vAlign w:val="bottom"/>
            <w:tcBorders>
              <w:top w:val="single" w:sz="8" w:color="auto"/>
              <w:bottom w:val="single" w:sz="8" w:color="auto"/>
              <w:right w:val="single" w:sz="8" w:color="auto"/>
            </w:tcBorders>
            <w:shd w:val="clear" w:color="auto" w:fill="D9D9D9"/>
          </w:tcPr>
          <w:p>
            <w:pPr>
              <w:ind w:left="1400"/>
              <w:spacing w:after="0"/>
              <w:rPr>
                <w:sz w:val="20"/>
                <w:szCs w:val="20"/>
                <w:color w:val="auto"/>
              </w:rPr>
            </w:pPr>
            <w:r>
              <w:rPr>
                <w:rFonts w:ascii="Times New Roman" w:cs="Times New Roman" w:eastAsia="Times New Roman" w:hAnsi="Times New Roman"/>
                <w:sz w:val="22"/>
                <w:szCs w:val="22"/>
                <w:b w:val="1"/>
                <w:bCs w:val="1"/>
                <w:color w:val="auto"/>
              </w:rPr>
              <w:t>Post-Termination Exercise Period</w:t>
            </w:r>
          </w:p>
        </w:tc>
      </w:tr>
      <w:tr>
        <w:trPr>
          <w:trHeight w:val="196"/>
        </w:trPr>
        <w:tc>
          <w:tcPr>
            <w:tcW w:w="5960" w:type="dxa"/>
            <w:vAlign w:val="bottom"/>
            <w:tcBorders>
              <w:left w:val="single" w:sz="8" w:color="auto"/>
              <w:right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22"/>
                <w:szCs w:val="22"/>
                <w:color w:val="auto"/>
              </w:rPr>
              <w:t>•  Involuntary termination for Cause</w:t>
            </w:r>
          </w:p>
        </w:tc>
        <w:tc>
          <w:tcPr>
            <w:tcW w:w="530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w w:val="99"/>
              </w:rPr>
              <w:t>Earlier of Expiration Date or ninety (90) days after the date</w:t>
            </w:r>
          </w:p>
        </w:tc>
      </w:tr>
      <w:tr>
        <w:trPr>
          <w:trHeight w:val="216"/>
        </w:trPr>
        <w:tc>
          <w:tcPr>
            <w:tcW w:w="5960" w:type="dxa"/>
            <w:vAlign w:val="bottom"/>
            <w:tcBorders>
              <w:left w:val="single" w:sz="8" w:color="auto"/>
              <w:right w:val="single" w:sz="8" w:color="auto"/>
            </w:tcBorders>
            <w:gridSpan w:val="2"/>
          </w:tcPr>
          <w:p>
            <w:pPr>
              <w:ind w:left="60"/>
              <w:spacing w:after="0" w:line="216" w:lineRule="exact"/>
              <w:rPr>
                <w:sz w:val="20"/>
                <w:szCs w:val="20"/>
                <w:color w:val="auto"/>
              </w:rPr>
            </w:pPr>
            <w:r>
              <w:rPr>
                <w:rFonts w:ascii="Times New Roman" w:cs="Times New Roman" w:eastAsia="Times New Roman" w:hAnsi="Times New Roman"/>
                <w:sz w:val="22"/>
                <w:szCs w:val="22"/>
                <w:color w:val="auto"/>
              </w:rPr>
              <w:t>•  Involuntary termination without Cause (not Retirement-</w:t>
            </w:r>
          </w:p>
        </w:tc>
        <w:tc>
          <w:tcPr>
            <w:tcW w:w="53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of termination of Continued Service (excluding any period</w:t>
            </w:r>
          </w:p>
        </w:tc>
      </w:tr>
      <w:tr>
        <w:trPr>
          <w:trHeight w:val="216"/>
        </w:trPr>
        <w:tc>
          <w:tcPr>
            <w:tcW w:w="260" w:type="dxa"/>
            <w:vAlign w:val="bottom"/>
            <w:tcBorders>
              <w:left w:val="single" w:sz="8" w:color="auto"/>
            </w:tcBorders>
          </w:tcPr>
          <w:p>
            <w:pPr>
              <w:spacing w:after="0"/>
              <w:rPr>
                <w:sz w:val="18"/>
                <w:szCs w:val="18"/>
                <w:color w:val="auto"/>
              </w:rPr>
            </w:pPr>
          </w:p>
        </w:tc>
        <w:tc>
          <w:tcPr>
            <w:tcW w:w="5700" w:type="dxa"/>
            <w:vAlign w:val="bottom"/>
            <w:tcBorders>
              <w:right w:val="single" w:sz="8" w:color="auto"/>
            </w:tcBorders>
          </w:tcPr>
          <w:p>
            <w:pPr>
              <w:ind w:left="120"/>
              <w:spacing w:after="0" w:line="216" w:lineRule="exact"/>
              <w:rPr>
                <w:sz w:val="20"/>
                <w:szCs w:val="20"/>
                <w:color w:val="auto"/>
              </w:rPr>
            </w:pPr>
            <w:r>
              <w:rPr>
                <w:rFonts w:ascii="Times New Roman" w:cs="Times New Roman" w:eastAsia="Times New Roman" w:hAnsi="Times New Roman"/>
                <w:sz w:val="22"/>
                <w:szCs w:val="22"/>
                <w:color w:val="auto"/>
              </w:rPr>
              <w:t>eligible)</w:t>
            </w:r>
          </w:p>
        </w:tc>
        <w:tc>
          <w:tcPr>
            <w:tcW w:w="53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during which Grantee is prohibited from trading under the</w:t>
            </w:r>
          </w:p>
        </w:tc>
      </w:tr>
      <w:tr>
        <w:trPr>
          <w:trHeight w:val="283"/>
        </w:trPr>
        <w:tc>
          <w:tcPr>
            <w:tcW w:w="596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  Voluntary resignation (not Retirement-eligible)</w:t>
            </w:r>
          </w:p>
        </w:tc>
        <w:tc>
          <w:tcPr>
            <w:tcW w:w="5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Company’s Insider Trading Policy)</w:t>
            </w:r>
          </w:p>
        </w:tc>
      </w:tr>
      <w:tr>
        <w:trPr>
          <w:trHeight w:val="197"/>
        </w:trPr>
        <w:tc>
          <w:tcPr>
            <w:tcW w:w="260" w:type="dxa"/>
            <w:vAlign w:val="bottom"/>
            <w:tcBorders>
              <w:lef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w:t>
            </w:r>
          </w:p>
        </w:tc>
        <w:tc>
          <w:tcPr>
            <w:tcW w:w="5700" w:type="dxa"/>
            <w:vAlign w:val="bottom"/>
            <w:tcBorders>
              <w:right w:val="single" w:sz="8" w:color="auto"/>
            </w:tcBorders>
          </w:tcPr>
          <w:p>
            <w:pPr>
              <w:ind w:left="120"/>
              <w:spacing w:after="0" w:line="197" w:lineRule="exact"/>
              <w:rPr>
                <w:sz w:val="20"/>
                <w:szCs w:val="20"/>
                <w:color w:val="auto"/>
              </w:rPr>
            </w:pPr>
            <w:r>
              <w:rPr>
                <w:rFonts w:ascii="Times New Roman" w:cs="Times New Roman" w:eastAsia="Times New Roman" w:hAnsi="Times New Roman"/>
                <w:sz w:val="22"/>
                <w:szCs w:val="22"/>
                <w:color w:val="auto"/>
              </w:rPr>
              <w:t>Death</w:t>
            </w:r>
          </w:p>
        </w:tc>
        <w:tc>
          <w:tcPr>
            <w:tcW w:w="53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Earlier of Expiration Date or twelve (12) months after the</w:t>
            </w:r>
          </w:p>
        </w:tc>
      </w:tr>
      <w:tr>
        <w:trPr>
          <w:trHeight w:val="216"/>
        </w:trPr>
        <w:tc>
          <w:tcPr>
            <w:tcW w:w="260" w:type="dxa"/>
            <w:vAlign w:val="bottom"/>
            <w:tcBorders>
              <w:lef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5700" w:type="dxa"/>
            <w:vAlign w:val="bottom"/>
            <w:tcBorders>
              <w:right w:val="single" w:sz="8" w:color="auto"/>
            </w:tcBorders>
          </w:tcPr>
          <w:p>
            <w:pPr>
              <w:ind w:left="120"/>
              <w:spacing w:after="0" w:line="216" w:lineRule="exact"/>
              <w:rPr>
                <w:sz w:val="20"/>
                <w:szCs w:val="20"/>
                <w:color w:val="auto"/>
              </w:rPr>
            </w:pPr>
            <w:r>
              <w:rPr>
                <w:rFonts w:ascii="Times New Roman" w:cs="Times New Roman" w:eastAsia="Times New Roman" w:hAnsi="Times New Roman"/>
                <w:sz w:val="22"/>
                <w:szCs w:val="22"/>
                <w:color w:val="auto"/>
              </w:rPr>
              <w:t>Disability</w:t>
            </w:r>
          </w:p>
        </w:tc>
        <w:tc>
          <w:tcPr>
            <w:tcW w:w="53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date of termination of Continued Service</w:t>
            </w:r>
          </w:p>
        </w:tc>
      </w:tr>
      <w:tr>
        <w:trPr>
          <w:trHeight w:val="283"/>
        </w:trPr>
        <w:tc>
          <w:tcPr>
            <w:tcW w:w="2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5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Qualifying Termination</w:t>
            </w:r>
          </w:p>
        </w:tc>
        <w:tc>
          <w:tcPr>
            <w:tcW w:w="5300" w:type="dxa"/>
            <w:vAlign w:val="bottom"/>
            <w:tcBorders>
              <w:bottom w:val="single" w:sz="8" w:color="auto"/>
              <w:right w:val="single" w:sz="8" w:color="auto"/>
            </w:tcBorders>
          </w:tcPr>
          <w:p>
            <w:pPr>
              <w:spacing w:after="0"/>
              <w:rPr>
                <w:sz w:val="24"/>
                <w:szCs w:val="24"/>
                <w:color w:val="auto"/>
              </w:rPr>
            </w:pPr>
          </w:p>
        </w:tc>
      </w:tr>
      <w:tr>
        <w:trPr>
          <w:trHeight w:val="264"/>
        </w:trPr>
        <w:tc>
          <w:tcPr>
            <w:tcW w:w="596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  Retirement-Eligible Separation (defined below)</w:t>
            </w:r>
          </w:p>
        </w:tc>
        <w:tc>
          <w:tcPr>
            <w:tcW w:w="5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Through the Expiration Date</w:t>
            </w:r>
          </w:p>
        </w:tc>
      </w:tr>
    </w:tbl>
    <w:p>
      <w:pPr>
        <w:spacing w:after="0" w:line="293"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22"/>
          <w:szCs w:val="22"/>
          <w:color w:val="auto"/>
        </w:rPr>
        <w:t>For purposes of this Agreement, a “</w:t>
      </w:r>
      <w:r>
        <w:rPr>
          <w:rFonts w:ascii="Times New Roman" w:cs="Times New Roman" w:eastAsia="Times New Roman" w:hAnsi="Times New Roman"/>
          <w:sz w:val="22"/>
          <w:szCs w:val="22"/>
          <w:b w:val="1"/>
          <w:bCs w:val="1"/>
          <w:color w:val="auto"/>
        </w:rPr>
        <w:t>Retirement-Eligible Separation</w:t>
      </w:r>
      <w:r>
        <w:rPr>
          <w:rFonts w:ascii="Times New Roman" w:cs="Times New Roman" w:eastAsia="Times New Roman" w:hAnsi="Times New Roman"/>
          <w:sz w:val="22"/>
          <w:szCs w:val="22"/>
          <w:color w:val="auto"/>
        </w:rPr>
        <w:t>” means a termination of Continued Service due to either a Retirement-eligible involuntary termination without Cause or a Retirement-eligible voluntary resignation (whether during or after the year of grant), as described in Paragraph 3(c) or Paragraph 3(d), as applicable.</w:t>
      </w:r>
    </w:p>
    <w:p>
      <w:pPr>
        <w:spacing w:after="0" w:line="170" w:lineRule="exact"/>
        <w:rPr>
          <w:sz w:val="20"/>
          <w:szCs w:val="20"/>
          <w:color w:val="auto"/>
        </w:rPr>
      </w:pPr>
    </w:p>
    <w:p>
      <w:pPr>
        <w:ind w:right="20" w:firstLine="656"/>
        <w:spacing w:after="0" w:line="252"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Grantee</w:t>
      </w:r>
      <w:r>
        <w:rPr>
          <w:rFonts w:ascii="Times New Roman" w:cs="Times New Roman" w:eastAsia="Times New Roman" w:hAnsi="Times New Roman"/>
          <w:sz w:val="22"/>
          <w:szCs w:val="22"/>
          <w:color w:val="auto"/>
        </w:rPr>
        <w:t>. In the event that the Grantee dies while in the employ of the Company and/or a parent of the Company or Subsidiary, the administrator or executor of the Grantee’s estate (or such other person to whom the SAR is transferred pursuant to the Grantee’s will or in accordance with the laws of descent and distribution), may exercise any vested but unexercised portion of the SAR in accordance with Paragraph 4 above. Any such transferee must furnish the Company (a) written notice of his or her status as a transferee, (b) evidence satisfactory to the Company to establish the validity of the transfer of this SAR and compliance with any laws or regulations pertaining to such transfer, and (c) written acceptance of the terms and conditions of this SAR as set forth in this Agreement.</w:t>
      </w:r>
    </w:p>
    <w:p>
      <w:pPr>
        <w:spacing w:after="0" w:line="179" w:lineRule="exact"/>
        <w:rPr>
          <w:rFonts w:ascii="Times New Roman" w:cs="Times New Roman" w:eastAsia="Times New Roman" w:hAnsi="Times New Roman"/>
          <w:sz w:val="22"/>
          <w:szCs w:val="22"/>
          <w:color w:val="auto"/>
        </w:rPr>
      </w:pPr>
    </w:p>
    <w:p>
      <w:pPr>
        <w:ind w:right="420" w:firstLine="656"/>
        <w:spacing w:after="0" w:line="271"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Persons Eligible to Exercise SAR</w:t>
      </w:r>
      <w:r>
        <w:rPr>
          <w:rFonts w:ascii="Times New Roman" w:cs="Times New Roman" w:eastAsia="Times New Roman" w:hAnsi="Times New Roman"/>
          <w:sz w:val="22"/>
          <w:szCs w:val="22"/>
          <w:color w:val="auto"/>
        </w:rPr>
        <w:t>. Except as provided in Paragraph 5 above or as otherwise determined by the Committee in its discretion, this SAR shall be exercisable during the Grantee’s lifetime only by the Grantee.</w:t>
      </w:r>
    </w:p>
    <w:p>
      <w:pPr>
        <w:spacing w:after="0" w:line="184" w:lineRule="exact"/>
        <w:rPr>
          <w:rFonts w:ascii="Times New Roman" w:cs="Times New Roman" w:eastAsia="Times New Roman" w:hAnsi="Times New Roman"/>
          <w:sz w:val="22"/>
          <w:szCs w:val="22"/>
          <w:color w:val="auto"/>
        </w:rPr>
      </w:pPr>
    </w:p>
    <w:p>
      <w:pPr>
        <w:ind w:right="40" w:firstLine="656"/>
        <w:spacing w:after="0" w:line="249"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 is Not Transferable</w:t>
      </w:r>
      <w:r>
        <w:rPr>
          <w:rFonts w:ascii="Times New Roman" w:cs="Times New Roman" w:eastAsia="Times New Roman" w:hAnsi="Times New Roman"/>
          <w:sz w:val="22"/>
          <w:szCs w:val="22"/>
          <w:color w:val="auto"/>
        </w:rPr>
        <w:t>. Except to the limited extent provided in Paragraph 5 above, this grant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grant, or of any right or privilege conferred hereby, or upon any attempted sale under any execution, attachment or similar process, this grant and the rights and privileges conferred hereby immediately shall become null and void. Notwithstanding the preceding, the Grantee may transfer (not for consideration and for bona fide estate planning purposes) the Stock Appreciation Rights awarded under this Agreement to a revocable estate planning trust that is established solely for the benefit of Grantee and his or her immediate family. Any such transfer will be permitted only if it is in compliance with such rules and procedures as the Company may establish from time to time. Among other things, Grantee must acknowledge and agree that (a) for U.S. income tax purposes, all taxable income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60"/>
          </w:cols>
          <w:pgMar w:left="320" w:top="1440" w:right="319" w:bottom="1440" w:gutter="0" w:footer="0" w:header="0"/>
        </w:sectPr>
      </w:pPr>
    </w:p>
    <w:bookmarkStart w:id="83" w:name="page84"/>
    <w:bookmarkEnd w:id="83"/>
    <w:p>
      <w:pPr>
        <w:ind w:right="420"/>
        <w:spacing w:after="0" w:line="256" w:lineRule="auto"/>
        <w:rPr>
          <w:sz w:val="20"/>
          <w:szCs w:val="20"/>
          <w:color w:val="auto"/>
        </w:rPr>
      </w:pPr>
      <w:r>
        <w:rPr>
          <w:rFonts w:ascii="Times New Roman" w:cs="Times New Roman" w:eastAsia="Times New Roman" w:hAnsi="Times New Roman"/>
          <w:sz w:val="22"/>
          <w:szCs w:val="22"/>
          <w:color w:val="auto"/>
        </w:rPr>
        <w:t>Stock Appreciation Rights will be reported to Grantee alone, (b) if Grantee proposes to change the nature or character of the transferee trust, Grantee first must inform the Company and the Company may require that the Stock Appreciation Rights be transferred back to Grantee alone, and (c) no additional other or further transfers of the Stock Appreciation Rights will be permitted under any circumstance.</w:t>
      </w:r>
    </w:p>
    <w:p>
      <w:pPr>
        <w:spacing w:after="0" w:line="176" w:lineRule="exact"/>
        <w:rPr>
          <w:sz w:val="20"/>
          <w:szCs w:val="20"/>
          <w:color w:val="auto"/>
        </w:rPr>
      </w:pPr>
    </w:p>
    <w:p>
      <w:pPr>
        <w:ind w:firstLine="656"/>
        <w:spacing w:after="0" w:line="249" w:lineRule="auto"/>
        <w:tabs>
          <w:tab w:leader="none" w:pos="12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SAR</w:t>
      </w:r>
      <w:r>
        <w:rPr>
          <w:rFonts w:ascii="Times New Roman" w:cs="Times New Roman" w:eastAsia="Times New Roman" w:hAnsi="Times New Roman"/>
          <w:sz w:val="22"/>
          <w:szCs w:val="22"/>
          <w:color w:val="auto"/>
        </w:rPr>
        <w:t>. This SAR may be exercised by the person then entitled to do so as to any Shares, and such exercise must be in accordance with the Company’s published exercise procedures, as in effect from time to time, which may require the Grantee to exercise this SAR through the Company’s designated broker or administrator. Payment of the aggregate exercise price and all taxes that the Company determines are required to be withheld by reason of the exercise of this SAR or as are otherwise required under Paragraph 10 below shall be pursuant to a net exercise, whereby upon exercise of the SAR, Shares having a Fair Market Value equal to the aggregate exercise price applicable to the portion of the SAR being exercised, and all applicable withholdings, shall be withheld from the Shares that the Grantee would otherwise have received pursuant to Paragraph 9 below.</w:t>
      </w:r>
    </w:p>
    <w:p>
      <w:pPr>
        <w:spacing w:after="0" w:line="181" w:lineRule="exact"/>
        <w:rPr>
          <w:rFonts w:ascii="Times New Roman" w:cs="Times New Roman" w:eastAsia="Times New Roman" w:hAnsi="Times New Roman"/>
          <w:sz w:val="22"/>
          <w:szCs w:val="22"/>
          <w:color w:val="auto"/>
        </w:rPr>
      </w:pPr>
    </w:p>
    <w:p>
      <w:pPr>
        <w:ind w:right="20" w:firstLine="656"/>
        <w:spacing w:after="0" w:line="250" w:lineRule="auto"/>
        <w:tabs>
          <w:tab w:leader="none" w:pos="12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Receipt of SAR Amount.</w:t>
      </w:r>
      <w:r>
        <w:rPr>
          <w:rFonts w:ascii="Times New Roman" w:cs="Times New Roman" w:eastAsia="Times New Roman" w:hAnsi="Times New Roman"/>
          <w:sz w:val="22"/>
          <w:szCs w:val="22"/>
          <w:color w:val="auto"/>
        </w:rPr>
        <w:t xml:space="preserve"> Upon exercise of this SAR, the Grantee shall be entitled to receive the number of Shares (the “</w:t>
      </w:r>
      <w:r>
        <w:rPr>
          <w:rFonts w:ascii="Times New Roman" w:cs="Times New Roman" w:eastAsia="Times New Roman" w:hAnsi="Times New Roman"/>
          <w:sz w:val="22"/>
          <w:szCs w:val="22"/>
          <w:b w:val="1"/>
          <w:bCs w:val="1"/>
          <w:color w:val="auto"/>
        </w:rPr>
        <w:t>SAR Amount</w:t>
      </w:r>
      <w:r>
        <w:rPr>
          <w:rFonts w:ascii="Times New Roman" w:cs="Times New Roman" w:eastAsia="Times New Roman" w:hAnsi="Times New Roman"/>
          <w:sz w:val="22"/>
          <w:szCs w:val="22"/>
          <w:color w:val="auto"/>
        </w:rPr>
        <w:t>”), subject to Paragraph 8, determined by (i) multiplying (a) the difference between the Fair Market Value of a Share over the Exercise Price; times (b) the number of Shares with respect to which this SAR is exercised, and (ii) dividing the product of (a) and (b) by the Fair Market Value of a Share. The SAR Amount shall be paid to the Grantee solely in whole Shares; any fractional amount shall be rounded down to the nearest whole share. Shares issued pursuant to the exercise of this SAR may be delivered in the form and manner determined by the Company, including, without limitation, in book form or listed in street name with a brokerage company of the Company’s choice. For purposes of this Paragraph 9, Fair Market Value has the same meaning as in the Plan or as otherwise determined by the Company or its delegate.</w:t>
      </w:r>
    </w:p>
    <w:p>
      <w:pPr>
        <w:spacing w:after="0" w:line="186" w:lineRule="exact"/>
        <w:rPr>
          <w:rFonts w:ascii="Times New Roman" w:cs="Times New Roman" w:eastAsia="Times New Roman" w:hAnsi="Times New Roman"/>
          <w:sz w:val="22"/>
          <w:szCs w:val="22"/>
          <w:color w:val="auto"/>
        </w:rPr>
      </w:pPr>
    </w:p>
    <w:p>
      <w:pPr>
        <w:ind w:firstLine="656"/>
        <w:spacing w:after="0" w:line="247" w:lineRule="auto"/>
        <w:tabs>
          <w:tab w:leader="none" w:pos="12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 and Payment Obligations</w:t>
      </w:r>
      <w:r>
        <w:rPr>
          <w:rFonts w:ascii="Times New Roman" w:cs="Times New Roman" w:eastAsia="Times New Roman" w:hAnsi="Times New Roman"/>
          <w:sz w:val="22"/>
          <w:szCs w:val="22"/>
          <w:color w:val="auto"/>
        </w:rPr>
        <w:t>. When the Shares are issued as payment for exercised SARs, the Grantee will recognize immediate U.S. taxable income if the Grantee is a U.S. taxpayer. If the Grantee is a non-U.S. taxpayer, the Grantee will be subject to applicable taxes in his or her jurisdiction. The Company (or the employing parent of the Company or Subsidiary) will withhold a portion of the Shares otherwise issuable in payment for exercised SARs that have an aggregate market value sufficient to pay the federal, state and local income, employment and any other applicable taxes required to be withheld by the Company (or the employing parent of the Company or Subsidiary) with respect to the Shares, not to exceed the amount determined by using the maximum federal, state or local marginal income tax rates applicable to the Grantee or the Company, as applicable, with respect to the Shares on the date that the amount of tax to be withheld or remitted is to be determined. No fractional Shares will be withheld or issued pursuant to the exercise of SARs and the issuance of Shares thereunder. Notwithstanding anything herein to the contrary, the Company (or the employing parent of the Company or Subsidiary) may instead, in its discretion, withhold an amount necessary to pay the applicable taxes from the Grantee’s paycheck, with no withholding of Shares. In the event the withholding requirements are not satisfied through the withholding of Shares (or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00"/>
          </w:cols>
          <w:pgMar w:left="320" w:top="1422" w:right="379" w:bottom="1440" w:gutter="0" w:footer="0" w:header="0"/>
        </w:sectPr>
      </w:pPr>
    </w:p>
    <w:bookmarkStart w:id="84" w:name="page85"/>
    <w:bookmarkEnd w:id="84"/>
    <w:p>
      <w:pPr>
        <w:spacing w:after="0" w:line="19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1"/>
          <w:szCs w:val="21"/>
          <w:color w:val="auto"/>
        </w:rPr>
        <w:t>Grantee’s paycheck, as indicated above), no payment will be made to the Grantee (or his or her estate) for SARs unless and until satisfactory arrangements (as determined by the Committee) have been made by the Grantee with respect to the payment of any income and other taxes which the Company determines must be withheld or collected with respect to such SARs. By accepting this award of SARs, the Grantee expressly consents to the withholding of Shares and to any cash or Share withholding as provided for in this Paragraph 10. All income and other taxes related to the SAR award and any Shares delivered in payment thereof are the sole responsibility of the Grantee. In no event will the Company reimburse the Grantee for any taxes that may be imposed on the Grantee as result of Section 409A of the Internal Revenue Code of 1986, as amended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ind w:right="100" w:firstLine="656"/>
        <w:spacing w:after="0" w:line="250" w:lineRule="auto"/>
        <w:tabs>
          <w:tab w:leader="none" w:pos="128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Exercisability</w:t>
      </w:r>
      <w:r>
        <w:rPr>
          <w:rFonts w:ascii="Times New Roman" w:cs="Times New Roman" w:eastAsia="Times New Roman" w:hAnsi="Times New Roman"/>
          <w:sz w:val="22"/>
          <w:szCs w:val="22"/>
          <w:color w:val="auto"/>
        </w:rPr>
        <w:t>. If at any time the Company shall determine, in its discretion, that the listing, registration or qualification of the SARs upon any securities exchange or under any state or federal law, or the consent or approval of any governmental regulatory authority, is necessary or desirable as a condition of the exercise of SARs hereunder, this SAR may not be exercised, in whole or in part, unless and until such listing, registration, qualification, consent or approval shall have been effected or obtained free of any conditions not acceptable to the Company. The Company shall make reasonable efforts to meet the requirements of any such state or federal law or securities exchange and to obtain any such consent or approval of any such governmental authority.</w:t>
      </w:r>
    </w:p>
    <w:p>
      <w:pPr>
        <w:spacing w:after="0" w:line="193" w:lineRule="exact"/>
        <w:rPr>
          <w:rFonts w:ascii="Times New Roman" w:cs="Times New Roman" w:eastAsia="Times New Roman" w:hAnsi="Times New Roman"/>
          <w:sz w:val="22"/>
          <w:szCs w:val="22"/>
          <w:color w:val="auto"/>
        </w:rPr>
      </w:pPr>
    </w:p>
    <w:p>
      <w:pPr>
        <w:ind w:firstLine="656"/>
        <w:spacing w:after="0" w:line="251"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of Stockholder</w:t>
      </w:r>
      <w:r>
        <w:rPr>
          <w:rFonts w:ascii="Times New Roman" w:cs="Times New Roman" w:eastAsia="Times New Roman" w:hAnsi="Times New Roman"/>
          <w:sz w:val="22"/>
          <w:szCs w:val="22"/>
          <w:color w:val="auto"/>
        </w:rPr>
        <w:t>. Neither the Grantee nor any person claiming under or through the Grantee shall have any of the rights or privileges of a stockholder of the Company in respect of any Shares deliverable hereunder unless and until certificates representing such Shares (which may be in book entry form) shall have been issued, recorded on the records of the Company or its transfer agents or registrars, and delivered to the Grantee (including through electronic delivery to a brokerage account). After such issuance, recordation and delivery, the Grantee will have all the rights of a stockholder of the Company with respect to voting such Shares and receipt of dividends and distributions on such Shares.</w:t>
      </w:r>
    </w:p>
    <w:p>
      <w:pPr>
        <w:spacing w:after="0" w:line="181" w:lineRule="exact"/>
        <w:rPr>
          <w:rFonts w:ascii="Times New Roman" w:cs="Times New Roman" w:eastAsia="Times New Roman" w:hAnsi="Times New Roman"/>
          <w:sz w:val="22"/>
          <w:szCs w:val="22"/>
          <w:color w:val="auto"/>
        </w:rPr>
      </w:pPr>
    </w:p>
    <w:p>
      <w:pPr>
        <w:ind w:right="40" w:firstLine="656"/>
        <w:spacing w:after="0" w:line="257"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the Agreement to single or multiple assignees, and this Agreement shall inure to the benefit of the successors and assigns of the Company. The rights and obligations of the Grantee under this Agreement may be assigned only with the prior written consent of the Company.</w:t>
      </w:r>
    </w:p>
    <w:p>
      <w:pPr>
        <w:spacing w:after="0" w:line="172" w:lineRule="exact"/>
        <w:rPr>
          <w:rFonts w:ascii="Times New Roman" w:cs="Times New Roman" w:eastAsia="Times New Roman" w:hAnsi="Times New Roman"/>
          <w:sz w:val="22"/>
          <w:szCs w:val="22"/>
          <w:color w:val="auto"/>
        </w:rPr>
      </w:pPr>
    </w:p>
    <w:p>
      <w:pPr>
        <w:ind w:right="40" w:firstLine="656"/>
        <w:spacing w:after="0" w:line="250"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Effect on Employment</w:t>
      </w:r>
      <w:r>
        <w:rPr>
          <w:rFonts w:ascii="Times New Roman" w:cs="Times New Roman" w:eastAsia="Times New Roman" w:hAnsi="Times New Roman"/>
          <w:sz w:val="22"/>
          <w:szCs w:val="22"/>
          <w:color w:val="auto"/>
        </w:rPr>
        <w:t>. The Grantee’s employment with the Company and any parent of the Company or Subsidiary is on an at-will basis only, subject to the provisions of applicable law. Accordingly, subject to any written, express employment contract with the Grantee, nothing in this Agreement or the Plan shall confer upon the Grantee any right to continue to be employed by the Company or the employing parent of the Company or Subsidiary or shall interfere with or restrict in any way the rights of the Company or the employing parent of the Company or Subsidiary, which are hereby expressly reserved, to terminate the employment of the Grantee at any time for any reason whatsoever, with or without good cause. Such reservation of rights can be modified only in an express written contract executed by a duly authorized officer of the Company or the parent or Subsidiary employing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80"/>
          </w:cols>
          <w:pgMar w:left="320" w:top="1440" w:right="399" w:bottom="1440" w:gutter="0" w:footer="0" w:header="0"/>
        </w:sectPr>
      </w:pPr>
    </w:p>
    <w:bookmarkStart w:id="85" w:name="page86"/>
    <w:bookmarkEnd w:id="85"/>
    <w:p>
      <w:pPr>
        <w:spacing w:after="0" w:line="198" w:lineRule="exact"/>
        <w:rPr>
          <w:sz w:val="20"/>
          <w:szCs w:val="20"/>
          <w:color w:val="auto"/>
        </w:rPr>
      </w:pPr>
    </w:p>
    <w:p>
      <w:pPr>
        <w:ind w:left="-20" w:right="60" w:firstLine="656"/>
        <w:spacing w:after="0" w:line="257" w:lineRule="auto"/>
        <w:tabs>
          <w:tab w:leader="none" w:pos="127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Agreement shall be addressed to the Company, in care of its Secretary at the Company’s headquarters, P.O. Box 10212, 56 Top Gallant Road, Stamford, CT 06902-7700, or at such other address as the Company may hereafter designate in writing.</w:t>
      </w:r>
    </w:p>
    <w:p>
      <w:pPr>
        <w:spacing w:after="0" w:line="186" w:lineRule="exact"/>
        <w:rPr>
          <w:rFonts w:ascii="Times New Roman" w:cs="Times New Roman" w:eastAsia="Times New Roman" w:hAnsi="Times New Roman"/>
          <w:sz w:val="22"/>
          <w:szCs w:val="22"/>
          <w:color w:val="auto"/>
        </w:rPr>
      </w:pPr>
    </w:p>
    <w:p>
      <w:pPr>
        <w:ind w:left="-20" w:right="20" w:firstLine="656"/>
        <w:spacing w:after="0" w:line="271" w:lineRule="auto"/>
        <w:tabs>
          <w:tab w:leader="none" w:pos="127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Term of SAR</w:t>
      </w:r>
      <w:r>
        <w:rPr>
          <w:rFonts w:ascii="Times New Roman" w:cs="Times New Roman" w:eastAsia="Times New Roman" w:hAnsi="Times New Roman"/>
          <w:sz w:val="22"/>
          <w:szCs w:val="22"/>
          <w:color w:val="auto"/>
        </w:rPr>
        <w:t>. Notwithstanding any other provision of this Agreement, this SAR is not exercisable after the Expiration Date.</w:t>
      </w:r>
    </w:p>
    <w:p>
      <w:pPr>
        <w:spacing w:after="0" w:line="153" w:lineRule="exact"/>
        <w:rPr>
          <w:rFonts w:ascii="Times New Roman" w:cs="Times New Roman" w:eastAsia="Times New Roman" w:hAnsi="Times New Roman"/>
          <w:sz w:val="22"/>
          <w:szCs w:val="22"/>
          <w:color w:val="auto"/>
        </w:rPr>
      </w:pPr>
    </w:p>
    <w:p>
      <w:pPr>
        <w:ind w:left="-20" w:right="20" w:firstLine="656"/>
        <w:spacing w:after="0" w:line="250" w:lineRule="auto"/>
        <w:tabs>
          <w:tab w:leader="none" w:pos="127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(a)(i) “</w:t>
      </w:r>
      <w:r>
        <w:rPr>
          <w:rFonts w:ascii="Times New Roman" w:cs="Times New Roman" w:eastAsia="Times New Roman" w:hAnsi="Times New Roman"/>
          <w:sz w:val="22"/>
          <w:szCs w:val="22"/>
          <w:b w:val="1"/>
          <w:bCs w:val="1"/>
          <w:color w:val="auto"/>
        </w:rPr>
        <w:t>Competitive Acts</w:t>
      </w:r>
      <w:r>
        <w:rPr>
          <w:rFonts w:ascii="Times New Roman" w:cs="Times New Roman" w:eastAsia="Times New Roman" w:hAnsi="Times New Roman"/>
          <w:sz w:val="22"/>
          <w:szCs w:val="22"/>
          <w:color w:val="auto"/>
        </w:rPr>
        <w:t>” shall mean: (A) the development, production, marketing or selling of (or assisting others to develop, produce, market or sell): (x) syndicated research that competes with the Company; or (y) a product or service which is competitive with the existing or planned products or services of the Company with which Grantee was involved or managed at any time during the last twenty-four (24) months of the Grantee’s Continued Service; and/or (B) the direct or indirect provision of services to, or solicitation of, the Company’s clients or known prospects with whom Grantee had contact, managed, or became aware of as a result of being employed by the Company, for the purposes of developing, producing, marketing or selling such competitive products or services.</w:t>
      </w:r>
    </w:p>
    <w:p>
      <w:pPr>
        <w:spacing w:after="0" w:line="211" w:lineRule="exact"/>
        <w:rPr>
          <w:sz w:val="20"/>
          <w:szCs w:val="20"/>
          <w:color w:val="auto"/>
        </w:rPr>
      </w:pPr>
    </w:p>
    <w:p>
      <w:pPr>
        <w:ind w:left="-20" w:right="80" w:firstLine="656"/>
        <w:spacing w:after="0" w:line="250" w:lineRule="auto"/>
        <w:tabs>
          <w:tab w:leader="none" w:pos="110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understands and agrees that the Company’s business is global in nature and that its clients are located throughout the world; therefore, a territorial limitation on the non-competition covenants set forth in this Paragraph 17 would not allow the Company to adequately protect its legitimate business interests, and the absence of such a limitation is entirely reasonable under these circumstances. In addition, Grantee agrees that the provisions of this Paragraph 17 are reasonable to protect and preserve the Company’s legitimate business interests, including the protection of the Company’s Confidential Information (as defined below) and the Company’s substantial investment made to develop and retain its Confidential Information, client base, accounts and related goodwill.</w:t>
      </w:r>
    </w:p>
    <w:p>
      <w:pPr>
        <w:spacing w:after="0" w:line="220" w:lineRule="exact"/>
        <w:rPr>
          <w:rFonts w:ascii="Times New Roman" w:cs="Times New Roman" w:eastAsia="Times New Roman" w:hAnsi="Times New Roman"/>
          <w:sz w:val="22"/>
          <w:szCs w:val="22"/>
          <w:color w:val="auto"/>
        </w:rPr>
      </w:pPr>
    </w:p>
    <w:p>
      <w:pPr>
        <w:ind w:left="-20" w:right="80" w:firstLine="656"/>
        <w:spacing w:after="0" w:line="257" w:lineRule="auto"/>
        <w:tabs>
          <w:tab w:leader="none" w:pos="116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in its sole discretion, waive any portion of the Grantee’s obligations contained in Paragraph 17. No such waiver shall be valid unless directly provided to Grantee, in writing, by the Company’s General Counsel or his/her designee.</w:t>
      </w:r>
    </w:p>
    <w:p>
      <w:pPr>
        <w:spacing w:after="0" w:line="200" w:lineRule="exact"/>
        <w:rPr>
          <w:sz w:val="20"/>
          <w:szCs w:val="20"/>
          <w:color w:val="auto"/>
        </w:rPr>
      </w:pPr>
    </w:p>
    <w:p>
      <w:pPr>
        <w:ind w:left="-20" w:firstLine="656"/>
        <w:spacing w:after="0" w:line="250" w:lineRule="auto"/>
        <w:tabs>
          <w:tab w:leader="none" w:pos="10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for two (2) years following the termination of his or her Continued Service for any reason whatsoever (the “</w:t>
      </w:r>
      <w:r>
        <w:rPr>
          <w:rFonts w:ascii="Times New Roman" w:cs="Times New Roman" w:eastAsia="Times New Roman" w:hAnsi="Times New Roman"/>
          <w:sz w:val="22"/>
          <w:szCs w:val="22"/>
          <w:b w:val="1"/>
          <w:bCs w:val="1"/>
          <w:color w:val="auto"/>
        </w:rPr>
        <w:t>Restricted Period</w:t>
      </w:r>
      <w:r>
        <w:rPr>
          <w:rFonts w:ascii="Times New Roman" w:cs="Times New Roman" w:eastAsia="Times New Roman" w:hAnsi="Times New Roman"/>
          <w:sz w:val="22"/>
          <w:szCs w:val="22"/>
          <w:color w:val="auto"/>
        </w:rPr>
        <w:t>”), the Grantee will not, on his or her own behalf or on behalf of any other person or entity (whether as a consultant, analyst, sales person, independent contractor, independent business venturer, partner, member, employee or otherwise), directly or indirectly: (i) engage in any Competitive Acts; and/or (ii) entice, encourage, cause or invite any of the Company’s clients, known prospects, and vendors to discontinue, diminish, or otherwise adversely modify the business done with the Company, or otherwise interfere with the relationship between the Company and its clients, known prospects, and vendors.</w:t>
      </w:r>
    </w:p>
    <w:p>
      <w:pPr>
        <w:spacing w:after="0" w:line="207" w:lineRule="exact"/>
        <w:rPr>
          <w:rFonts w:ascii="Times New Roman" w:cs="Times New Roman" w:eastAsia="Times New Roman" w:hAnsi="Times New Roman"/>
          <w:sz w:val="22"/>
          <w:szCs w:val="22"/>
          <w:color w:val="auto"/>
        </w:rPr>
      </w:pPr>
    </w:p>
    <w:p>
      <w:pPr>
        <w:ind w:left="-20" w:right="140" w:firstLine="656"/>
        <w:spacing w:after="0" w:line="234" w:lineRule="auto"/>
        <w:tabs>
          <w:tab w:leader="none" w:pos="108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in the event of the Grantee’s termination of Continued Service due to a Retirement-Eligible Separation prior to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anniversary of the Grant Date, the Restricted Period shall initially last for two (2)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40" w:top="1440" w:right="339" w:bottom="1440" w:gutter="0" w:footer="0" w:header="0"/>
        </w:sectPr>
      </w:pPr>
    </w:p>
    <w:bookmarkStart w:id="86" w:name="page87"/>
    <w:bookmarkEnd w:id="86"/>
    <w:p>
      <w:pPr>
        <w:jc w:val="both"/>
        <w:spacing w:after="0" w:line="259" w:lineRule="auto"/>
        <w:rPr>
          <w:sz w:val="20"/>
          <w:szCs w:val="20"/>
          <w:color w:val="auto"/>
        </w:rPr>
      </w:pPr>
      <w:r>
        <w:rPr>
          <w:rFonts w:ascii="Times New Roman" w:cs="Times New Roman" w:eastAsia="Times New Roman" w:hAnsi="Times New Roman"/>
          <w:sz w:val="22"/>
          <w:szCs w:val="22"/>
          <w:color w:val="auto"/>
        </w:rPr>
        <w:t>following such termination of Continued Service (the “</w:t>
      </w:r>
      <w:r>
        <w:rPr>
          <w:rFonts w:ascii="Times New Roman" w:cs="Times New Roman" w:eastAsia="Times New Roman" w:hAnsi="Times New Roman"/>
          <w:sz w:val="22"/>
          <w:szCs w:val="22"/>
          <w:b w:val="1"/>
          <w:bCs w:val="1"/>
          <w:color w:val="auto"/>
        </w:rPr>
        <w:t>Initial Retirement Restricted Period</w:t>
      </w:r>
      <w:r>
        <w:rPr>
          <w:rFonts w:ascii="Times New Roman" w:cs="Times New Roman" w:eastAsia="Times New Roman" w:hAnsi="Times New Roman"/>
          <w:sz w:val="22"/>
          <w:szCs w:val="22"/>
          <w:color w:val="auto"/>
        </w:rPr>
        <w:t>”); provided, that in order to receive vesting of any portion of the SAR following the end of the Initial Retirement Restricted Period, the Grantee must comply with the following (in any event, subject to continued compliance with the terms of the Plan and this Agreement):</w:t>
      </w:r>
    </w:p>
    <w:p>
      <w:pPr>
        <w:spacing w:after="0" w:line="211" w:lineRule="exact"/>
        <w:rPr>
          <w:sz w:val="20"/>
          <w:szCs w:val="20"/>
          <w:color w:val="auto"/>
        </w:rPr>
      </w:pPr>
    </w:p>
    <w:p>
      <w:pPr>
        <w:ind w:firstLine="2276"/>
        <w:spacing w:after="0" w:line="247" w:lineRule="auto"/>
        <w:tabs>
          <w:tab w:leader="none" w:pos="25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Post-Restriction Tranche</w:t>
      </w:r>
      <w:r>
        <w:rPr>
          <w:rFonts w:ascii="Times New Roman" w:cs="Times New Roman" w:eastAsia="Times New Roman" w:hAnsi="Times New Roman"/>
          <w:sz w:val="22"/>
          <w:szCs w:val="22"/>
          <w:color w:val="auto"/>
        </w:rPr>
        <w:t xml:space="preserve">. Provide the Company’s Capital Appreciation Team (via email at </w:t>
      </w:r>
      <w:r>
        <w:rPr>
          <w:rFonts w:ascii="Times New Roman" w:cs="Times New Roman" w:eastAsia="Times New Roman" w:hAnsi="Times New Roman"/>
          <w:sz w:val="22"/>
          <w:szCs w:val="22"/>
          <w:u w:val="single" w:color="auto"/>
          <w:color w:val="0000FF"/>
        </w:rPr>
        <w:t>AskHR@Gartner.com</w:t>
      </w:r>
      <w:r>
        <w:rPr>
          <w:rFonts w:ascii="Times New Roman" w:cs="Times New Roman" w:eastAsia="Times New Roman" w:hAnsi="Times New Roman"/>
          <w:sz w:val="22"/>
          <w:szCs w:val="22"/>
          <w:color w:val="000000"/>
        </w:rPr>
        <w:t>) and the Company’s General Counsel with (x) no less than five (5) business days prior to the expiration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Initial Retirement Restricted Period, a written acknowledgment that, in consideration for vesting of the first tranche of the SAR that is scheduled to vest after the Initial Retirement Restricted Period (the “</w:t>
      </w:r>
      <w:r>
        <w:rPr>
          <w:rFonts w:ascii="Times New Roman" w:cs="Times New Roman" w:eastAsia="Times New Roman" w:hAnsi="Times New Roman"/>
          <w:sz w:val="22"/>
          <w:szCs w:val="22"/>
          <w:b w:val="1"/>
          <w:bCs w:val="1"/>
          <w:color w:val="000000"/>
        </w:rPr>
        <w:t>Initial Post-Restriction Tranche</w:t>
      </w:r>
      <w:r>
        <w:rPr>
          <w:rFonts w:ascii="Times New Roman" w:cs="Times New Roman" w:eastAsia="Times New Roman" w:hAnsi="Times New Roman"/>
          <w:sz w:val="22"/>
          <w:szCs w:val="22"/>
          <w:color w:val="000000"/>
        </w:rPr>
        <w:t>”), he or she is electing to, and shall, be subject to the provisions of this Paragraph 17 through the applicable vesting date for the Initial Post-Restriction Tranche (and in such case, the Restricted Period shall be extended through such vesting date), and (y) no less than five (5) business days prior to the applicable vesting date for the Initial Post-Restriction Tranche, a written confirmation that he or she has complied with the provisions of this Paragraph 17 from the end of the Initial Retirement Restricted Period and will comply with such provisions through the applicable vesting date for the Initial Post-Restriction Tranche. In the event that the Grantee does not timely provide either or both of such notices, any remaining unvested portion of this SAR will be immediately cancelled upon the expiration of the applicable deadline set forth in this Paragraph 17(c)(i).</w:t>
      </w:r>
    </w:p>
    <w:p>
      <w:pPr>
        <w:spacing w:after="0" w:line="227" w:lineRule="exact"/>
        <w:rPr>
          <w:rFonts w:ascii="Times New Roman" w:cs="Times New Roman" w:eastAsia="Times New Roman" w:hAnsi="Times New Roman"/>
          <w:sz w:val="22"/>
          <w:szCs w:val="22"/>
          <w:color w:val="auto"/>
        </w:rPr>
      </w:pPr>
    </w:p>
    <w:p>
      <w:pPr>
        <w:ind w:right="20" w:firstLine="2276"/>
        <w:spacing w:after="0" w:line="248" w:lineRule="auto"/>
        <w:tabs>
          <w:tab w:leader="none" w:pos="258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 Post-Restriction Tranche</w:t>
      </w:r>
      <w:r>
        <w:rPr>
          <w:rFonts w:ascii="Times New Roman" w:cs="Times New Roman" w:eastAsia="Times New Roman" w:hAnsi="Times New Roman"/>
          <w:sz w:val="22"/>
          <w:szCs w:val="22"/>
          <w:color w:val="auto"/>
        </w:rPr>
        <w:t xml:space="preserve">. To the extent that any portion of the SAR remains unvested following vesting of the Initial Post-Restriction Tranche, provide the Company’s Capital Appreciation Team (via email at </w:t>
      </w:r>
      <w:r>
        <w:rPr>
          <w:rFonts w:ascii="Times New Roman" w:cs="Times New Roman" w:eastAsia="Times New Roman" w:hAnsi="Times New Roman"/>
          <w:sz w:val="22"/>
          <w:szCs w:val="22"/>
          <w:u w:val="single" w:color="auto"/>
          <w:color w:val="0000FF"/>
        </w:rPr>
        <w:t>AskHR@Gartner.com</w:t>
      </w:r>
      <w:r>
        <w:rPr>
          <w:rFonts w:ascii="Times New Roman" w:cs="Times New Roman" w:eastAsia="Times New Roman" w:hAnsi="Times New Roman"/>
          <w:sz w:val="22"/>
          <w:szCs w:val="22"/>
          <w:color w:val="000000"/>
        </w:rPr>
        <w:t>) and the Company’s General Counsel with (x) no less than five (5) business days prior to the vesting of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Initial Post-Restriction Tranche, a written acknowledgment that, in consideration for the final tranche of the SAR that is scheduled to vest after the Initial Retirement Restricted Period (the “</w:t>
      </w:r>
      <w:r>
        <w:rPr>
          <w:rFonts w:ascii="Times New Roman" w:cs="Times New Roman" w:eastAsia="Times New Roman" w:hAnsi="Times New Roman"/>
          <w:sz w:val="22"/>
          <w:szCs w:val="22"/>
          <w:b w:val="1"/>
          <w:bCs w:val="1"/>
          <w:color w:val="000000"/>
        </w:rPr>
        <w:t>Second Post-Restriction Tranche</w:t>
      </w:r>
      <w:r>
        <w:rPr>
          <w:rFonts w:ascii="Times New Roman" w:cs="Times New Roman" w:eastAsia="Times New Roman" w:hAnsi="Times New Roman"/>
          <w:sz w:val="22"/>
          <w:szCs w:val="22"/>
          <w:color w:val="000000"/>
        </w:rPr>
        <w:t>”), he or she is electing to, and shall, be subject to the provisions of this Paragraph 17 through the applicable vesting date for the Second Post-Restriction Tranche (and in such case, the Restricted Period shall be extended through such vesting date), and (y) no less than five (5) business days prior to the applicable vesting date for the Second Post-Restriction Tranche, a written confirmation that he or she has complied with the provisions of this Paragraph 17 from the end of the vesting date for the Initial Post-Restriction Tranche and will comply with such provisions through the vesting date for the Second Post-Restriction Tranche. In the event that the Grantee does not timely provide either or both of such notices, any remaining unvested portion of this SAR will be immediately cancelled upon the expiration of the applicable deadline set forth in this Paragraph 17(c)(ii).</w:t>
      </w:r>
    </w:p>
    <w:p>
      <w:pPr>
        <w:spacing w:after="0" w:line="211" w:lineRule="exact"/>
        <w:rPr>
          <w:sz w:val="20"/>
          <w:szCs w:val="20"/>
          <w:color w:val="auto"/>
        </w:rPr>
      </w:pPr>
    </w:p>
    <w:p>
      <w:pPr>
        <w:ind w:right="180" w:firstLine="2268"/>
        <w:spacing w:after="0" w:line="251"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u w:val="single" w:color="auto"/>
          <w:color w:val="auto"/>
        </w:rPr>
        <w:t>Illustration</w:t>
      </w:r>
      <w:r>
        <w:rPr>
          <w:rFonts w:ascii="Times New Roman" w:cs="Times New Roman" w:eastAsia="Times New Roman" w:hAnsi="Times New Roman"/>
          <w:sz w:val="22"/>
          <w:szCs w:val="22"/>
          <w:color w:val="auto"/>
        </w:rPr>
        <w:t>. For illustrative purposes only, if the Grantee were to incur a termination of Continued Service due to a Retirement-Eligible Separation three months after the Grant Date, (x) the Initial Retirement Restricted Period would extend to the date that is two years and three months following the Grant Date (and the first two tranches of the SAR would vest during the Initial Retirement Restricted Period on the first and second anniversaries of the Grant Date, subject to the Grantee’s continued compliance with the terms of this Agreement), (y) in order to receive vesting of the Initial Post-Restriction Tranche,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8" w:right="339" w:bottom="1440" w:gutter="0" w:footer="0" w:header="0"/>
        </w:sectPr>
      </w:pPr>
    </w:p>
    <w:bookmarkStart w:id="87" w:name="page88"/>
    <w:bookmarkEnd w:id="87"/>
    <w:p>
      <w:pPr>
        <w:ind w:right="100"/>
        <w:spacing w:after="0" w:line="250" w:lineRule="auto"/>
        <w:rPr>
          <w:sz w:val="20"/>
          <w:szCs w:val="20"/>
          <w:color w:val="auto"/>
        </w:rPr>
      </w:pPr>
      <w:r>
        <w:rPr>
          <w:rFonts w:ascii="Times New Roman" w:cs="Times New Roman" w:eastAsia="Times New Roman" w:hAnsi="Times New Roman"/>
          <w:sz w:val="22"/>
          <w:szCs w:val="22"/>
          <w:color w:val="auto"/>
        </w:rPr>
        <w:t>would be required to (A) give written acknowledgment of continued applicability of this Paragraph 17 through the third anniversary of the Grant Date (i.e., the vesting date for the Initial Post-Restriction Tranche), no less than five business days prior to expiration of the Initial Retirement Restricted Period, and (B) give written confirmation of compliance with this Paragraph 17 through the third anniversary of the Grant Date, no less than five business days prior to the third anniversary of the Grant Date, and (z) in order to receive vesting of the Second Post-Restriction Tranche, the Grantee would be required to (A) give written acknowledgment of continued applicability of this Paragraph 17 through the fourth anniversary of the Grant Date (i.e., the vesting date for the Second Post-Restriction Tranche), no less than five business days prior to the third anniversary of the Grant Date, and (B) give written confirmation of compliance with this Paragraph 17 through the fourth anniversary of the Grant Date, no less than five business days prior to the fourth anniversary of the Grant Date.</w:t>
      </w:r>
    </w:p>
    <w:p>
      <w:pPr>
        <w:spacing w:after="0" w:line="207" w:lineRule="exact"/>
        <w:rPr>
          <w:sz w:val="20"/>
          <w:szCs w:val="20"/>
          <w:color w:val="auto"/>
        </w:rPr>
      </w:pPr>
    </w:p>
    <w:p>
      <w:pPr>
        <w:ind w:right="40" w:firstLine="656"/>
        <w:spacing w:after="0" w:line="247" w:lineRule="auto"/>
        <w:tabs>
          <w:tab w:leader="none" w:pos="111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in addition to any and all other remedies available to the Company (at law, in equity, or as otherwise set forth in this Agreement), the Company shall be entitled to liquidated damages for any violation of Paragraph 17 during the Restricted Period (or, in the event of a Retirement-Eligible Separation, the Initial Retirement Restricted Period) in an amount equal to: (i) the final twelve (12) months’ salary, commissions, and bonus paid to the Grantee; and (ii) an additional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Grantee’s termination of Continued Service. The dollar value of each such share shall be equal to the closing price of Gartner stock on the date of grant of the applicable stock appreciation right, performance stock unit or restricted stock unit. To the extent that Grantee chooses to receive the Initial Retirement Post-Restriction Tranche and/or the Second Post-Restriction Tranche but violates the provisions of Paragraphs 17(c)(i) and/or (ii), respectively, in addition to any and all other remedies available to the Company (at law, in equity, or otherwise set forth in this Agreement), the Company shall be entitled to liquidated damages equal to an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violation of such Paragraph. Grantee agrees that the liquidated damages set forth herein are a reasonable approximation of the damages experienced by the Company for a violation of Paragraph 17, and are not to be deemed a penalty of any kind.</w:t>
      </w:r>
    </w:p>
    <w:p>
      <w:pPr>
        <w:spacing w:after="0" w:line="221" w:lineRule="exact"/>
        <w:rPr>
          <w:rFonts w:ascii="Times New Roman" w:cs="Times New Roman" w:eastAsia="Times New Roman" w:hAnsi="Times New Roman"/>
          <w:sz w:val="22"/>
          <w:szCs w:val="22"/>
          <w:color w:val="auto"/>
        </w:rPr>
      </w:pPr>
    </w:p>
    <w:p>
      <w:pPr>
        <w:ind w:firstLine="656"/>
        <w:spacing w:after="0" w:line="250" w:lineRule="auto"/>
        <w:tabs>
          <w:tab w:leader="none" w:pos="110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acknowledges that the time, geographic and scope limitations of the non-competition and non-solicitation provisions set forth herein are fair and reasonable in all respects, and that Grantee will not be precluded from gainful employment if obligated to comply with the provisions hereof. To the extent a court of appropriate jurisdiction finds the duration and/or geographic scope of the non-competition or non-solicitation restrictions to be unenforceable under applicable law, in whole or in part, then it is the intention of the parties that such restriction be enforced to the fullest extent which the court deems reasonable. In the event of Grantee’s breach or violation of this Paragraph 17, or good faith allegation by the Company of such breach or violation, the Restricted Period, the Initial Retirement Restricted Period,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22" w:right="359" w:bottom="1440" w:gutter="0" w:footer="0" w:header="0"/>
        </w:sectPr>
      </w:pPr>
    </w:p>
    <w:bookmarkStart w:id="88" w:name="page89"/>
    <w:bookmarkEnd w:id="88"/>
    <w:p>
      <w:pPr>
        <w:ind w:right="40"/>
        <w:spacing w:after="0" w:line="271" w:lineRule="auto"/>
        <w:rPr>
          <w:sz w:val="20"/>
          <w:szCs w:val="20"/>
          <w:color w:val="auto"/>
        </w:rPr>
      </w:pPr>
      <w:r>
        <w:rPr>
          <w:rFonts w:ascii="Times New Roman" w:cs="Times New Roman" w:eastAsia="Times New Roman" w:hAnsi="Times New Roman"/>
          <w:sz w:val="22"/>
          <w:szCs w:val="22"/>
          <w:color w:val="auto"/>
        </w:rPr>
        <w:t>periods set forth in Paragraphs 17(c)(i) and (ii) (as applicable), shall be tolled until such breach or violation, or allegation thereof, has been duly cured or resolved.</w:t>
      </w:r>
    </w:p>
    <w:p>
      <w:pPr>
        <w:spacing w:after="0" w:line="185" w:lineRule="exact"/>
        <w:rPr>
          <w:sz w:val="20"/>
          <w:szCs w:val="20"/>
          <w:color w:val="auto"/>
        </w:rPr>
      </w:pPr>
    </w:p>
    <w:p>
      <w:pPr>
        <w:ind w:firstLine="656"/>
        <w:spacing w:after="0" w:line="253" w:lineRule="auto"/>
        <w:tabs>
          <w:tab w:leader="none" w:pos="10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Restricted Period, the Initial Retirement Restricted Period, and the periods set forth in Paragraphs 17(c)(i) and (ii) (as applicable), the Grantee will notify (in writing and not less than 72 hours in advance) the Company’s General Counsel if he or she intends to become an employee or other service provider of any entity other than the Company (for example, but not by way of limitation, as an employee, consultant, analyst, sales person, independent contractor, agent, independent business venturer, partner or member).</w:t>
      </w:r>
    </w:p>
    <w:p>
      <w:pPr>
        <w:spacing w:after="0" w:line="179" w:lineRule="exact"/>
        <w:rPr>
          <w:sz w:val="20"/>
          <w:szCs w:val="20"/>
          <w:color w:val="auto"/>
        </w:rPr>
      </w:pPr>
    </w:p>
    <w:p>
      <w:pPr>
        <w:ind w:right="40" w:firstLine="656"/>
        <w:spacing w:after="0" w:line="258"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and No-Hire</w:t>
      </w:r>
      <w:r>
        <w:rPr>
          <w:rFonts w:ascii="Times New Roman" w:cs="Times New Roman" w:eastAsia="Times New Roman" w:hAnsi="Times New Roman"/>
          <w:sz w:val="22"/>
          <w:szCs w:val="22"/>
          <w:color w:val="auto"/>
        </w:rPr>
        <w:t>. The Grantee further agrees that, during the Restricted Period, the Initial Retirement Restricted Period, and the periods set forth in Paragraphs 17(c)(i) and (ii) (as applicable), the Grantee will not, directly or indirectly solicit, entice, or recruit employees of the Company to leave its employ, or offer or cause to be offered employment to any person who was employed by the Company at any time during the twelve (12) months prior to the termination of Grantee’s Continued Service. General mass solicitations of employment that are not directed at the Company or any employee(s) of the Company shall not be prohibited by this Paragraph 18. For purposes of this Paragraph 18 (and the preceding Paragraph 17), the “Company” shall include the Company and its Subsidiaries.</w:t>
      </w:r>
    </w:p>
    <w:p>
      <w:pPr>
        <w:spacing w:after="0" w:line="175" w:lineRule="exact"/>
        <w:rPr>
          <w:rFonts w:ascii="Times New Roman" w:cs="Times New Roman" w:eastAsia="Times New Roman" w:hAnsi="Times New Roman"/>
          <w:sz w:val="22"/>
          <w:szCs w:val="22"/>
          <w:color w:val="auto"/>
        </w:rPr>
      </w:pPr>
    </w:p>
    <w:p>
      <w:pPr>
        <w:ind w:right="160" w:firstLine="656"/>
        <w:spacing w:after="0" w:line="257"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Subject to the limitation on the transferability of this SAR contained herein, this Agreement shall be binding upon and inure to the benefit of the heirs, legatees, legal representatives, successors and assigns of the parties hereto.</w:t>
      </w:r>
    </w:p>
    <w:p>
      <w:pPr>
        <w:spacing w:after="0" w:line="172" w:lineRule="exact"/>
        <w:rPr>
          <w:rFonts w:ascii="Times New Roman" w:cs="Times New Roman" w:eastAsia="Times New Roman" w:hAnsi="Times New Roman"/>
          <w:sz w:val="22"/>
          <w:szCs w:val="22"/>
          <w:color w:val="auto"/>
        </w:rPr>
      </w:pPr>
    </w:p>
    <w:p>
      <w:pPr>
        <w:ind w:right="100" w:firstLine="656"/>
        <w:spacing w:after="0" w:line="256"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the grant of SARs shall be construed in accordance with and governed by the laws of the State of Delaware, other than its conflicts of law provisions; provided that, notwithstanding the foregoing, Paragraphs 17 and 18 of this Agreement shall be governed by the laws of the State of Connecticut, without regard to its conflicts of law provisions.</w:t>
      </w:r>
    </w:p>
    <w:p>
      <w:pPr>
        <w:spacing w:after="0" w:line="176" w:lineRule="exact"/>
        <w:rPr>
          <w:rFonts w:ascii="Times New Roman" w:cs="Times New Roman" w:eastAsia="Times New Roman" w:hAnsi="Times New Roman"/>
          <w:sz w:val="22"/>
          <w:szCs w:val="22"/>
          <w:color w:val="auto"/>
        </w:rPr>
      </w:pPr>
    </w:p>
    <w:p>
      <w:pPr>
        <w:ind w:right="260" w:firstLine="656"/>
        <w:spacing w:after="0" w:line="281" w:lineRule="auto"/>
        <w:tabs>
          <w:tab w:leader="none" w:pos="129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 Governs</w:t>
      </w:r>
      <w:r>
        <w:rPr>
          <w:rFonts w:ascii="Times New Roman" w:cs="Times New Roman" w:eastAsia="Times New Roman" w:hAnsi="Times New Roman"/>
          <w:sz w:val="21"/>
          <w:szCs w:val="21"/>
          <w:color w:val="auto"/>
        </w:rPr>
        <w:t>. This Agreement is subject to all of the terms and provisions of the Plan. In the event of a conflict between one or more provisions of this Agreement and one or more provisions of the Plan, the provisions of the Plan shall govern. Capitalized terms and phrases used and not defined in this Agreement shall have the meaning set forth in the Plan.</w:t>
      </w:r>
    </w:p>
    <w:p>
      <w:pPr>
        <w:spacing w:after="0" w:line="150" w:lineRule="exact"/>
        <w:rPr>
          <w:rFonts w:ascii="Times New Roman" w:cs="Times New Roman" w:eastAsia="Times New Roman" w:hAnsi="Times New Roman"/>
          <w:sz w:val="21"/>
          <w:szCs w:val="21"/>
          <w:color w:val="auto"/>
        </w:rPr>
      </w:pPr>
    </w:p>
    <w:p>
      <w:pPr>
        <w:ind w:right="40" w:firstLine="656"/>
        <w:spacing w:after="0" w:line="250"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Authority</w:t>
      </w:r>
      <w:r>
        <w:rPr>
          <w:rFonts w:ascii="Times New Roman" w:cs="Times New Roman" w:eastAsia="Times New Roman" w:hAnsi="Times New Roman"/>
          <w:sz w:val="22"/>
          <w:szCs w:val="22"/>
          <w:color w:val="auto"/>
        </w:rPr>
        <w:t>. The Committee shall have all discretion, power, and authority to interpret the Plan and this Agreement and to adopt such rules for the administration, interpretation and application of the Plan as are consistent therewith (including, but not limited to, the determination of whether or not any SARs have vested). All actions taken and all interpretations and determinations made by the Committee in good faith shall be final and binding upon the Grantee, the Company and all other interested persons, and shall be given the maximum deference permitted by law. No member of the Committee shall be personally liable for any action, determination or interpretation made in good faith with respect to the Plan or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22" w:right="359" w:bottom="1440" w:gutter="0" w:footer="0" w:header="0"/>
        </w:sectPr>
      </w:pPr>
    </w:p>
    <w:bookmarkStart w:id="89" w:name="page90"/>
    <w:bookmarkEnd w:id="89"/>
    <w:p>
      <w:pPr>
        <w:spacing w:after="0" w:line="198" w:lineRule="exact"/>
        <w:rPr>
          <w:sz w:val="20"/>
          <w:szCs w:val="20"/>
          <w:color w:val="auto"/>
        </w:rPr>
      </w:pPr>
    </w:p>
    <w:p>
      <w:pPr>
        <w:ind w:left="-20" w:firstLine="656"/>
        <w:spacing w:after="0" w:line="253" w:lineRule="auto"/>
        <w:tabs>
          <w:tab w:leader="none" w:pos="127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in its sole discretion, may decide to deliver any documents related to Stock Appreciation Rights awarded under the Plan or future Stock Appreciation Rights that may be awarded under the Plan by electronic means. The Grantee hereby consents to receive such documents by electronic delivery and agrees to participate in the Plan through any on-line or electronic system established and maintained by the Company or another third party designated by the Company.</w:t>
      </w:r>
    </w:p>
    <w:p>
      <w:pPr>
        <w:spacing w:after="0" w:line="178" w:lineRule="exact"/>
        <w:rPr>
          <w:rFonts w:ascii="Times New Roman" w:cs="Times New Roman" w:eastAsia="Times New Roman" w:hAnsi="Times New Roman"/>
          <w:sz w:val="22"/>
          <w:szCs w:val="22"/>
          <w:color w:val="auto"/>
        </w:rPr>
      </w:pPr>
    </w:p>
    <w:p>
      <w:pPr>
        <w:ind w:left="-20" w:right="1100" w:firstLine="656"/>
        <w:spacing w:after="0" w:line="271" w:lineRule="auto"/>
        <w:tabs>
          <w:tab w:leader="none" w:pos="127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provided herein are for convenience only and are not to serve as a basis for the interpretation or construction of this Agreement.</w:t>
      </w:r>
    </w:p>
    <w:p>
      <w:pPr>
        <w:spacing w:after="0" w:line="157" w:lineRule="exact"/>
        <w:rPr>
          <w:rFonts w:ascii="Times New Roman" w:cs="Times New Roman" w:eastAsia="Times New Roman" w:hAnsi="Times New Roman"/>
          <w:sz w:val="22"/>
          <w:szCs w:val="22"/>
          <w:color w:val="auto"/>
        </w:rPr>
      </w:pPr>
    </w:p>
    <w:p>
      <w:pPr>
        <w:ind w:left="-20" w:right="280" w:firstLine="656"/>
        <w:spacing w:after="0" w:line="253" w:lineRule="auto"/>
        <w:tabs>
          <w:tab w:leader="none" w:pos="127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Severable</w:t>
      </w:r>
      <w:r>
        <w:rPr>
          <w:rFonts w:ascii="Times New Roman" w:cs="Times New Roman" w:eastAsia="Times New Roman" w:hAnsi="Times New Roman"/>
          <w:sz w:val="22"/>
          <w:szCs w:val="22"/>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 or the Agreement Regarding Certain Conditions of Employment. Further, any such provision held invalid or unenforceable will be modified to conform to a provision that most closely expresses the intent of the invalid of unenforceable provision.</w:t>
      </w:r>
    </w:p>
    <w:p>
      <w:pPr>
        <w:spacing w:after="0" w:line="178" w:lineRule="exact"/>
        <w:rPr>
          <w:rFonts w:ascii="Times New Roman" w:cs="Times New Roman" w:eastAsia="Times New Roman" w:hAnsi="Times New Roman"/>
          <w:sz w:val="22"/>
          <w:szCs w:val="22"/>
          <w:color w:val="auto"/>
        </w:rPr>
      </w:pPr>
    </w:p>
    <w:p>
      <w:pPr>
        <w:ind w:left="-20" w:right="100" w:firstLine="656"/>
        <w:spacing w:after="0" w:line="263" w:lineRule="auto"/>
        <w:tabs>
          <w:tab w:leader="none" w:pos="127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 to the Agreement</w:t>
      </w:r>
      <w:r>
        <w:rPr>
          <w:rFonts w:ascii="Times New Roman" w:cs="Times New Roman" w:eastAsia="Times New Roman" w:hAnsi="Times New Roman"/>
          <w:sz w:val="21"/>
          <w:szCs w:val="21"/>
          <w:color w:val="auto"/>
        </w:rPr>
        <w:t>. The Plan and this Agreement together the entire understanding of the parties on the subjects covered. The Grantee expressly warrants that he or she is not executing this Agreement in reliance on any promises, representations, or inducements other than those contained herein. Except as otherwise provided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the Grantee, to avoid imposition of any additional tax or income recognition under Section 409A prior to the actual payment of Shares pursuant to this SAR, provided that such revision would not materially reduce the economic benefits provided or intended to be provided under this Agreement. In no event will the Company pay or reimburse the Grantee for any taxes or other costs imposed on account of Section 409A.</w:t>
      </w:r>
    </w:p>
    <w:p>
      <w:pPr>
        <w:spacing w:after="0" w:line="169" w:lineRule="exact"/>
        <w:rPr>
          <w:rFonts w:ascii="Times New Roman" w:cs="Times New Roman" w:eastAsia="Times New Roman" w:hAnsi="Times New Roman"/>
          <w:sz w:val="21"/>
          <w:szCs w:val="21"/>
          <w:color w:val="auto"/>
        </w:rPr>
      </w:pPr>
    </w:p>
    <w:p>
      <w:pPr>
        <w:ind w:left="-20" w:right="40" w:firstLine="656"/>
        <w:spacing w:after="0" w:line="261" w:lineRule="auto"/>
        <w:tabs>
          <w:tab w:leader="none" w:pos="127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This Award Agreement and the SARs are subject to any (a) clawback policy, compensation recovery policy or similar policy or arrangement that the Company may adopt from time to time, whether such policy or arrangement is mandated by law or otherwise, including (but not limited to, the Company’s Compensation Recoupment (Clawback) Policy (the “Policy”)), and (b) compensation recoupment, clawback, or recovery requirement mandated by applicable law. For example, but not by way of limitation, as provided in the Policy, the Grantee may be required to repay to the Company part or all of the Shares and any other compensation that the Grantee receives under this Award Agreement and/or some of the SARs and Shares covered by this Award Agreement automatically may be forfeited at no cost to the Company. No clawback, recovery or recoupment of compensation contemplated under this Paragraph 27 will serve as a basis for “good reason,” “constructive termination” or similar term or concept under any employment, compensation, severance or change in control arrangement applicable to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40" w:top="1440" w:right="339" w:bottom="1440" w:gutter="0" w:footer="0" w:header="0"/>
        </w:sectPr>
      </w:pPr>
    </w:p>
    <w:bookmarkStart w:id="90" w:name="page91"/>
    <w:bookmarkEnd w:id="90"/>
    <w:p>
      <w:pPr>
        <w:spacing w:after="0" w:line="198" w:lineRule="exact"/>
        <w:rPr>
          <w:sz w:val="20"/>
          <w:szCs w:val="20"/>
          <w:color w:val="auto"/>
        </w:rPr>
      </w:pPr>
    </w:p>
    <w:p>
      <w:pPr>
        <w:jc w:val="both"/>
        <w:ind w:right="180" w:firstLine="656"/>
        <w:spacing w:after="0" w:line="275" w:lineRule="auto"/>
        <w:tabs>
          <w:tab w:leader="none" w:pos="129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Suspension, Termination</w:t>
      </w:r>
      <w:r>
        <w:rPr>
          <w:rFonts w:ascii="Times New Roman" w:cs="Times New Roman" w:eastAsia="Times New Roman" w:hAnsi="Times New Roman"/>
          <w:sz w:val="21"/>
          <w:szCs w:val="21"/>
          <w:color w:val="auto"/>
        </w:rPr>
        <w:t>. By accepting this SAR, the Grantee expressly warrants that he or she has received an SAR to purchase stock under the Plan, and has received, read and understood a description of the Plan. The Grantee understands that the Plan is discretionary in nature and may be modified, suspended or terminated by the Company at any time.</w:t>
      </w:r>
    </w:p>
    <w:p>
      <w:pPr>
        <w:spacing w:after="0" w:line="168"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Reasonable Period of Time</w:t>
      </w:r>
      <w:r>
        <w:rPr>
          <w:rFonts w:ascii="Times New Roman" w:cs="Times New Roman" w:eastAsia="Times New Roman" w:hAnsi="Times New Roman"/>
          <w:sz w:val="22"/>
          <w:szCs w:val="22"/>
          <w:color w:val="auto"/>
        </w:rPr>
        <w:t>. The Grantee acknowledges that the Grantee was</w:t>
      </w:r>
    </w:p>
    <w:p>
      <w:pPr>
        <w:spacing w:after="0" w:line="28" w:lineRule="exact"/>
        <w:rPr>
          <w:sz w:val="20"/>
          <w:szCs w:val="20"/>
          <w:color w:val="auto"/>
        </w:rPr>
      </w:pPr>
    </w:p>
    <w:p>
      <w:pPr>
        <w:ind w:right="3620"/>
        <w:spacing w:after="0" w:line="254" w:lineRule="auto"/>
        <w:rPr>
          <w:sz w:val="20"/>
          <w:szCs w:val="20"/>
          <w:color w:val="auto"/>
        </w:rPr>
      </w:pPr>
      <w:r>
        <w:rPr>
          <w:rFonts w:ascii="Times New Roman" w:cs="Times New Roman" w:eastAsia="Times New Roman" w:hAnsi="Times New Roman"/>
          <w:sz w:val="21"/>
          <w:szCs w:val="21"/>
          <w:color w:val="auto"/>
        </w:rPr>
        <w:t>given a reasonable period of time in which to review and consider this Agreement; the Grantee has, in fact, carefully reviewed this Agreement; and the Grantee is entering into</w:t>
      </w:r>
    </w:p>
    <w:p>
      <w:pPr>
        <w:spacing w:after="0" w:line="2" w:lineRule="exact"/>
        <w:rPr>
          <w:sz w:val="20"/>
          <w:szCs w:val="20"/>
          <w:color w:val="auto"/>
        </w:rPr>
      </w:pPr>
    </w:p>
    <w:p>
      <w:pPr>
        <w:ind w:right="3300"/>
        <w:spacing w:after="0" w:line="265" w:lineRule="auto"/>
        <w:rPr>
          <w:sz w:val="20"/>
          <w:szCs w:val="20"/>
          <w:color w:val="auto"/>
        </w:rPr>
      </w:pPr>
      <w:r>
        <w:rPr>
          <w:rFonts w:ascii="Times New Roman" w:cs="Times New Roman" w:eastAsia="Times New Roman" w:hAnsi="Times New Roman"/>
          <w:sz w:val="21"/>
          <w:szCs w:val="21"/>
          <w:color w:val="auto"/>
        </w:rPr>
        <w:t>it voluntarily and of the Grantee’s own free will. The Grantee further acknowledges that the Company advised the Grantee to consult with an attorney in connection with reviewing this Agreement. The Grantee further acknowledges that the Grantee has read this Agreement in its entirety, and that the Grantee fully understand its terms and legal effect.</w:t>
      </w:r>
    </w:p>
    <w:p>
      <w:pPr>
        <w:spacing w:after="0" w:line="165" w:lineRule="exact"/>
        <w:rPr>
          <w:sz w:val="20"/>
          <w:szCs w:val="20"/>
          <w:color w:val="auto"/>
        </w:rPr>
      </w:pPr>
    </w:p>
    <w:p>
      <w:pPr>
        <w:ind w:right="60" w:firstLine="656"/>
        <w:spacing w:after="0" w:line="253" w:lineRule="auto"/>
        <w:tabs>
          <w:tab w:leader="none" w:pos="12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constitutes the entire understanding of the parties on the subjects covered. The Grantee expressly warrants that he or she is not executing this Agreement in reliance on any promises, representations, or inducements other than those contained herein. Notwithstanding the foregoing, this Agreement shall not have any impact on the Agreement Regarding Certain Conditions of Employment, which is a standalone agreement. The obligations under the Agreement Regarding Certain Conditions of Employment remain in full force and effect.</w:t>
      </w:r>
    </w:p>
    <w:p>
      <w:pPr>
        <w:spacing w:after="0" w:line="178" w:lineRule="exact"/>
        <w:rPr>
          <w:rFonts w:ascii="Times New Roman" w:cs="Times New Roman" w:eastAsia="Times New Roman" w:hAnsi="Times New Roman"/>
          <w:sz w:val="22"/>
          <w:szCs w:val="22"/>
          <w:color w:val="auto"/>
        </w:rPr>
      </w:pPr>
    </w:p>
    <w:p>
      <w:pPr>
        <w:ind w:right="180" w:firstLine="656"/>
        <w:spacing w:after="0" w:line="271" w:lineRule="auto"/>
        <w:tabs>
          <w:tab w:leader="none" w:pos="12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used in this Agreement without definition will have the meanings provided for in the Plan. When used in this Agreement, the following capitalized terms will have the following meanings:</w:t>
      </w:r>
    </w:p>
    <w:p>
      <w:pPr>
        <w:spacing w:after="0" w:line="185" w:lineRule="exact"/>
        <w:rPr>
          <w:sz w:val="20"/>
          <w:szCs w:val="20"/>
          <w:color w:val="auto"/>
        </w:rPr>
      </w:pPr>
    </w:p>
    <w:p>
      <w:pPr>
        <w:ind w:left="1300"/>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all information related to the operation of the Company's business and knowledge of the Company's assets, including, but not limited to, (i) financial information, (ii) products, (iii) product and services costs, prices, profits and sales, (iv) forecasts, (v) computer programs, (vi) data bases (and the documentation and information contained therein), (vii) computer access codes and similar information, (viii) software ideas, (ix) know-how, technologies, concepts and designs, (x) research projects and all information connected with research and development efforts, (xi) records, (xii) business relationships, methods and recommendations, (xiii) client lists (including identities of clients and prospective clients, identities of individual contracts at business entities which are clients or prospective clients, client spending, preferences, business or habits), (xiv) subscription or consultant termination dates, (xv) personnel files, (xvi) competitive analyses, (xvii) other confidential or proprietary information or trade secrets that have not been made available to the general public by the Company's senior management, and (xviii) non-public information provided to the Company by its clients, and other tangible or intangible assets and other information obtained by the Grantee in the course of his or her employment with the Company. Information shall not be deemed Confidential Information if it is or becomes available in the public domain other than as a result of an unauthorized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91" w:name="page92"/>
    <w:bookmarkEnd w:id="91"/>
    <w:p>
      <w:pPr>
        <w:ind w:left="1300" w:right="400"/>
        <w:spacing w:after="0" w:line="271" w:lineRule="auto"/>
        <w:rPr>
          <w:sz w:val="20"/>
          <w:szCs w:val="20"/>
          <w:color w:val="auto"/>
        </w:rPr>
      </w:pPr>
      <w:r>
        <w:rPr>
          <w:rFonts w:ascii="Times New Roman" w:cs="Times New Roman" w:eastAsia="Times New Roman" w:hAnsi="Times New Roman"/>
          <w:sz w:val="22"/>
          <w:szCs w:val="22"/>
          <w:color w:val="auto"/>
        </w:rPr>
        <w:t>use, disclosure or action by Grantee, at Grantee’s direction or on Grantee’s behalf, or by any other person who directly or indirectly receives such information from Grantee.</w:t>
      </w:r>
    </w:p>
    <w:p>
      <w:pPr>
        <w:spacing w:after="0" w:line="158" w:lineRule="exact"/>
        <w:rPr>
          <w:sz w:val="20"/>
          <w:szCs w:val="20"/>
          <w:color w:val="auto"/>
        </w:rPr>
      </w:pPr>
    </w:p>
    <w:p>
      <w:pPr>
        <w:ind w:left="1300" w:right="120"/>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Continued Service</w:t>
      </w:r>
      <w:r>
        <w:rPr>
          <w:rFonts w:ascii="Times New Roman" w:cs="Times New Roman" w:eastAsia="Times New Roman" w:hAnsi="Times New Roman"/>
          <w:sz w:val="21"/>
          <w:szCs w:val="21"/>
          <w:color w:val="auto"/>
        </w:rPr>
        <w:t>” means that the Grantee’s employment relationship is not interrupted or terminated by the Grantee, the Company, or any parent or Subsidiary of the Company. The Grantee’s employment relationship will not be considered interrupted in the case of: (i) any leave of absence approved in accordance with the Company’s written personnel policies, including sick leave, family leave, military leave, or any other personal leave; or</w:t>
      </w:r>
    </w:p>
    <w:p>
      <w:pPr>
        <w:spacing w:after="0" w:line="1" w:lineRule="exact"/>
        <w:rPr>
          <w:sz w:val="20"/>
          <w:szCs w:val="20"/>
          <w:color w:val="auto"/>
        </w:rPr>
      </w:pPr>
    </w:p>
    <w:p>
      <w:pPr>
        <w:ind w:left="1300" w:firstLine="4"/>
        <w:spacing w:after="0"/>
        <w:tabs>
          <w:tab w:leader="none" w:pos="161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transfers between locations of the Company or between the Company and any parent, Subsidiary or successor;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unless otherwise provided in the Company’s written personnel policies, in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under applicable laws, rules or regulations, or unless the Committee has otherwise expressly provided for different treatment with respect to this Agreement, (x) no such leave may exceed ninety (90) days, and (y) any vesting shall cease on the ninety-first (91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consecutive date of any leave of absence during which the Grantee’s employment relationship is deemed to continue and will not recommence until such date, if any, upon which the Grantee resumes service with the Company, its parent, Subsidiary or successor. If the Grantee resumes such service in accordance with the terms of the Company’s military leave policy, upon resumption of service, the Grantee will be given vesting credit for the full duration of the Grantee’s leave of absence. Continuous employment will be deemed interrupted and terminated for the Grantee if the Grantee’s weekly work hours change from full time to part time. Part-time status for the purpose of vesting continuation will be determined in accordance with policies adopted by the Company from time to time, which policies, if any, shall supersede the determination of part-time status set forth in the Company’s posted “employee status definitions”.</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total and permanent disability as defined in Section 22(e)(3) of the Code.</w:t>
      </w:r>
    </w:p>
    <w:p>
      <w:pPr>
        <w:spacing w:after="0" w:line="220" w:lineRule="exact"/>
        <w:rPr>
          <w:sz w:val="20"/>
          <w:szCs w:val="20"/>
          <w:color w:val="auto"/>
        </w:rPr>
      </w:pPr>
    </w:p>
    <w:p>
      <w:pPr>
        <w:ind w:left="1300" w:right="14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termination of the Grantee’s employment in accordance with the Company’s retirement policies, as in effect from time to time, if on the date of such termination, the Grantee is at least 55 years old, and his or her Continued Service has extended for at least ten (10) years.</w:t>
      </w:r>
    </w:p>
    <w:p>
      <w:pPr>
        <w:spacing w:after="0" w:line="173" w:lineRule="exact"/>
        <w:rPr>
          <w:sz w:val="20"/>
          <w:szCs w:val="20"/>
          <w:color w:val="auto"/>
        </w:rPr>
      </w:pPr>
    </w:p>
    <w:p>
      <w:pPr>
        <w:ind w:right="200" w:firstLine="208"/>
        <w:spacing w:after="0" w:line="256" w:lineRule="auto"/>
        <w:rPr>
          <w:sz w:val="20"/>
          <w:szCs w:val="20"/>
          <w:color w:val="auto"/>
        </w:rPr>
      </w:pPr>
      <w:r>
        <w:rPr>
          <w:rFonts w:ascii="Times New Roman" w:cs="Times New Roman" w:eastAsia="Times New Roman" w:hAnsi="Times New Roman"/>
          <w:sz w:val="22"/>
          <w:szCs w:val="22"/>
          <w:color w:val="auto"/>
        </w:rPr>
        <w:t>Your acceptance of this grant indicates your agreement and understanding that this grant is subject to all of the terms and conditions contained in the Plan and this Agreement, which includes the notice of grant. Your acceptance of this grant indicates your agreement and understanding that this grant is subject to all of the terms and conditions contained in the Plan and this Agreement, which includes the notice of grant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20"/>
          </w:cols>
          <w:pgMar w:left="320" w:top="1422" w:right="359" w:bottom="1440" w:gutter="0" w:footer="0" w:header="0"/>
        </w:sectPr>
      </w:pPr>
    </w:p>
    <w:bookmarkStart w:id="92" w:name="page93"/>
    <w:bookmarkEnd w:id="92"/>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GARTNER, INC.</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LONG-TERM INCENTIVE PLAN</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PERFORMANCE STOCK UNIT AGREEMENT</w:t>
      </w:r>
    </w:p>
    <w:p>
      <w:pPr>
        <w:spacing w:after="0" w:line="200" w:lineRule="exact"/>
        <w:rPr>
          <w:sz w:val="20"/>
          <w:szCs w:val="20"/>
          <w:color w:val="auto"/>
        </w:rPr>
      </w:pPr>
    </w:p>
    <w:p>
      <w:pPr>
        <w:spacing w:after="0" w:line="27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Gartner,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you (or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 the number of performance stock units indicated in the notice of grant (a “</w:t>
      </w:r>
      <w:r>
        <w:rPr>
          <w:rFonts w:ascii="Times New Roman" w:cs="Times New Roman" w:eastAsia="Times New Roman" w:hAnsi="Times New Roman"/>
          <w:sz w:val="22"/>
          <w:szCs w:val="22"/>
          <w:b w:val="1"/>
          <w:bCs w:val="1"/>
          <w:color w:val="auto"/>
        </w:rPr>
        <w:t>PSU</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PSU</w:t>
      </w:r>
      <w:r>
        <w:rPr>
          <w:rFonts w:ascii="Times New Roman" w:cs="Times New Roman" w:eastAsia="Times New Roman" w:hAnsi="Times New Roman"/>
          <w:sz w:val="22"/>
          <w:szCs w:val="22"/>
          <w:color w:val="auto"/>
        </w:rPr>
        <w:t>s”) under the Company’s Long-Term Incentive Plan, as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(this type of Award is referred to as Performance Shares under the Plan). The date of this Agreement is February 8, 2024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Subject to the provisions of Appendix A, Appendix B (each attached hereto) and of the Plan, the principal features of this PSU grant are as follows:</w:t>
      </w:r>
    </w:p>
    <w:p>
      <w:pPr>
        <w:spacing w:after="0" w:line="189" w:lineRule="exact"/>
        <w:rPr>
          <w:sz w:val="20"/>
          <w:szCs w:val="20"/>
          <w:color w:val="auto"/>
        </w:rPr>
      </w:pPr>
    </w:p>
    <w:p>
      <w:pPr>
        <w:ind w:right="560" w:firstLine="648"/>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Target Number of PSUs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provided in the notice of grant, subject to adjustment as provided under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Adjustment below.</w:t>
      </w:r>
    </w:p>
    <w:p>
      <w:pPr>
        <w:spacing w:after="0" w:line="230"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Performance Adjustment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performance conditions and performance goals applicable to the PSUs are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Appendix B.</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Vesting Schedule</w:t>
      </w:r>
      <w:r>
        <w:rPr>
          <w:rFonts w:ascii="Times New Roman" w:cs="Times New Roman" w:eastAsia="Times New Roman" w:hAnsi="Times New Roman"/>
          <w:sz w:val="22"/>
          <w:szCs w:val="22"/>
          <w:b w:val="1"/>
          <w:bCs w:val="1"/>
          <w:color w:val="auto"/>
        </w:rPr>
        <w:t>:</w:t>
      </w:r>
    </w:p>
    <w:p>
      <w:pPr>
        <w:spacing w:after="0" w:line="305"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22"/>
          <w:szCs w:val="22"/>
          <w:color w:val="auto"/>
        </w:rPr>
        <w:t>Twenty-five percent (25%) of the PSUs eligible to vest (if any, as determined as set forth on Appendix B) shall vest on each of the first four anniversaries of the date hereof, or February 8, 2025, 2026, 2027 and 2028, subject to Grantee’s Continued Service through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60"/>
          </w:cols>
          <w:pgMar w:left="320" w:top="1440" w:right="4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PERFORMANCE STOCK UNITS</w:t>
      </w:r>
    </w:p>
    <w:p>
      <w:pPr>
        <w:spacing w:after="0" w:line="224" w:lineRule="exact"/>
        <w:rPr>
          <w:sz w:val="20"/>
          <w:szCs w:val="20"/>
          <w:color w:val="auto"/>
        </w:rPr>
      </w:pPr>
    </w:p>
    <w:p>
      <w:pPr>
        <w:ind w:right="260" w:firstLine="656"/>
        <w:spacing w:after="0" w:line="256" w:lineRule="auto"/>
        <w:tabs>
          <w:tab w:leader="none" w:pos="12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PSUs</w:t>
      </w:r>
      <w:r>
        <w:rPr>
          <w:rFonts w:ascii="Times New Roman" w:cs="Times New Roman" w:eastAsia="Times New Roman" w:hAnsi="Times New Roman"/>
          <w:sz w:val="22"/>
          <w:szCs w:val="22"/>
          <w:color w:val="auto"/>
        </w:rPr>
        <w:t>. The Company hereby grants to the Grantee under the Plan, as a separate incentive in connection with his or her employment and not in lieu of any salary or other compensation for his or her services, the number of Performance Stock Units (“</w:t>
      </w:r>
      <w:r>
        <w:rPr>
          <w:rFonts w:ascii="Times New Roman" w:cs="Times New Roman" w:eastAsia="Times New Roman" w:hAnsi="Times New Roman"/>
          <w:sz w:val="22"/>
          <w:szCs w:val="22"/>
          <w:b w:val="1"/>
          <w:bCs w:val="1"/>
          <w:color w:val="auto"/>
        </w:rPr>
        <w:t>PSU</w:t>
      </w:r>
      <w:r>
        <w:rPr>
          <w:rFonts w:ascii="Times New Roman" w:cs="Times New Roman" w:eastAsia="Times New Roman" w:hAnsi="Times New Roman"/>
          <w:sz w:val="22"/>
          <w:szCs w:val="22"/>
          <w:color w:val="auto"/>
        </w:rPr>
        <w:t>s”) indicated in the notice of grant, subject to all of the terms and conditions in this Agreement and the Plan. This type of Award is referred to as “Performance Shares” under the Plan.</w:t>
      </w:r>
    </w:p>
    <w:p>
      <w:pPr>
        <w:spacing w:after="0" w:line="176" w:lineRule="exact"/>
        <w:rPr>
          <w:rFonts w:ascii="Times New Roman" w:cs="Times New Roman" w:eastAsia="Times New Roman" w:hAnsi="Times New Roman"/>
          <w:sz w:val="22"/>
          <w:szCs w:val="22"/>
          <w:color w:val="auto"/>
        </w:rPr>
      </w:pPr>
    </w:p>
    <w:p>
      <w:pPr>
        <w:ind w:right="80" w:firstLine="656"/>
        <w:spacing w:after="0" w:line="253" w:lineRule="auto"/>
        <w:tabs>
          <w:tab w:leader="none" w:pos="12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PSU has a value equal to the Fair Market Value of a Share on the date of grant. Unless and until the PSUs have vested in the manner set forth in Paragraph 3, the Grantee will have no right to payment of such PSUs. Prior to actual payment of any vested PSUs, such PSUs will represent an unfunded and unsecured obligation of the Company. Payment of any vested PSUs will be made in Shares only. In no event will the Grantee be permitted, directly or indirectly, to specify the taxable year of the payment of any PSUs payable under the Agreement.</w:t>
      </w:r>
    </w:p>
    <w:p>
      <w:pPr>
        <w:spacing w:after="0" w:line="17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42" w:lineRule="exact"/>
        <w:rPr>
          <w:rFonts w:ascii="Times New Roman" w:cs="Times New Roman" w:eastAsia="Times New Roman" w:hAnsi="Times New Roman"/>
          <w:sz w:val="22"/>
          <w:szCs w:val="22"/>
          <w:color w:val="auto"/>
        </w:rPr>
      </w:pPr>
    </w:p>
    <w:p>
      <w:pPr>
        <w:ind w:left="1960" w:right="180" w:hanging="656"/>
        <w:spacing w:after="0" w:line="252" w:lineRule="auto"/>
        <w:tabs>
          <w:tab w:leader="none" w:pos="1957"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 Rule</w:t>
      </w:r>
      <w:r>
        <w:rPr>
          <w:rFonts w:ascii="Times New Roman" w:cs="Times New Roman" w:eastAsia="Times New Roman" w:hAnsi="Times New Roman"/>
          <w:sz w:val="22"/>
          <w:szCs w:val="22"/>
          <w:color w:val="auto"/>
        </w:rPr>
        <w:t>. Except as otherwise provided in this Agreement, the PSUs awarded by this Agreement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scheduled to vest in accordance with the vesting schedule set forth in the notice of grant. PSUs scheduled to vest on a particular date will vest only if the Grantee remains in Continued Service (as defined below) through such date. Subject to the following subsections of this Paragraph 3, should the Grantee’s Continued Service end at any time (the “</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while the PSUs remain outstanding, any unvested PSUs will be immediately cancelled.</w:t>
      </w:r>
    </w:p>
    <w:p>
      <w:pPr>
        <w:spacing w:after="0" w:line="174" w:lineRule="exact"/>
        <w:rPr>
          <w:rFonts w:ascii="Times New Roman" w:cs="Times New Roman" w:eastAsia="Times New Roman" w:hAnsi="Times New Roman"/>
          <w:sz w:val="22"/>
          <w:szCs w:val="22"/>
          <w:color w:val="auto"/>
        </w:rPr>
      </w:pPr>
    </w:p>
    <w:p>
      <w:pPr>
        <w:ind w:left="1960" w:hanging="656"/>
        <w:spacing w:after="0" w:line="252" w:lineRule="auto"/>
        <w:tabs>
          <w:tab w:leader="none" w:pos="1955"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Continued Service due to Death or Disability</w:t>
      </w:r>
      <w:r>
        <w:rPr>
          <w:rFonts w:ascii="Times New Roman" w:cs="Times New Roman" w:eastAsia="Times New Roman" w:hAnsi="Times New Roman"/>
          <w:sz w:val="22"/>
          <w:szCs w:val="22"/>
          <w:color w:val="auto"/>
        </w:rPr>
        <w:t>. If the Grantee’s termination of Continued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Service is due to the Grantee’s death or Disability, the unvested portion of the PSUs shall vest in full on the Termination Date. For the avoidance of doubt, if a Grantee’s Continued Service terminates due to his or her death or Disability and the Grantee is eligible for a Retirement as defined in and in accordance with the requirements set forth in Paragraph 29 of this Agreement, such termination of Continued Service shall be governed by this Paragraph 3(b) and shall not be treated as a Retirement.</w:t>
      </w:r>
    </w:p>
    <w:p>
      <w:pPr>
        <w:spacing w:after="0" w:line="215" w:lineRule="exact"/>
        <w:rPr>
          <w:rFonts w:ascii="Times New Roman" w:cs="Times New Roman" w:eastAsia="Times New Roman" w:hAnsi="Times New Roman"/>
          <w:sz w:val="22"/>
          <w:szCs w:val="22"/>
          <w:color w:val="auto"/>
        </w:rPr>
      </w:pPr>
    </w:p>
    <w:p>
      <w:pPr>
        <w:ind w:left="1960" w:right="120" w:hanging="656"/>
        <w:spacing w:after="0" w:line="251" w:lineRule="auto"/>
        <w:tabs>
          <w:tab w:leader="none" w:pos="1957"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Termination of Continued Service due to Retirement-Eligible Voluntary Resignation During the Year of Grant. </w:t>
      </w:r>
      <w:r>
        <w:rPr>
          <w:rFonts w:ascii="Times New Roman" w:cs="Times New Roman" w:eastAsia="Times New Roman" w:hAnsi="Times New Roman"/>
          <w:sz w:val="22"/>
          <w:szCs w:val="22"/>
          <w:color w:val="auto"/>
        </w:rPr>
        <w:t>If termination of Continued Service is due to a voluntary resignation and the Grantee is eligible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Retirement in accordance with the requirements set forth in Paragraph 29 of this Agreement, occurring during the calendar year in which the grant was made, the unvested portion of the PSUs shall continue to vest after the Termination Date as set forth in the notice of grant, despite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94" w:name="page95"/>
    <w:bookmarkEnd w:id="94"/>
    <w:p>
      <w:pPr>
        <w:ind w:left="840" w:right="40"/>
        <w:spacing w:after="0" w:line="253" w:lineRule="auto"/>
        <w:rPr>
          <w:sz w:val="20"/>
          <w:szCs w:val="20"/>
          <w:color w:val="auto"/>
        </w:rPr>
      </w:pPr>
      <w:r>
        <w:rPr>
          <w:rFonts w:ascii="Times New Roman" w:cs="Times New Roman" w:eastAsia="Times New Roman" w:hAnsi="Times New Roman"/>
          <w:sz w:val="22"/>
          <w:szCs w:val="22"/>
          <w:color w:val="auto"/>
        </w:rPr>
        <w:t>of Continued Service (subject to Paragraph 12(c) hereof); provided, that the target number of PSUs so granted will be reduced to equal the percentage of days in that year in which the Grantee was in Continued Service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for the avoidance of doubt, the target number of PSUs will equal the number specified in the notice of grant, multiplied by the number of days from January 1 for which the Grantee was in Continued Service, divided by 365).</w:t>
      </w:r>
    </w:p>
    <w:p>
      <w:pPr>
        <w:spacing w:after="0" w:line="175" w:lineRule="exact"/>
        <w:rPr>
          <w:sz w:val="20"/>
          <w:szCs w:val="20"/>
          <w:color w:val="auto"/>
        </w:rPr>
      </w:pPr>
    </w:p>
    <w:p>
      <w:pPr>
        <w:ind w:left="840" w:hanging="656"/>
        <w:spacing w:after="0" w:line="249" w:lineRule="auto"/>
        <w:tabs>
          <w:tab w:leader="none" w:pos="83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Continued Service due to Retirement-Eligible Voluntary Resignation After the Year of Grant or Retirement-Eligible Termination without Cause</w:t>
      </w:r>
      <w:r>
        <w:rPr>
          <w:rFonts w:ascii="Times New Roman" w:cs="Times New Roman" w:eastAsia="Times New Roman" w:hAnsi="Times New Roman"/>
          <w:sz w:val="22"/>
          <w:szCs w:val="22"/>
          <w:color w:val="auto"/>
        </w:rPr>
        <w:t>. If the Grantee is eligible for a Retirement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requirements set forth in Paragraph 29 of this Agreement and his or her termination of Continued Service is due to (i) a voluntary resignation occurring any time after the calendar year in which the grant was made, or (ii) an involuntary termination without Cause, other than pursuant to a Qualifying Termination (which treatment is governed exclusively by Paragraph 3(e)), the entire unvested portion of the PSUs shall continue to vest after the Termination Date as set forth in the notice of grant, despite the termination of Continued Service, subject to Paragraph 12(c) hereof.</w:t>
      </w:r>
    </w:p>
    <w:p>
      <w:pPr>
        <w:spacing w:after="0" w:line="208" w:lineRule="exact"/>
        <w:rPr>
          <w:rFonts w:ascii="Times New Roman" w:cs="Times New Roman" w:eastAsia="Times New Roman" w:hAnsi="Times New Roman"/>
          <w:sz w:val="22"/>
          <w:szCs w:val="22"/>
          <w:color w:val="auto"/>
        </w:rPr>
      </w:pPr>
    </w:p>
    <w:p>
      <w:pPr>
        <w:ind w:left="840" w:right="40" w:hanging="656"/>
        <w:spacing w:after="0" w:line="262" w:lineRule="auto"/>
        <w:tabs>
          <w:tab w:leader="none" w:pos="837"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Qualifying Termination following a Change of Control</w:t>
      </w:r>
      <w:r>
        <w:rPr>
          <w:rFonts w:ascii="Times New Roman" w:cs="Times New Roman" w:eastAsia="Times New Roman" w:hAnsi="Times New Roman"/>
          <w:sz w:val="21"/>
          <w:szCs w:val="21"/>
          <w:color w:val="auto"/>
        </w:rPr>
        <w:t>. Unless the Grantee’s employment, severance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other written agreement with the Company provides more favorable treatment, in the event the Company involuntarily terminates Grantee’s Continued Service without Cause (including as a result of the elimination of his or her position) during the twelve (12) months following a Change of Control (“</w:t>
      </w:r>
      <w:r>
        <w:rPr>
          <w:rFonts w:ascii="Times New Roman" w:cs="Times New Roman" w:eastAsia="Times New Roman" w:hAnsi="Times New Roman"/>
          <w:sz w:val="21"/>
          <w:szCs w:val="21"/>
          <w:b w:val="1"/>
          <w:bCs w:val="1"/>
          <w:color w:val="auto"/>
        </w:rPr>
        <w:t>Qualifying Termination</w:t>
      </w:r>
      <w:r>
        <w:rPr>
          <w:rFonts w:ascii="Times New Roman" w:cs="Times New Roman" w:eastAsia="Times New Roman" w:hAnsi="Times New Roman"/>
          <w:sz w:val="21"/>
          <w:szCs w:val="21"/>
          <w:color w:val="auto"/>
        </w:rPr>
        <w:t>”), the unvested portion of the PSUs shall vest on the Termination Date, with the performance goals hereunder being deemed achieved at one-hundred percent (100%) of the target level of performance. For the avoidance of doubt, (i) to the extent that the Grantee is eligible for a Retirement in accordance with the requirements set forth in Paragraph 29 of this Agreement and he or she experiences a Qualifying Termination, the vesting provisions set forth in this Paragraph 3(e) (not Paragraph 3(d)) shall control, and (ii) Section 13.10 of the Plan does not apply to the PSUs granted hereunder.</w:t>
      </w:r>
    </w:p>
    <w:p>
      <w:pPr>
        <w:spacing w:after="0" w:line="171" w:lineRule="exact"/>
        <w:rPr>
          <w:rFonts w:ascii="Times New Roman" w:cs="Times New Roman" w:eastAsia="Times New Roman" w:hAnsi="Times New Roman"/>
          <w:sz w:val="21"/>
          <w:szCs w:val="21"/>
          <w:color w:val="auto"/>
        </w:rPr>
      </w:pPr>
    </w:p>
    <w:p>
      <w:pPr>
        <w:ind w:left="840" w:right="80" w:hanging="656"/>
        <w:spacing w:after="0" w:line="254" w:lineRule="auto"/>
        <w:tabs>
          <w:tab w:leader="none" w:pos="8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Conditions</w:t>
      </w:r>
      <w:r>
        <w:rPr>
          <w:rFonts w:ascii="Times New Roman" w:cs="Times New Roman" w:eastAsia="Times New Roman" w:hAnsi="Times New Roman"/>
          <w:sz w:val="22"/>
          <w:szCs w:val="22"/>
          <w:color w:val="auto"/>
        </w:rPr>
        <w:t>. Notwithstanding anything herein to the contrary, (i) the vesting terms set forth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Paragraph 3 are contingent upon the Grantee being in full compliance with all the terms of this Agreement at the time of vesting, and (ii) in the case of PSUs as to which the Performance Adjustment referred to in the notice of grant has not been made at the Termination Date, the PSUs that will be deemed vested on the Termination Date or otherwise pursuant to this Paragraph 3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100"/>
          </w:cols>
          <w:pgMar w:left="1440" w:top="1422" w:right="359" w:bottom="1440" w:gutter="0" w:footer="0" w:header="0"/>
        </w:sectPr>
      </w:pPr>
    </w:p>
    <w:bookmarkStart w:id="95" w:name="page96"/>
    <w:bookmarkEnd w:id="95"/>
    <w:p>
      <w:pPr>
        <w:ind w:left="1920"/>
        <w:spacing w:after="0"/>
        <w:rPr>
          <w:sz w:val="20"/>
          <w:szCs w:val="20"/>
          <w:color w:val="auto"/>
        </w:rPr>
      </w:pPr>
      <w:r>
        <w:rPr>
          <w:rFonts w:ascii="Times New Roman" w:cs="Times New Roman" w:eastAsia="Times New Roman" w:hAnsi="Times New Roman"/>
          <w:sz w:val="22"/>
          <w:szCs w:val="22"/>
          <w:color w:val="auto"/>
        </w:rPr>
        <w:t>determined, and shall vest, when such Performance Adjustment has occurred.</w:t>
      </w:r>
    </w:p>
    <w:p>
      <w:pPr>
        <w:spacing w:after="0" w:line="220" w:lineRule="exact"/>
        <w:rPr>
          <w:sz w:val="20"/>
          <w:szCs w:val="20"/>
          <w:color w:val="auto"/>
        </w:rPr>
      </w:pPr>
    </w:p>
    <w:p>
      <w:pPr>
        <w:ind w:left="-40" w:firstLine="656"/>
        <w:spacing w:after="0" w:line="247" w:lineRule="auto"/>
        <w:tabs>
          <w:tab w:leader="none" w:pos="125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after Vesting</w:t>
      </w:r>
      <w:r>
        <w:rPr>
          <w:rFonts w:ascii="Times New Roman" w:cs="Times New Roman" w:eastAsia="Times New Roman" w:hAnsi="Times New Roman"/>
          <w:sz w:val="22"/>
          <w:szCs w:val="22"/>
          <w:color w:val="auto"/>
        </w:rPr>
        <w:t>. Any PSUs that vest in accordance with Paragraph 3 will be released to the Grantee (or in the event of the Grantee’s death, to his or her estate) in Shares as soon as practicable following the date of vesting, subject to Paragraph 7, but in no event later than the applicable two and one-half (2-½) month period of the “short-term deferral” rule set forth in the Section 1.409A-1(b)(4) of the Treasury Regulations issued under Section 409A. Notwithstanding the foregoing, if the PSUs are “deferred compensation” within the meaning of Section 409A, the vested PSUs will be released to the Grantee (or in the event of the Grantee’s death, to his or her estate) in Shares as soon as practicable following the date of vesting, subject to Paragraph 7, but in no event later than the end of the calendar year that includes the date of vesting or, if later, the fifteen (15th) day of the third (3rd) calendar month following the date of vesting (provided that the Grantee will not be permitted, directly or indirectly, to designate the taxable year of the payment). Further, if some or all of the PSUs that are “deferred compensation” within the meaning of Section 409A vest on account of the Grantee’s termination of Continued Service (other than due to death) in accordance with Paragraph 3, the PSUs that vest on account of the Grantee’s termination of Continued Service will not be considered due or payable until the Grantee has a “separation from service” within the meaning of Section 409A. In addition, if the Grantee is a “specified employee” within the meaning of Section 409A at the time of the Grantee’s separation from service (other than due to death), then any accelerated PSUs will be paid to the Grantee no earlier than six (6) months and one (1) day following the date of the Grantee’s separation from service unless the Grantee dies following his or her separation from service, in which case, the PSUs will be paid to the Grantee’s estate as soon as practicable following his or her death, subject to Paragraph 7.</w:t>
      </w:r>
    </w:p>
    <w:p>
      <w:pPr>
        <w:spacing w:after="0" w:line="190" w:lineRule="exact"/>
        <w:rPr>
          <w:rFonts w:ascii="Times New Roman" w:cs="Times New Roman" w:eastAsia="Times New Roman" w:hAnsi="Times New Roman"/>
          <w:sz w:val="22"/>
          <w:szCs w:val="22"/>
          <w:color w:val="auto"/>
        </w:rPr>
      </w:pPr>
    </w:p>
    <w:p>
      <w:pPr>
        <w:ind w:left="-40" w:right="160" w:firstLine="656"/>
        <w:spacing w:after="0" w:line="253" w:lineRule="auto"/>
        <w:tabs>
          <w:tab w:leader="none" w:pos="125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Subject to Paragraphs 3(c), 3(d) and 3(e) and notwithstanding any contrary provision of this Agreement, the balance of the PSUs that have not vested pursuant to Paragraph 3 at the time the Grantee ceases to be in Continued Service will be forfeited and automatically transferred to and reacquired by the Company at no cost to the Company. The Grantee shall not be entitled to a refund of any of the price paid for the PSUs forfeited to the Company pursuant to this Paragraph 5.</w:t>
      </w:r>
    </w:p>
    <w:p>
      <w:pPr>
        <w:spacing w:after="0" w:line="178" w:lineRule="exact"/>
        <w:rPr>
          <w:rFonts w:ascii="Times New Roman" w:cs="Times New Roman" w:eastAsia="Times New Roman" w:hAnsi="Times New Roman"/>
          <w:sz w:val="22"/>
          <w:szCs w:val="22"/>
          <w:color w:val="auto"/>
        </w:rPr>
      </w:pPr>
    </w:p>
    <w:p>
      <w:pPr>
        <w:ind w:left="-40" w:firstLine="656"/>
        <w:spacing w:after="0" w:line="265" w:lineRule="auto"/>
        <w:tabs>
          <w:tab w:leader="none" w:pos="125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of Grantee</w:t>
      </w:r>
      <w:r>
        <w:rPr>
          <w:rFonts w:ascii="Times New Roman" w:cs="Times New Roman" w:eastAsia="Times New Roman" w:hAnsi="Times New Roman"/>
          <w:sz w:val="21"/>
          <w:szCs w:val="21"/>
          <w:color w:val="auto"/>
        </w:rPr>
        <w:t>. Any distribution or delivery to be made to the Grantee under this Agreement will, if the Grantee is then deceased, be made to the administrator or executor of the Grantee’s estate (or such other person to whom the PSUs are transferred pursuant to the Grantee’s will or in accordance with the laws of descent and distribution). Any such transferee must furnish the Company (a) written notice of his or her status as a transferee, (b) evidence satisfactory to the Company to establish the validity of the transfer of these PSUs and compliance with any laws or regulations pertaining to such transfer, and (c) written acceptance of the terms and conditions of this Performance Stock Unit grant as set forth in this Agreement.</w:t>
      </w:r>
    </w:p>
    <w:p>
      <w:pPr>
        <w:spacing w:after="0" w:line="168" w:lineRule="exact"/>
        <w:rPr>
          <w:rFonts w:ascii="Times New Roman" w:cs="Times New Roman" w:eastAsia="Times New Roman" w:hAnsi="Times New Roman"/>
          <w:sz w:val="21"/>
          <w:szCs w:val="21"/>
          <w:color w:val="auto"/>
        </w:rPr>
      </w:pPr>
    </w:p>
    <w:p>
      <w:pPr>
        <w:ind w:left="-40" w:right="600" w:firstLine="656"/>
        <w:spacing w:after="0" w:line="263" w:lineRule="auto"/>
        <w:tabs>
          <w:tab w:leader="none" w:pos="125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of Taxes</w:t>
      </w:r>
      <w:r>
        <w:rPr>
          <w:rFonts w:ascii="Times New Roman" w:cs="Times New Roman" w:eastAsia="Times New Roman" w:hAnsi="Times New Roman"/>
          <w:sz w:val="22"/>
          <w:szCs w:val="22"/>
          <w:color w:val="auto"/>
        </w:rPr>
        <w:t>. When the Shares are issued as payment for vested PSUs, the Grantee will recognize immediate U.S. taxable income if the Grantee is a U.S. taxpayer. If the Grantee is a non-U.S. taxpayer, the Grantee may be subject to applicable taxes in his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60"/>
          </w:cols>
          <w:pgMar w:left="360" w:top="1422" w:right="379" w:bottom="1440" w:gutter="0" w:footer="0" w:header="0"/>
        </w:sectPr>
      </w:pPr>
    </w:p>
    <w:bookmarkStart w:id="96" w:name="page97"/>
    <w:bookmarkEnd w:id="96"/>
    <w:p>
      <w:pPr>
        <w:spacing w:after="0" w:line="19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jurisdiction. The Company (or the employing parent of the Company or Subsidiary) will withhold a portion of the Shares otherwise issuable in payment for vested PSUs that have an aggregate market value sufficient to pay the federal, state and local income, employment and any other applicable taxes required to be withheld by the Company (or the employing parent of the Company or Subsidiary) with respect to the Shares, not to exceed the amount determined by using the maximum federal, state or local marginal income tax rates applicable to the Grantee or the Company, as applicable, with respect to the Shares on the date that the amount of tax to be withheld or remitted is to be determined. No fractional Shares will be withheld or issued pursuant to the grant of PSUs and the issuance of Shares thereunder. The Company (or the employing parent of the Company or Subsidiary) may instead, in its discretion, withhold an amount necessary to pay the applicable taxes from the Grantee’s paycheck, with no withholding of Shares. In the event the withholding requirements are not satisfied through the withholding of Shares (or, through the Grantee’s paycheck, as indicated above), no payment will be made to the Grantee (or his or her estate) for PSUs unless and until satisfactory arrangements (as determined by the Committee) have been made by the Grantee with respect to the payment of any income and other taxes which the Company determines must be withheld or collected with respect to such PSUs. By accepting this Award, the Grantee expressly consents to the withholding of Shares and to any cash or Share withholding as provided for in this Paragraph 7. All income and other taxes related to the Performance Stock Unit award and any Shares delivered in payment thereof are the sole responsibility of the Grantee. In no event will the Company reimburse the Grantee for any taxes or other costs that may be imposed on the Grantee as result of Section 409A.</w:t>
      </w:r>
    </w:p>
    <w:p>
      <w:pPr>
        <w:spacing w:after="0" w:line="175" w:lineRule="exact"/>
        <w:rPr>
          <w:sz w:val="20"/>
          <w:szCs w:val="20"/>
          <w:color w:val="auto"/>
        </w:rPr>
      </w:pPr>
    </w:p>
    <w:p>
      <w:pPr>
        <w:ind w:right="40" w:firstLine="656"/>
        <w:spacing w:after="0" w:line="263" w:lineRule="auto"/>
        <w:tabs>
          <w:tab w:leader="none" w:pos="129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Stockholder</w:t>
      </w:r>
      <w:r>
        <w:rPr>
          <w:rFonts w:ascii="Times New Roman" w:cs="Times New Roman" w:eastAsia="Times New Roman" w:hAnsi="Times New Roman"/>
          <w:sz w:val="21"/>
          <w:szCs w:val="21"/>
          <w:color w:val="auto"/>
        </w:rPr>
        <w:t>. Neither the Grantee nor any person claiming under or through the Grantee shall have any of the rights or privileges of a stockholder of the Company in respect of any Shares deliverable hereunder unless and until certificates representing such Shares (which may be in book entry form) shall have been issued, recorded on the records of the Company or its transfer agents or registrars, and delivered to the Grantee (including through electronic delivery to a brokerage account). Notwithstanding any contrary provisions of this Agreement, any quarterly or other regular, periodic dividends or distributions (as determined by the Company) paid on Shares will accrue with respect to unvested PSUs will be subject to the same forfeiture provisions (if any), and be paid out at the same time or time(s), as the underlying PSUs on which such dividends or other distributions have accrued. After such issuance, recordation and delivery, the Grantee will have all the rights of a stockholder of the Company with respect to voting such Shares and receipt of dividends and distributions on such Shares.</w:t>
      </w:r>
    </w:p>
    <w:p>
      <w:pPr>
        <w:spacing w:after="0" w:line="169" w:lineRule="exact"/>
        <w:rPr>
          <w:rFonts w:ascii="Times New Roman" w:cs="Times New Roman" w:eastAsia="Times New Roman" w:hAnsi="Times New Roman"/>
          <w:sz w:val="21"/>
          <w:szCs w:val="21"/>
          <w:color w:val="auto"/>
        </w:rPr>
      </w:pPr>
    </w:p>
    <w:p>
      <w:pPr>
        <w:jc w:val="both"/>
        <w:ind w:right="60" w:firstLine="656"/>
        <w:spacing w:after="0" w:line="265" w:lineRule="auto"/>
        <w:tabs>
          <w:tab w:leader="none" w:pos="129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Effect on Employment or Service</w:t>
      </w:r>
      <w:r>
        <w:rPr>
          <w:rFonts w:ascii="Times New Roman" w:cs="Times New Roman" w:eastAsia="Times New Roman" w:hAnsi="Times New Roman"/>
          <w:sz w:val="21"/>
          <w:szCs w:val="21"/>
          <w:color w:val="auto"/>
        </w:rPr>
        <w:t>. The Grantee’s employment with the Company and any parent of the Company or Subsidiary is on an at-will basis only, subject to the provisions of applicable law. Accordingly, subject to any written, express employment contract with the Grantee, nothing in this Agreement or the Plan shall confer upon the Grantee any right to continue to be employed by the Company or the employing parent or Subsidiary or shall interfere with or restrict in any way the rights of the Company or the employing parent of the Company or Subsidiary, which are hereby expressly reserved, to terminate the employment of the Grantee at any time for any reason whatsoever, with or without good cause. Such reservation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40"/>
          </w:cols>
          <w:pgMar w:left="320" w:top="1440" w:right="439" w:bottom="1440" w:gutter="0" w:footer="0" w:header="0"/>
        </w:sectPr>
      </w:pPr>
    </w:p>
    <w:bookmarkStart w:id="97" w:name="page98"/>
    <w:bookmarkEnd w:id="97"/>
    <w:p>
      <w:pPr>
        <w:spacing w:after="0" w:line="19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of rights can be modified only in an express written contract executed by a duly authorized officer of the Company or the parent or Subsidiary employing the Grantee.</w:t>
      </w:r>
    </w:p>
    <w:p>
      <w:pPr>
        <w:spacing w:after="0" w:line="158" w:lineRule="exact"/>
        <w:rPr>
          <w:sz w:val="20"/>
          <w:szCs w:val="20"/>
          <w:color w:val="auto"/>
        </w:rPr>
      </w:pPr>
    </w:p>
    <w:p>
      <w:pPr>
        <w:ind w:right="40" w:firstLine="656"/>
        <w:spacing w:after="0" w:line="263" w:lineRule="auto"/>
        <w:tabs>
          <w:tab w:leader="none" w:pos="1296"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Agreement shall be addressed to the Company, in care of its Secretary at the Company’s headquarters, P.O. Box 10212, 56 Top Gallant Road, Stamford, CT 06902-7700, or at such other address as the Company may hereafter designate in writing.</w:t>
      </w:r>
    </w:p>
    <w:p>
      <w:pPr>
        <w:spacing w:after="0" w:line="194" w:lineRule="exact"/>
        <w:rPr>
          <w:rFonts w:ascii="Times New Roman" w:cs="Times New Roman" w:eastAsia="Times New Roman" w:hAnsi="Times New Roman"/>
          <w:sz w:val="22"/>
          <w:szCs w:val="22"/>
          <w:color w:val="auto"/>
        </w:rPr>
      </w:pPr>
    </w:p>
    <w:p>
      <w:pPr>
        <w:ind w:firstLine="656"/>
        <w:spacing w:after="0" w:line="259" w:lineRule="auto"/>
        <w:tabs>
          <w:tab w:leader="none" w:pos="1288"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is Not Transferable</w:t>
      </w:r>
      <w:r>
        <w:rPr>
          <w:rFonts w:ascii="Times New Roman" w:cs="Times New Roman" w:eastAsia="Times New Roman" w:hAnsi="Times New Roman"/>
          <w:sz w:val="21"/>
          <w:szCs w:val="21"/>
          <w:color w:val="auto"/>
        </w:rPr>
        <w:t>. Except to the limited extent provided in Paragraph 6 above, this grant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grant, or of any right or privilege conferred hereby, or upon any attempted sale under any execution, attachment or similar process, this grant and the rights and privileges conferred hereby immediately shall become null and void. Notwithstanding the preceding, the Grantee may transfer (not for consideration and for bona fide estate planning purposes) the Performance Stock Units awarded under this Agreement to a revocable estate planning trust that is established solely for the benefit of Grantee and his or her immediate family. Any such transfer will be permitted only if it is in compliance with such rules and procedures as the Company may establish from time to time. Among other things, Grantee must acknowledge and agree that (a) for U.S. income tax purposes, all taxable income from the Performance Stock Units will be reported to Grantee alone, (b) if Grantee proposes to change the nature or character of the transferee trust, Grantee first must inform the Company and the Company may require that the Performance Stock Units be transferred back to Grantee alone, and</w:t>
      </w:r>
    </w:p>
    <w:p>
      <w:pPr>
        <w:spacing w:after="0" w:line="1"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additional other or further transfers of the Performance Stock Units will be permitted under any circumstance.</w:t>
      </w:r>
    </w:p>
    <w:p>
      <w:pPr>
        <w:spacing w:after="0" w:line="218" w:lineRule="exact"/>
        <w:rPr>
          <w:rFonts w:ascii="Times New Roman" w:cs="Times New Roman" w:eastAsia="Times New Roman" w:hAnsi="Times New Roman"/>
          <w:sz w:val="22"/>
          <w:szCs w:val="22"/>
          <w:color w:val="auto"/>
        </w:rPr>
      </w:pPr>
    </w:p>
    <w:p>
      <w:pPr>
        <w:ind w:firstLine="656"/>
        <w:spacing w:after="0" w:line="252" w:lineRule="auto"/>
        <w:tabs>
          <w:tab w:leader="none" w:pos="129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(a)(i) “</w:t>
      </w:r>
      <w:r>
        <w:rPr>
          <w:rFonts w:ascii="Times New Roman" w:cs="Times New Roman" w:eastAsia="Times New Roman" w:hAnsi="Times New Roman"/>
          <w:sz w:val="22"/>
          <w:szCs w:val="22"/>
          <w:b w:val="1"/>
          <w:bCs w:val="1"/>
          <w:color w:val="auto"/>
        </w:rPr>
        <w:t>Competitive Acts</w:t>
      </w:r>
      <w:r>
        <w:rPr>
          <w:rFonts w:ascii="Times New Roman" w:cs="Times New Roman" w:eastAsia="Times New Roman" w:hAnsi="Times New Roman"/>
          <w:sz w:val="22"/>
          <w:szCs w:val="22"/>
          <w:color w:val="auto"/>
        </w:rPr>
        <w:t>” shall mean: (A) the development, production, marketing or selling of (or assisting others to develop, produce, market or sell): (x) syndicated research that competes with the Company; or (y) a product or service which is competitive with the existing or planned products or services of the Company with which Grantee was involved or managed at any time during the last twenty-four (24) months of the Grantee’s Continued Service; and/or (B) the direct or indirect provision of services to or solicitation of the Company’s clients or known prospects with whom Grantee had contact, managed, or became aware of as a result of being employed by the Company, for the purposes of developing, producing, marketing or selling such competitive products or services.</w:t>
      </w:r>
    </w:p>
    <w:p>
      <w:pPr>
        <w:spacing w:after="0" w:line="210" w:lineRule="exact"/>
        <w:rPr>
          <w:sz w:val="20"/>
          <w:szCs w:val="20"/>
          <w:color w:val="auto"/>
        </w:rPr>
      </w:pPr>
    </w:p>
    <w:p>
      <w:pPr>
        <w:ind w:right="60" w:firstLine="656"/>
        <w:spacing w:after="0" w:line="251" w:lineRule="auto"/>
        <w:tabs>
          <w:tab w:leader="none" w:pos="112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understands and agrees that the Company’s business is global in nature and that its clients are located throughout the world; therefore, a territorial limitation on the non-competition covenants set forth in this Paragraph 12 would not allow the Company to adequately protect its legitimate business interests, and the absence of such a limitation is entirely reasonable under these circumstances. In addition, Grantee agrees that the provisions of this Paragraph 12 are reasonable to protect and preserve the Company’s legitimate business interests, including the protection of the Company’s Confidential Information (as defined below) and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40"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2"/>
          <w:szCs w:val="22"/>
          <w:color w:val="auto"/>
        </w:rPr>
        <w:t>substantial investment made to develop and retain its Confidential Information, client base, accounts and related goodwill.</w:t>
      </w:r>
    </w:p>
    <w:p>
      <w:pPr>
        <w:spacing w:after="0" w:line="247" w:lineRule="exact"/>
        <w:rPr>
          <w:sz w:val="20"/>
          <w:szCs w:val="20"/>
          <w:color w:val="auto"/>
        </w:rPr>
      </w:pPr>
    </w:p>
    <w:p>
      <w:pPr>
        <w:ind w:left="1200" w:hanging="544"/>
        <w:spacing w:after="0"/>
        <w:tabs>
          <w:tab w:leader="none" w:pos="1200"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in its sole discretion, waive any portion of the Grantee’s obligations contained in this Paragraph</w:t>
      </w:r>
    </w:p>
    <w:p>
      <w:pPr>
        <w:spacing w:after="0" w:line="39" w:lineRule="exact"/>
        <w:rPr>
          <w:rFonts w:ascii="Times New Roman" w:cs="Times New Roman" w:eastAsia="Times New Roman" w:hAnsi="Times New Roman"/>
          <w:sz w:val="21"/>
          <w:szCs w:val="21"/>
          <w:color w:val="auto"/>
        </w:rPr>
      </w:pPr>
    </w:p>
    <w:p>
      <w:pPr>
        <w:ind w:right="20" w:firstLine="8"/>
        <w:spacing w:after="0" w:line="261" w:lineRule="auto"/>
        <w:tabs>
          <w:tab w:leader="none" w:pos="32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waiver shall be valid unless directly provided to Grantee, in writing, by the Company’s General Counsel or his or her designee.</w:t>
      </w:r>
    </w:p>
    <w:p>
      <w:pPr>
        <w:spacing w:after="0" w:line="195" w:lineRule="exact"/>
        <w:rPr>
          <w:rFonts w:ascii="Times New Roman" w:cs="Times New Roman" w:eastAsia="Times New Roman" w:hAnsi="Times New Roman"/>
          <w:sz w:val="22"/>
          <w:szCs w:val="22"/>
          <w:color w:val="auto"/>
        </w:rPr>
      </w:pPr>
    </w:p>
    <w:p>
      <w:pPr>
        <w:ind w:firstLine="656"/>
        <w:spacing w:after="0" w:line="250" w:lineRule="auto"/>
        <w:tabs>
          <w:tab w:leader="none" w:pos="111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for a period of two (2) years following the termination of his or her Continued Service for any reason whatsoever (the “</w:t>
      </w:r>
      <w:r>
        <w:rPr>
          <w:rFonts w:ascii="Times New Roman" w:cs="Times New Roman" w:eastAsia="Times New Roman" w:hAnsi="Times New Roman"/>
          <w:sz w:val="22"/>
          <w:szCs w:val="22"/>
          <w:b w:val="1"/>
          <w:bCs w:val="1"/>
          <w:color w:val="auto"/>
        </w:rPr>
        <w:t>Restricted Period</w:t>
      </w:r>
      <w:r>
        <w:rPr>
          <w:rFonts w:ascii="Times New Roman" w:cs="Times New Roman" w:eastAsia="Times New Roman" w:hAnsi="Times New Roman"/>
          <w:sz w:val="22"/>
          <w:szCs w:val="22"/>
          <w:color w:val="auto"/>
        </w:rPr>
        <w:t>”), the Grantee will not, on his or her own behalf or on behalf of any other person or entity (whether as a consultant, analyst, sales person, independent contractor, independent business venturer, partner, member, employee or otherwise), directly or indirectly: (i) engage in any Competitive Acts; and/or (ii) entice, encourage, cause or invite any of the Company’s clients, known prospects, and vendors to discontinue, diminish, or otherwise adversely modify the business done with the Company, or otherwise interfere with the relationship between the Company and its clients, known prospects, and vendors.</w:t>
      </w:r>
    </w:p>
    <w:p>
      <w:pPr>
        <w:spacing w:after="0" w:line="207" w:lineRule="exact"/>
        <w:rPr>
          <w:rFonts w:ascii="Times New Roman" w:cs="Times New Roman" w:eastAsia="Times New Roman" w:hAnsi="Times New Roman"/>
          <w:sz w:val="22"/>
          <w:szCs w:val="22"/>
          <w:color w:val="auto"/>
        </w:rPr>
      </w:pPr>
    </w:p>
    <w:p>
      <w:pPr>
        <w:ind w:right="20" w:firstLine="656"/>
        <w:spacing w:after="0" w:line="239" w:lineRule="auto"/>
        <w:tabs>
          <w:tab w:leader="none" w:pos="1104"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in the event of the Grantee’s termination of Continued Service due to either a Retirement-eligible involuntary termination without Cause or a Retirement-eligible voluntary resignation (whether during or after the year of grant), as described in Paragraph 3(c) or Paragraph 3(d), as applicable (a “</w:t>
      </w:r>
      <w:r>
        <w:rPr>
          <w:rFonts w:ascii="Times New Roman" w:cs="Times New Roman" w:eastAsia="Times New Roman" w:hAnsi="Times New Roman"/>
          <w:sz w:val="22"/>
          <w:szCs w:val="22"/>
          <w:b w:val="1"/>
          <w:bCs w:val="1"/>
          <w:color w:val="auto"/>
        </w:rPr>
        <w:t>Retirement-Eligible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Separation</w:t>
      </w:r>
      <w:r>
        <w:rPr>
          <w:rFonts w:ascii="Times New Roman" w:cs="Times New Roman" w:eastAsia="Times New Roman" w:hAnsi="Times New Roman"/>
          <w:sz w:val="22"/>
          <w:szCs w:val="22"/>
          <w:color w:val="auto"/>
        </w:rPr>
        <w:t>”), prior to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anniversary of the Grant Date, the Restricted Period shall initially last for two (2) years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such termination of Continued Service (the “</w:t>
      </w:r>
      <w:r>
        <w:rPr>
          <w:rFonts w:ascii="Times New Roman" w:cs="Times New Roman" w:eastAsia="Times New Roman" w:hAnsi="Times New Roman"/>
          <w:sz w:val="22"/>
          <w:szCs w:val="22"/>
          <w:b w:val="1"/>
          <w:bCs w:val="1"/>
          <w:color w:val="auto"/>
        </w:rPr>
        <w:t>Initial Retirement Restricted Period</w:t>
      </w:r>
      <w:r>
        <w:rPr>
          <w:rFonts w:ascii="Times New Roman" w:cs="Times New Roman" w:eastAsia="Times New Roman" w:hAnsi="Times New Roman"/>
          <w:sz w:val="22"/>
          <w:szCs w:val="22"/>
          <w:color w:val="auto"/>
        </w:rPr>
        <w:t>”); provided, that in order to receive vesting of any portion of the PSUs following the end of the Initial Retirement Restricted Period, the Grantee must comply with the following (in any event, subject to continued compliance with the terms of the Plan and this Agreement):</w:t>
      </w:r>
    </w:p>
    <w:p>
      <w:pPr>
        <w:ind w:firstLine="1304"/>
        <w:spacing w:after="0" w:line="246" w:lineRule="auto"/>
        <w:tabs>
          <w:tab w:leader="none" w:pos="1932"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Post-Restriction Tranche</w:t>
      </w:r>
      <w:r>
        <w:rPr>
          <w:rFonts w:ascii="Times New Roman" w:cs="Times New Roman" w:eastAsia="Times New Roman" w:hAnsi="Times New Roman"/>
          <w:sz w:val="22"/>
          <w:szCs w:val="22"/>
          <w:color w:val="auto"/>
        </w:rPr>
        <w:t xml:space="preserve">. Provide the Company’s Capital Appreciation Team (via email at </w:t>
      </w:r>
      <w:r>
        <w:rPr>
          <w:rFonts w:ascii="Times New Roman" w:cs="Times New Roman" w:eastAsia="Times New Roman" w:hAnsi="Times New Roman"/>
          <w:sz w:val="22"/>
          <w:szCs w:val="22"/>
          <w:u w:val="single" w:color="auto"/>
          <w:color w:val="0000FF"/>
        </w:rPr>
        <w:t>AskHR@Gartner.com</w:t>
      </w:r>
      <w:r>
        <w:rPr>
          <w:rFonts w:ascii="Times New Roman" w:cs="Times New Roman" w:eastAsia="Times New Roman" w:hAnsi="Times New Roman"/>
          <w:sz w:val="22"/>
          <w:szCs w:val="22"/>
          <w:color w:val="000000"/>
        </w:rPr>
        <w:t>) and the Company’s General Counsel with (x) no less than five (5) business days prior to the expiration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Initial Retirement Restricted Period, a written acknowledgment that, in consideration for vesting of the first tranche of the PSUs that is scheduled to vest after the Initial Retirement Restricted Period (the “</w:t>
      </w:r>
      <w:r>
        <w:rPr>
          <w:rFonts w:ascii="Times New Roman" w:cs="Times New Roman" w:eastAsia="Times New Roman" w:hAnsi="Times New Roman"/>
          <w:sz w:val="22"/>
          <w:szCs w:val="22"/>
          <w:b w:val="1"/>
          <w:bCs w:val="1"/>
          <w:color w:val="000000"/>
        </w:rPr>
        <w:t>Initial Post-Restriction Tranche</w:t>
      </w:r>
      <w:r>
        <w:rPr>
          <w:rFonts w:ascii="Times New Roman" w:cs="Times New Roman" w:eastAsia="Times New Roman" w:hAnsi="Times New Roman"/>
          <w:sz w:val="22"/>
          <w:szCs w:val="22"/>
          <w:color w:val="000000"/>
        </w:rPr>
        <w:t>”), he or she is electing to, and shall, be subject to the provisions of this Paragraph 12 through the applicable vesting date for the Initial Post-Restriction Tranche (and in such case, the Restricted Period shall be extended through such vesting date), and (y) no less than five (5) business days prior to the applicable vesting date for the Initial Post-Restriction Tranche, a written confirmation that he or she has complied with the provisions of this Paragraph 12 from the end of the Initial Retirement Restricted Period and will comply with such provisions through the applicable vesting date for the Initial Post-Restriction Tranche. In the event that the Grantee does not timely provide either or both of such notices, any remaining unvested portion of the PSUs will be immediately cancelled upon the expiration of the applicable deadline set forth in this Paragraph 12(c)(i).</w:t>
      </w:r>
    </w:p>
    <w:p>
      <w:pPr>
        <w:spacing w:after="0" w:line="188" w:lineRule="exact"/>
        <w:rPr>
          <w:rFonts w:ascii="Times New Roman" w:cs="Times New Roman" w:eastAsia="Times New Roman" w:hAnsi="Times New Roman"/>
          <w:sz w:val="22"/>
          <w:szCs w:val="22"/>
          <w:color w:val="auto"/>
        </w:rPr>
      </w:pPr>
    </w:p>
    <w:p>
      <w:pPr>
        <w:ind w:right="260" w:firstLine="1304"/>
        <w:spacing w:after="0" w:line="284" w:lineRule="auto"/>
        <w:tabs>
          <w:tab w:leader="none" w:pos="1938"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 Post-Restriction Tranche</w:t>
      </w:r>
      <w:r>
        <w:rPr>
          <w:rFonts w:ascii="Times New Roman" w:cs="Times New Roman" w:eastAsia="Times New Roman" w:hAnsi="Times New Roman"/>
          <w:sz w:val="22"/>
          <w:szCs w:val="22"/>
          <w:color w:val="auto"/>
        </w:rPr>
        <w:t>. To the extent that any portion of the PSUs remains unvested following vesting of the Initial Post-Restriction Tranche, provide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99" w:name="page100"/>
    <w:bookmarkEnd w:id="99"/>
    <w:p>
      <w:pPr>
        <w:spacing w:after="0" w:line="248" w:lineRule="auto"/>
        <w:rPr>
          <w:sz w:val="20"/>
          <w:szCs w:val="20"/>
          <w:color w:val="auto"/>
        </w:rPr>
      </w:pPr>
      <w:r>
        <w:rPr>
          <w:rFonts w:ascii="Times New Roman" w:cs="Times New Roman" w:eastAsia="Times New Roman" w:hAnsi="Times New Roman"/>
          <w:sz w:val="22"/>
          <w:szCs w:val="22"/>
          <w:color w:val="auto"/>
        </w:rPr>
        <w:t xml:space="preserve">Company’s Capital Appreciation Team (via email at </w:t>
      </w:r>
      <w:r>
        <w:rPr>
          <w:rFonts w:ascii="Times New Roman" w:cs="Times New Roman" w:eastAsia="Times New Roman" w:hAnsi="Times New Roman"/>
          <w:sz w:val="22"/>
          <w:szCs w:val="22"/>
          <w:u w:val="single" w:color="auto"/>
          <w:color w:val="0000FF"/>
        </w:rPr>
        <w:t>AskHR@Gartner.com</w:t>
      </w:r>
      <w:r>
        <w:rPr>
          <w:rFonts w:ascii="Times New Roman" w:cs="Times New Roman" w:eastAsia="Times New Roman" w:hAnsi="Times New Roman"/>
          <w:sz w:val="22"/>
          <w:szCs w:val="22"/>
          <w:color w:val="auto"/>
        </w:rPr>
        <w:t>) and the Company’s General Counsel with (x) no less than five (5) business days prior to the vesting of the Initial Post-Restriction Tranche, a written acknowledgment that, in consideration for the final tranche of the PSUs that is scheduled to vest after the Initial Retirement Restricted Period (the “</w:t>
      </w:r>
      <w:r>
        <w:rPr>
          <w:rFonts w:ascii="Times New Roman" w:cs="Times New Roman" w:eastAsia="Times New Roman" w:hAnsi="Times New Roman"/>
          <w:sz w:val="22"/>
          <w:szCs w:val="22"/>
          <w:b w:val="1"/>
          <w:bCs w:val="1"/>
          <w:color w:val="auto"/>
        </w:rPr>
        <w:t>Second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Post-Restriction Tranche</w:t>
      </w:r>
      <w:r>
        <w:rPr>
          <w:rFonts w:ascii="Times New Roman" w:cs="Times New Roman" w:eastAsia="Times New Roman" w:hAnsi="Times New Roman"/>
          <w:sz w:val="22"/>
          <w:szCs w:val="22"/>
          <w:color w:val="auto"/>
        </w:rPr>
        <w:t>”), he or she is electing to, and shall, be subject to the provisions of this Paragraph 12 through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vesting date for the Second Post-Restriction Tranche (and in such case, the Restricted Period shall be extended through such vesting date), and (y) no less than five (5) business days prior to the applicable vesting date for the Second Post-Restriction Tranche, a written confirmation that he or she has complied with the provisions of this Paragraph 12 from the end of the vesting date for the Initial Post-Restriction Tranche and will comply with such provisions through the vesting date for the Second Post-Restriction Tranche. In the event that the Grantee does not timely provide either or both of such notices, any remaining unvested portion of the PSUs will be immediately cancelled upon the expiration of the applicable deadline set forth in this Paragraph 12(c) (ii).</w:t>
      </w:r>
    </w:p>
    <w:p>
      <w:pPr>
        <w:spacing w:after="0" w:line="189" w:lineRule="exact"/>
        <w:rPr>
          <w:sz w:val="20"/>
          <w:szCs w:val="20"/>
          <w:color w:val="auto"/>
        </w:rPr>
      </w:pPr>
    </w:p>
    <w:p>
      <w:pPr>
        <w:ind w:firstLine="1304"/>
        <w:spacing w:after="0" w:line="248" w:lineRule="auto"/>
        <w:tabs>
          <w:tab w:leader="none" w:pos="1944"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Illustration</w:t>
      </w:r>
      <w:r>
        <w:rPr>
          <w:rFonts w:ascii="Times New Roman" w:cs="Times New Roman" w:eastAsia="Times New Roman" w:hAnsi="Times New Roman"/>
          <w:sz w:val="22"/>
          <w:szCs w:val="22"/>
          <w:color w:val="auto"/>
        </w:rPr>
        <w:t>. For illustrative purposes only, if the Grantee were to incur a termination of Continued Service due to a Retirement-Eligible Separation three months after the Grant Date, (x) the Initial Retirement Restricted Period would extend to the date that is two years and three months following the Grant Date (and the first two tranches of the PSUs would vest during the Initial Retirement Restricted Period on the first and second anniversaries of the Grant Date, subject to the Grantee’s continued compliance with the terms of this Agreement), (y) in order to receive vesting of the Initial Post-Restriction Tranche, the Grantee would be required to (A) give written acknowledgment of continued applicability of this Paragraph 12 through the third anniversary of the Grant Date (i.e., the vesting date for the Initial Post-Restriction Tranche), no less than five business days prior to expiration of the Initial Retirement Restricted Period, and (B) give written confirmation of compliance with this Paragraph 12 through the third anniversary of the Grant Date, no less than five business days prior to the third anniversary of the Grant Date, and (z) in order to receive vesting of the Second Post-Restriction Tranche, the Grantee would be required to (A) give written acknowledgment of continued applicability of this Paragraph 12 through the fourth anniversary of the Grant Date (i.e., the vesting date for the Second Post-Restriction Tranche), no less than five business days prior to the third anniversary of the Grant Date, and (B) give written confirmation of compliance with this Paragraph 12 through the fourth anniversary of the Grant Date, no less than five business days prior to the fourth anniversary of the Grant Date.</w:t>
      </w:r>
    </w:p>
    <w:p>
      <w:pPr>
        <w:spacing w:after="0" w:line="187" w:lineRule="exact"/>
        <w:rPr>
          <w:rFonts w:ascii="Times New Roman" w:cs="Times New Roman" w:eastAsia="Times New Roman" w:hAnsi="Times New Roman"/>
          <w:sz w:val="22"/>
          <w:szCs w:val="22"/>
          <w:color w:val="auto"/>
        </w:rPr>
      </w:pPr>
    </w:p>
    <w:p>
      <w:pPr>
        <w:ind w:right="80" w:firstLine="656"/>
        <w:spacing w:after="0" w:line="249" w:lineRule="auto"/>
        <w:tabs>
          <w:tab w:leader="none" w:pos="111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in addition to any and all other remedies available to the Company (at law, in equity, or as otherwise set forth in this Agreement), the Company shall be entitled to liquidated damages for any violation of Paragraph 12 during the Restricted Period (or, in the event of a Retirement-Eligible Separation, the Initial Retirement Restricted Period) in an amount equal to: (i) the final twelve (12) months’ salary, commissions, and bonus paid to the Grantee; and (ii) an additional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Grantee’s termination of Continued Service. The dollar value of each such share shall be equal to the closing price of Gartner stock on the date of grant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00" w:name="page101"/>
    <w:bookmarkEnd w:id="100"/>
    <w:p>
      <w:pPr>
        <w:ind w:right="80"/>
        <w:spacing w:after="0" w:line="250" w:lineRule="auto"/>
        <w:rPr>
          <w:sz w:val="20"/>
          <w:szCs w:val="20"/>
          <w:color w:val="auto"/>
        </w:rPr>
      </w:pPr>
      <w:r>
        <w:rPr>
          <w:rFonts w:ascii="Times New Roman" w:cs="Times New Roman" w:eastAsia="Times New Roman" w:hAnsi="Times New Roman"/>
          <w:sz w:val="22"/>
          <w:szCs w:val="22"/>
          <w:color w:val="auto"/>
        </w:rPr>
        <w:t>applicable stock appreciation right, performance stock unit or restricted stock unit. To the extent that Grantee chooses to receive the Initial Retirement Post-Restriction Tranche and/or the Second Post-Restriction Tranche but violates the provisions of Paragraphs 12(c)(i) and/or (ii), respectively, in addition to any and all other remedies available to the Company (at law, in equity, or otherwise set forth in this Agreement), the Company shall be entitled to liquidated damages equal to an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violation of such Paragraph. Grantee agrees that the liquidated damages set forth herein are a reasonable approximation of the damages experienced by the Company for a violation of Paragraph 12, and are not to be deemed a penalty of any kind.</w:t>
      </w:r>
    </w:p>
    <w:p>
      <w:pPr>
        <w:spacing w:after="0" w:line="207" w:lineRule="exact"/>
        <w:rPr>
          <w:sz w:val="20"/>
          <w:szCs w:val="20"/>
          <w:color w:val="auto"/>
        </w:rPr>
      </w:pPr>
    </w:p>
    <w:p>
      <w:pPr>
        <w:ind w:firstLine="656"/>
        <w:spacing w:after="0" w:line="262" w:lineRule="auto"/>
        <w:tabs>
          <w:tab w:leader="none" w:pos="1104"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acknowledges that the time, geographic and scope limitations of the non-competition and non-solicitation provisions set forth herein are fair and reasonable in all respects, and that Grantee will not be precluded from gainful employment if obligated to comply with the provisions hereof. To the extent a court of appropriate jurisdiction finds the duration and/or geographic scope of the non-competition or non-solicitation restrictions to be unenforceable under applicable law, in whole or in part, then it is the intention of the parties that such restriction be enforced to the fullest extent which the court deems reasonable. In the event of Grantee’s breach or violation of this Paragraph 12, or good faith allegation by the Company of such breach or violation, the Restricted Period, the Initial Retirement Restricted Period, and the periods set forth in Paragraphs 12(c)(i) and (ii) (as applicable),shall be tolled until such breach or violation, or allegation thereof, has been duly cured or resolved.</w:t>
      </w:r>
    </w:p>
    <w:p>
      <w:pPr>
        <w:spacing w:after="0" w:line="199" w:lineRule="exact"/>
        <w:rPr>
          <w:rFonts w:ascii="Times New Roman" w:cs="Times New Roman" w:eastAsia="Times New Roman" w:hAnsi="Times New Roman"/>
          <w:sz w:val="21"/>
          <w:szCs w:val="21"/>
          <w:color w:val="auto"/>
        </w:rPr>
      </w:pPr>
    </w:p>
    <w:p>
      <w:pPr>
        <w:ind w:firstLine="656"/>
        <w:spacing w:after="0" w:line="253" w:lineRule="auto"/>
        <w:tabs>
          <w:tab w:leader="none" w:pos="10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Restricted Period, the Initial Retirement Restricted Period, and the periods set forth in Paragraphs 12(c)(i) and (ii) (as applicable), the Grantee will notify (in writing and not less than 72 hours in advance) the Company’s General Counsel if he or she intends to become an employee or other service provider of any entity other than the Company (for example, but not by way of limitation, as an employee, consultant, analyst, sales person, independent contractor, agent, independent business venturer, partner or member).</w:t>
      </w:r>
    </w:p>
    <w:p>
      <w:pPr>
        <w:spacing w:after="0" w:line="205"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Paragraph 12, the “Company” shall include the Company or any parent of the Company or</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w:t>
      </w:r>
    </w:p>
    <w:p>
      <w:pPr>
        <w:spacing w:after="0" w:line="209" w:lineRule="exact"/>
        <w:rPr>
          <w:sz w:val="20"/>
          <w:szCs w:val="20"/>
          <w:color w:val="auto"/>
        </w:rPr>
      </w:pPr>
    </w:p>
    <w:p>
      <w:pPr>
        <w:ind w:right="40" w:firstLine="656"/>
        <w:spacing w:after="0" w:line="256" w:lineRule="auto"/>
        <w:tabs>
          <w:tab w:leader="none" w:pos="12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and No-Hire</w:t>
      </w:r>
      <w:r>
        <w:rPr>
          <w:rFonts w:ascii="Times New Roman" w:cs="Times New Roman" w:eastAsia="Times New Roman" w:hAnsi="Times New Roman"/>
          <w:sz w:val="22"/>
          <w:szCs w:val="22"/>
          <w:color w:val="auto"/>
        </w:rPr>
        <w:t>. The Grantee further agrees that, during the Restricted Period, the Initial Retirement Restricted Period, and the periods set forth in Paragraphs 12(c)(i) and (ii) (as applicable), the Grantee will not, directly or indirectly solicit, entice, or recruit employees of the Company to leave its employ, or offer or cause to be offered employment to any person who was employed by the Company at any time during the twelve (12) months prior to the termination of Grantee’s Continued Service. General mass solicitations of employment that are not directed at the Company or any employee(s) of the Company shall not be prohibited by this Paragraph 13. For purposes of this Paragraph 13 (and the preceding Paragraph 12, the “Company” shall include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22" w:right="359" w:bottom="1440" w:gutter="0" w:footer="0" w:header="0"/>
        </w:sectPr>
      </w:pPr>
    </w:p>
    <w:bookmarkStart w:id="101" w:name="page102"/>
    <w:bookmarkEnd w:id="101"/>
    <w:p>
      <w:pPr>
        <w:ind w:right="920" w:firstLine="648"/>
        <w:spacing w:after="0" w:line="271" w:lineRule="auto"/>
        <w:rPr>
          <w:sz w:val="20"/>
          <w:szCs w:val="20"/>
          <w:color w:val="auto"/>
        </w:rPr>
      </w:pPr>
      <w:r>
        <w:rPr>
          <w:rFonts w:ascii="Times New Roman" w:cs="Times New Roman" w:eastAsia="Times New Roman" w:hAnsi="Times New Roman"/>
          <w:sz w:val="22"/>
          <w:szCs w:val="22"/>
          <w:color w:val="auto"/>
        </w:rPr>
        <w:t>For purposes of this Paragraph 13, the “Company” shall include the Company or any parent of the Company or Subsidiary.</w:t>
      </w:r>
    </w:p>
    <w:p>
      <w:pPr>
        <w:spacing w:after="0" w:line="158" w:lineRule="exact"/>
        <w:rPr>
          <w:sz w:val="20"/>
          <w:szCs w:val="20"/>
          <w:color w:val="auto"/>
        </w:rPr>
      </w:pPr>
    </w:p>
    <w:p>
      <w:pPr>
        <w:ind w:right="60" w:firstLine="656"/>
        <w:spacing w:after="0" w:line="263"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the Agreement to single or multiple assignees, and this Agreement shall inure to the benefit of the successors and assigns of the Company. The rights and obligations of the Grantee under this Agreement may be assigned only with the prior written consent of the Company.</w:t>
      </w:r>
    </w:p>
    <w:p>
      <w:pPr>
        <w:spacing w:after="0" w:line="167" w:lineRule="exact"/>
        <w:rPr>
          <w:rFonts w:ascii="Times New Roman" w:cs="Times New Roman" w:eastAsia="Times New Roman" w:hAnsi="Times New Roman"/>
          <w:sz w:val="22"/>
          <w:szCs w:val="22"/>
          <w:color w:val="auto"/>
        </w:rPr>
      </w:pPr>
    </w:p>
    <w:p>
      <w:pPr>
        <w:ind w:right="60" w:firstLine="656"/>
        <w:spacing w:after="0" w:line="256"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Sale of Securities</w:t>
      </w:r>
      <w:r>
        <w:rPr>
          <w:rFonts w:ascii="Times New Roman" w:cs="Times New Roman" w:eastAsia="Times New Roman" w:hAnsi="Times New Roman"/>
          <w:sz w:val="22"/>
          <w:szCs w:val="22"/>
          <w:color w:val="auto"/>
        </w:rPr>
        <w:t>. The Shares issued as payment for vested PSUs awarded under this Agreement will be registered under the federal securities laws and will be freely tradable upon receipt. However, the Grantee’s subsequent sale of the Shares will be subject to any market blackout-period that may be imposed by the Company and must comply with the Company’s insider trading policies, and any other applicable securities laws.</w:t>
      </w:r>
    </w:p>
    <w:p>
      <w:pPr>
        <w:spacing w:after="0" w:line="176" w:lineRule="exact"/>
        <w:rPr>
          <w:rFonts w:ascii="Times New Roman" w:cs="Times New Roman" w:eastAsia="Times New Roman" w:hAnsi="Times New Roman"/>
          <w:sz w:val="22"/>
          <w:szCs w:val="22"/>
          <w:color w:val="auto"/>
        </w:rPr>
      </w:pPr>
    </w:p>
    <w:p>
      <w:pPr>
        <w:ind w:right="120" w:firstLine="656"/>
        <w:spacing w:after="0" w:line="257"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Subject to the limitation on the transferability of this grant contained herein, this Agreement shall be binding upon and inure to the benefit of the heirs, legatees, legal representatives, successors and assigns of the parties hereto.</w:t>
      </w:r>
    </w:p>
    <w:p>
      <w:pPr>
        <w:spacing w:after="0" w:line="172" w:lineRule="exact"/>
        <w:rPr>
          <w:rFonts w:ascii="Times New Roman" w:cs="Times New Roman" w:eastAsia="Times New Roman" w:hAnsi="Times New Roman"/>
          <w:sz w:val="22"/>
          <w:szCs w:val="22"/>
          <w:color w:val="auto"/>
        </w:rPr>
      </w:pPr>
    </w:p>
    <w:p>
      <w:pPr>
        <w:ind w:firstLine="656"/>
        <w:spacing w:after="0" w:line="262" w:lineRule="auto"/>
        <w:tabs>
          <w:tab w:leader="none" w:pos="129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for Issuance of Stock</w:t>
      </w:r>
      <w:r>
        <w:rPr>
          <w:rFonts w:ascii="Times New Roman" w:cs="Times New Roman" w:eastAsia="Times New Roman" w:hAnsi="Times New Roman"/>
          <w:sz w:val="21"/>
          <w:szCs w:val="21"/>
          <w:color w:val="auto"/>
        </w:rPr>
        <w:t>. The Shares of stock deliverable to the Grantee may be either previously authorized but unissued Shares or issued Shares which have been reacquired by the Company. The Company shall not be required to transfer on its books or list in street name with a brokerage company or otherwise issue any certificate or certificates for Shares hereunder prior to fulfillment of all the following conditions: (a) the admission of such Shares to listing on all stock exchanges on which such class of stock is then listed; and (b) 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 and (c) the obtaining of any approval or other clearance from any state or federal governmental agency, which the Committee shall, in its absolute discretion, determine to be necessary or advisable; and (d) the lapse of such reasonable period of time following the date of vesting of the PSUs as the Committee may establish from time to time for reasons of administrative convenience.</w:t>
      </w:r>
    </w:p>
    <w:p>
      <w:pPr>
        <w:spacing w:after="0" w:line="171" w:lineRule="exact"/>
        <w:rPr>
          <w:rFonts w:ascii="Times New Roman" w:cs="Times New Roman" w:eastAsia="Times New Roman" w:hAnsi="Times New Roman"/>
          <w:sz w:val="21"/>
          <w:szCs w:val="21"/>
          <w:color w:val="auto"/>
        </w:rPr>
      </w:pPr>
    </w:p>
    <w:p>
      <w:pPr>
        <w:ind w:right="20" w:firstLine="656"/>
        <w:spacing w:after="0" w:line="263"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Governs</w:t>
      </w:r>
      <w:r>
        <w:rPr>
          <w:rFonts w:ascii="Times New Roman" w:cs="Times New Roman" w:eastAsia="Times New Roman" w:hAnsi="Times New Roman"/>
          <w:sz w:val="22"/>
          <w:szCs w:val="22"/>
          <w:color w:val="auto"/>
        </w:rPr>
        <w:t>. This Agreement is subject to all terms and provisions of the Plan. In the event of a conflict between one or more provisions of this Agreement and one or more provisions of the Plan, the provisions of the Plan shall govern. Capitalized terms used and not defined in this Agreement shall have the meaning set forth in the Plan.</w:t>
      </w:r>
    </w:p>
    <w:p>
      <w:pPr>
        <w:spacing w:after="0" w:line="167" w:lineRule="exact"/>
        <w:rPr>
          <w:rFonts w:ascii="Times New Roman" w:cs="Times New Roman" w:eastAsia="Times New Roman" w:hAnsi="Times New Roman"/>
          <w:sz w:val="22"/>
          <w:szCs w:val="22"/>
          <w:color w:val="auto"/>
        </w:rPr>
      </w:pPr>
    </w:p>
    <w:p>
      <w:pPr>
        <w:ind w:firstLine="656"/>
        <w:spacing w:after="0" w:line="265" w:lineRule="auto"/>
        <w:tabs>
          <w:tab w:leader="none" w:pos="129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Authority</w:t>
      </w:r>
      <w:r>
        <w:rPr>
          <w:rFonts w:ascii="Times New Roman" w:cs="Times New Roman" w:eastAsia="Times New Roman" w:hAnsi="Times New Roman"/>
          <w:sz w:val="21"/>
          <w:szCs w:val="21"/>
          <w:color w:val="auto"/>
        </w:rPr>
        <w:t>. The Committee shall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PSUs have vested). All actions taken and all interpretations and determinations made by the Committee shall be final and binding upon the Grantee, the Company and all other persons, and shall be given the maximum deference permitted by law. No member of the Committee shall be personally liable for any action, determination or interpretation made in good faith with respect to the Plan or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00"/>
          </w:cols>
          <w:pgMar w:left="320" w:top="1422" w:right="379" w:bottom="1440" w:gutter="0" w:footer="0" w:header="0"/>
        </w:sectPr>
      </w:pPr>
    </w:p>
    <w:bookmarkStart w:id="102" w:name="page103"/>
    <w:bookmarkEnd w:id="102"/>
    <w:p>
      <w:pPr>
        <w:spacing w:after="0" w:line="198" w:lineRule="exact"/>
        <w:rPr>
          <w:sz w:val="20"/>
          <w:szCs w:val="20"/>
          <w:color w:val="auto"/>
        </w:rPr>
      </w:pPr>
    </w:p>
    <w:p>
      <w:pPr>
        <w:jc w:val="both"/>
        <w:ind w:left="-20" w:firstLine="656"/>
        <w:spacing w:after="0" w:line="253" w:lineRule="auto"/>
        <w:tabs>
          <w:tab w:leader="none" w:pos="127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in its sole discretion, may decide to deliver any documents related to Performance Stock Units awarded under the Plan or future Performance Stock Units that may be awarded under the Plan by electronic means. The Grantee hereby consents to receive such documents by electronic delivery and agrees to participate in the Plan through any on-line or electronic system established and maintained by the Company or another third party designated by the Company.</w:t>
      </w:r>
    </w:p>
    <w:p>
      <w:pPr>
        <w:spacing w:after="0" w:line="178" w:lineRule="exact"/>
        <w:rPr>
          <w:rFonts w:ascii="Times New Roman" w:cs="Times New Roman" w:eastAsia="Times New Roman" w:hAnsi="Times New Roman"/>
          <w:sz w:val="22"/>
          <w:szCs w:val="22"/>
          <w:color w:val="auto"/>
        </w:rPr>
      </w:pPr>
    </w:p>
    <w:p>
      <w:pPr>
        <w:ind w:left="-20" w:right="300" w:firstLine="656"/>
        <w:spacing w:after="0" w:line="271" w:lineRule="auto"/>
        <w:tabs>
          <w:tab w:leader="none" w:pos="127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Agreement.</w:t>
      </w:r>
    </w:p>
    <w:p>
      <w:pPr>
        <w:spacing w:after="0" w:line="157" w:lineRule="exact"/>
        <w:rPr>
          <w:rFonts w:ascii="Times New Roman" w:cs="Times New Roman" w:eastAsia="Times New Roman" w:hAnsi="Times New Roman"/>
          <w:sz w:val="22"/>
          <w:szCs w:val="22"/>
          <w:color w:val="auto"/>
        </w:rPr>
      </w:pPr>
    </w:p>
    <w:p>
      <w:pPr>
        <w:ind w:left="-20" w:right="280" w:firstLine="656"/>
        <w:spacing w:after="0" w:line="253" w:lineRule="auto"/>
        <w:tabs>
          <w:tab w:leader="none" w:pos="127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Severable</w:t>
      </w:r>
      <w:r>
        <w:rPr>
          <w:rFonts w:ascii="Times New Roman" w:cs="Times New Roman" w:eastAsia="Times New Roman" w:hAnsi="Times New Roman"/>
          <w:sz w:val="22"/>
          <w:szCs w:val="22"/>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 or the Agreement Regarding Certain Conditions of Employment. Further, any such provision held invalid or unenforceable will be modified to conform to a provision that most closely expresses the intent of the invalid of unenforceable provision.</w:t>
      </w:r>
    </w:p>
    <w:p>
      <w:pPr>
        <w:spacing w:after="0" w:line="178" w:lineRule="exact"/>
        <w:rPr>
          <w:rFonts w:ascii="Times New Roman" w:cs="Times New Roman" w:eastAsia="Times New Roman" w:hAnsi="Times New Roman"/>
          <w:sz w:val="22"/>
          <w:szCs w:val="22"/>
          <w:color w:val="auto"/>
        </w:rPr>
      </w:pPr>
    </w:p>
    <w:p>
      <w:pPr>
        <w:ind w:left="-20" w:right="60" w:firstLine="656"/>
        <w:spacing w:after="0" w:line="251" w:lineRule="auto"/>
        <w:tabs>
          <w:tab w:leader="none" w:pos="127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Plan and this Agreement (including all appendices attached hereto) together constitute the entire understanding of the parties on the subjects covered. The Grantee expressly warrants that he or she is not executing this Agreement in reliance on any promises, representations, or inducements other than those contained herein. Notwithstanding the foregoing, this Agreement shall not have any impact on the Agreement Regarding Certain Conditions of Employment, which is a standalone agreement. The obligations under the Agreement Regarding Certain Conditions of Employment remain in full force and effect.</w:t>
      </w:r>
    </w:p>
    <w:p>
      <w:pPr>
        <w:spacing w:after="0" w:line="181" w:lineRule="exact"/>
        <w:rPr>
          <w:rFonts w:ascii="Times New Roman" w:cs="Times New Roman" w:eastAsia="Times New Roman" w:hAnsi="Times New Roman"/>
          <w:sz w:val="22"/>
          <w:szCs w:val="22"/>
          <w:color w:val="auto"/>
        </w:rPr>
      </w:pPr>
    </w:p>
    <w:p>
      <w:pPr>
        <w:ind w:left="-20" w:right="100" w:firstLine="656"/>
        <w:spacing w:after="0" w:line="250" w:lineRule="auto"/>
        <w:tabs>
          <w:tab w:leader="none" w:pos="127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to the Agreement; Clawback</w:t>
      </w:r>
      <w:r>
        <w:rPr>
          <w:rFonts w:ascii="Times New Roman" w:cs="Times New Roman" w:eastAsia="Times New Roman" w:hAnsi="Times New Roman"/>
          <w:sz w:val="22"/>
          <w:szCs w:val="22"/>
          <w:color w:val="auto"/>
        </w:rPr>
        <w:t>. The Plan and this Agreement together constitute the entire understanding of the parties on the subjects covered. The Grantee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the Grantee, to avoid imposition of any additional tax or income recognition under Section 409A prior to the actual payment of Shares pursuant to this award of PSUs, provided that such revision would not materially reduce the economic benefits provided or intended to be provided under this Agreement.</w:t>
      </w:r>
    </w:p>
    <w:p>
      <w:pPr>
        <w:spacing w:after="0" w:line="179" w:lineRule="exact"/>
        <w:rPr>
          <w:rFonts w:ascii="Times New Roman" w:cs="Times New Roman" w:eastAsia="Times New Roman" w:hAnsi="Times New Roman"/>
          <w:sz w:val="22"/>
          <w:szCs w:val="22"/>
          <w:color w:val="auto"/>
        </w:rPr>
      </w:pPr>
    </w:p>
    <w:p>
      <w:pPr>
        <w:ind w:left="-20" w:right="60" w:firstLine="656"/>
        <w:spacing w:after="0" w:line="265" w:lineRule="auto"/>
        <w:tabs>
          <w:tab w:leader="none" w:pos="1276"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This Agreement and the PSUs are subject to any (a) clawback policy, compensation recovery policy or similar policy or arrangement that the Company may adopt from time to time, whether such policy or arrangement is mandated by law or otherwise, including (but not limited to, the Company’s Compensation Recoupment (Clawback) Policy (the “Policy”)), and (b) compensation recoupment, clawback, or recovery requirement mandated by applicable law. For example, but not by way of limitation, as provided in the Policy, the Grantee may be required to repay to the Company part or all of the Shares and any other compensation that the Grantee receives under this Agreement and/or some of the PSUs and Shares covered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40" w:top="1440" w:right="339" w:bottom="1440" w:gutter="0" w:footer="0" w:header="0"/>
        </w:sectPr>
      </w:pPr>
    </w:p>
    <w:bookmarkStart w:id="103" w:name="page104"/>
    <w:bookmarkEnd w:id="103"/>
    <w:p>
      <w:pPr>
        <w:spacing w:after="0" w:line="19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1"/>
          <w:szCs w:val="21"/>
          <w:color w:val="auto"/>
        </w:rPr>
        <w:t>this Agreement automatically may be forfeited at no cost to the Company. No clawback, recovery or recoupment of compensation contemplated under this Paragraph 25 will serve as a basis for “good reason,” “constructive termination” or similar term or concept under any employment, compensation, severance or change in control arrangement applicable to the Grantee.</w:t>
      </w:r>
    </w:p>
    <w:p>
      <w:pPr>
        <w:spacing w:after="0" w:line="169" w:lineRule="exact"/>
        <w:rPr>
          <w:sz w:val="20"/>
          <w:szCs w:val="20"/>
          <w:color w:val="auto"/>
        </w:rPr>
      </w:pPr>
    </w:p>
    <w:p>
      <w:pPr>
        <w:ind w:right="60" w:firstLine="656"/>
        <w:spacing w:after="0" w:line="275" w:lineRule="auto"/>
        <w:tabs>
          <w:tab w:leader="none" w:pos="1296"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Suspension or Termination of the Plan</w:t>
      </w:r>
      <w:r>
        <w:rPr>
          <w:rFonts w:ascii="Times New Roman" w:cs="Times New Roman" w:eastAsia="Times New Roman" w:hAnsi="Times New Roman"/>
          <w:sz w:val="21"/>
          <w:szCs w:val="21"/>
          <w:color w:val="auto"/>
        </w:rPr>
        <w:t>. By accepting this award, the Grantee expressly warrants that he or she has received an award under the Plan, and has received, read and understood a description of the Plan. The Grantee understands that the Plan is discretionary in nature and may be modified, suspended or terminated by the Company at any time.</w:t>
      </w:r>
    </w:p>
    <w:p>
      <w:pPr>
        <w:spacing w:after="0" w:line="155" w:lineRule="exact"/>
        <w:rPr>
          <w:rFonts w:ascii="Times New Roman" w:cs="Times New Roman" w:eastAsia="Times New Roman" w:hAnsi="Times New Roman"/>
          <w:sz w:val="21"/>
          <w:szCs w:val="21"/>
          <w:color w:val="auto"/>
        </w:rPr>
      </w:pPr>
    </w:p>
    <w:p>
      <w:pPr>
        <w:ind w:right="60" w:firstLine="656"/>
        <w:spacing w:after="0" w:line="256"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the grant of PSUs shall be governed by, and construed in accordance with, the laws of the State of Delaware, without regard to its conflicts of law provisions; provided that, notwithstanding the foregoing, Sections 13 and 14 of this Agreement shall be governed by the laws of the State of Connecticut, without regard to its conflicts of law provisions.</w:t>
      </w:r>
    </w:p>
    <w:p>
      <w:pPr>
        <w:spacing w:after="0" w:line="176" w:lineRule="exact"/>
        <w:rPr>
          <w:rFonts w:ascii="Times New Roman" w:cs="Times New Roman" w:eastAsia="Times New Roman" w:hAnsi="Times New Roman"/>
          <w:sz w:val="22"/>
          <w:szCs w:val="22"/>
          <w:color w:val="auto"/>
        </w:rPr>
      </w:pPr>
    </w:p>
    <w:p>
      <w:pPr>
        <w:ind w:right="100" w:firstLine="656"/>
        <w:spacing w:after="0" w:line="253"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Reasonable Period of Time.</w:t>
      </w:r>
      <w:r>
        <w:rPr>
          <w:rFonts w:ascii="Times New Roman" w:cs="Times New Roman" w:eastAsia="Times New Roman" w:hAnsi="Times New Roman"/>
          <w:sz w:val="22"/>
          <w:szCs w:val="22"/>
          <w:color w:val="auto"/>
        </w:rPr>
        <w:t xml:space="preserve"> The Grantee acknowledges that the Grantee was given a reasonable period of time in which to review and consider this Agreement; the Grantee has, in fact, carefully reviewed this Agreement; and the Grantee is entering into it voluntarily and of the Grantee’s own free will. The Grantee further acknowledges that the Company advised the Grantee to consult with an attorney in connection with reviewing this Agreement. The Grantee further acknowledges that the Grantee has read this Agreement in its entirety, and that the Grantee fully understand its terms and legal effect.</w:t>
      </w:r>
    </w:p>
    <w:p>
      <w:pPr>
        <w:spacing w:after="0" w:line="178" w:lineRule="exact"/>
        <w:rPr>
          <w:rFonts w:ascii="Times New Roman" w:cs="Times New Roman" w:eastAsia="Times New Roman" w:hAnsi="Times New Roman"/>
          <w:sz w:val="22"/>
          <w:szCs w:val="22"/>
          <w:color w:val="auto"/>
        </w:rPr>
      </w:pPr>
    </w:p>
    <w:p>
      <w:pPr>
        <w:ind w:right="140" w:firstLine="656"/>
        <w:spacing w:after="0" w:line="271"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used in this Agreement without definition will have the meanings provided for in the Plan. When used in this Agreement, the following capitalized terms will have the following meanings:</w:t>
      </w:r>
    </w:p>
    <w:p>
      <w:pPr>
        <w:spacing w:after="0" w:line="158" w:lineRule="exact"/>
        <w:rPr>
          <w:sz w:val="20"/>
          <w:szCs w:val="20"/>
          <w:color w:val="auto"/>
        </w:rPr>
      </w:pPr>
    </w:p>
    <w:p>
      <w:pPr>
        <w:ind w:left="1300" w:right="40"/>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all information related to the operation of the Company's business and knowledge of the Company's assets, including, but not limited to, (i) financial information, (ii) products, (iii) product and services costs, prices, profits and sales, (iv) forecasts, (v) computer programs, (vi) data bases (and the documentation and information contained therein), (vii) computer access codes and similar information, (viii) software ideas, (ix) know-how, technologies, concepts and designs, (x) research projects and all information connected with research and development efforts, (xi) records, (xii) business relationships, methods and recommendations, (xiii) client lists (including identities of clients and prospective clients, identities of individual contracts at business entities which are clients or prospective clients, client spending, preferences, business or habits), (xiv) subscription or consultant termination dates, (xv) personnel files, (xvi) competitive analyses, (xvii) other confidential or proprietary information or trade secrets that have not been made available to the general public by the Company's senior management, and (xviii) non-public information provided to the Company by its clients, and other tangible or intangible assets and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440" w:right="379" w:bottom="1440" w:gutter="0" w:footer="0" w:header="0"/>
        </w:sectPr>
      </w:pPr>
    </w:p>
    <w:bookmarkStart w:id="104" w:name="page105"/>
    <w:bookmarkEnd w:id="104"/>
    <w:p>
      <w:pPr>
        <w:spacing w:after="0" w:line="198" w:lineRule="exact"/>
        <w:rPr>
          <w:sz w:val="20"/>
          <w:szCs w:val="20"/>
          <w:color w:val="auto"/>
        </w:rPr>
      </w:pPr>
    </w:p>
    <w:p>
      <w:pPr>
        <w:ind w:left="1300" w:right="280"/>
        <w:spacing w:after="0" w:line="256" w:lineRule="auto"/>
        <w:rPr>
          <w:sz w:val="20"/>
          <w:szCs w:val="20"/>
          <w:color w:val="auto"/>
        </w:rPr>
      </w:pPr>
      <w:r>
        <w:rPr>
          <w:rFonts w:ascii="Times New Roman" w:cs="Times New Roman" w:eastAsia="Times New Roman" w:hAnsi="Times New Roman"/>
          <w:sz w:val="22"/>
          <w:szCs w:val="22"/>
          <w:color w:val="auto"/>
        </w:rPr>
        <w:t>obtained by the Grantee in the course of his or her employment with the Company. Information shall not be deemed Confidential Information if it is or becomes available in the public domain other than as a result of an unauthorized use, disclosure or action by Grantee, at Grantee’s direction or on Grantee’s behalf, or by any other person who directly or indirectly receives such information from Grantee.</w:t>
      </w:r>
    </w:p>
    <w:p>
      <w:pPr>
        <w:spacing w:after="0" w:line="176" w:lineRule="exact"/>
        <w:rPr>
          <w:sz w:val="20"/>
          <w:szCs w:val="20"/>
          <w:color w:val="auto"/>
        </w:rPr>
      </w:pPr>
    </w:p>
    <w:p>
      <w:pPr>
        <w:ind w:left="1300" w:right="120"/>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Continued Service</w:t>
      </w:r>
      <w:r>
        <w:rPr>
          <w:rFonts w:ascii="Times New Roman" w:cs="Times New Roman" w:eastAsia="Times New Roman" w:hAnsi="Times New Roman"/>
          <w:sz w:val="21"/>
          <w:szCs w:val="21"/>
          <w:color w:val="auto"/>
        </w:rPr>
        <w:t>” means that the Grantee’s employment relationship is not interrupted or terminated by the Grantee, the Company, or any parent or Subsidiary of the Company. The Grantee’s employment relationship will not be considered interrupted in the case of: (i) any leave of absence approved in accordance with the Company’s written personnel policies, including sick leave, family leave, military leave, or any other personal leave; or</w:t>
      </w:r>
    </w:p>
    <w:p>
      <w:pPr>
        <w:spacing w:after="0" w:line="2" w:lineRule="exact"/>
        <w:rPr>
          <w:sz w:val="20"/>
          <w:szCs w:val="20"/>
          <w:color w:val="auto"/>
        </w:rPr>
      </w:pPr>
    </w:p>
    <w:p>
      <w:pPr>
        <w:ind w:left="1300" w:firstLine="4"/>
        <w:spacing w:after="0" w:line="241" w:lineRule="auto"/>
        <w:tabs>
          <w:tab w:leader="none" w:pos="161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transfers between locations of the Company or between the Company and any parent, Subsidiary or successor;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unless otherwise provided in the Company’s written personnel policies, in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under applicable laws, rules or regulations, or unless the Committee has otherwise expressly provided for different treatment with respect to this Agreement, (x) no such leave may exceed ninety (90) days, and (y) any vesting shall cease on the ninety-first (91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consecutive date of any leave of absence during which the Grantee’s employment relationship is deemed to continue and will not recommence until such date, if any, upon which the Grantee resumes service with the Company, its parent, Subsidiary or successor. If the Grantee resumes such service in accordance with the terms of the Company’s military leave policy, upon resumption of service, the Grantee will be given vesting credit for the full duration of the Grantee’s leave of absence. Continuous employment will be deemed interrupted and terminated for the Grantee if the Grantee’s weekly work hours change from full time to part time. Part-time status for the purpose of vesting continuation will be determined in accordance with policies adopted by the Company from time to time, which policies, if any, shall supersede the determination of part-time status set forth in the Company’s posted “employee status definitions”.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total and permanent disability as defined in Section 22(e)(3) of the Code.</w:t>
      </w:r>
    </w:p>
    <w:p>
      <w:pPr>
        <w:spacing w:after="0" w:line="247" w:lineRule="exact"/>
        <w:rPr>
          <w:sz w:val="20"/>
          <w:szCs w:val="20"/>
          <w:color w:val="auto"/>
        </w:rPr>
      </w:pPr>
    </w:p>
    <w:p>
      <w:pPr>
        <w:ind w:left="1300" w:right="140"/>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termination of the Grantee’s employment in accordance with the Company’s retirement policies, as in effect from time to time, if on the date of such termination, the Grantee is at least 55 years old, and his or her Continued Service has extended for at least ten (10) years.</w:t>
      </w:r>
    </w:p>
    <w:p>
      <w:pPr>
        <w:spacing w:after="0" w:line="167"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22"/>
          <w:szCs w:val="22"/>
          <w:color w:val="auto"/>
        </w:rPr>
        <w:t>Your acceptance of this grant indicates your agreement and understanding that this grant is subject to all of the terms and conditions contained in the Plan and this Agreement, which includes the notice of grant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GARTNER,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LONG-TERM INCENTIVE PLAN</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37" w:lineRule="exact"/>
        <w:rPr>
          <w:sz w:val="20"/>
          <w:szCs w:val="20"/>
          <w:color w:val="auto"/>
        </w:rPr>
      </w:pPr>
    </w:p>
    <w:p>
      <w:pPr>
        <w:ind w:right="380" w:firstLine="648"/>
        <w:spacing w:after="0" w:line="262" w:lineRule="auto"/>
        <w:rPr>
          <w:sz w:val="20"/>
          <w:szCs w:val="20"/>
          <w:color w:val="auto"/>
        </w:rPr>
      </w:pPr>
      <w:r>
        <w:rPr>
          <w:rFonts w:ascii="Times New Roman" w:cs="Times New Roman" w:eastAsia="Times New Roman" w:hAnsi="Times New Roman"/>
          <w:sz w:val="21"/>
          <w:szCs w:val="21"/>
          <w:color w:val="auto"/>
        </w:rPr>
        <w:t xml:space="preserve">This Award Agreement contains important information concerning your Restricted Stock Unit grant, including information on vesting and termination in Paragraphs 3 through 5. Capitalized terms used and not defined in this Award Agreement shall have the meaning set forth in the Plan. </w:t>
      </w:r>
      <w:r>
        <w:rPr>
          <w:rFonts w:ascii="Times New Roman" w:cs="Times New Roman" w:eastAsia="Times New Roman" w:hAnsi="Times New Roman"/>
          <w:sz w:val="21"/>
          <w:szCs w:val="21"/>
          <w:b w:val="1"/>
          <w:bCs w:val="1"/>
          <w:color w:val="auto"/>
        </w:rPr>
        <w:t>ACCORDINGLY, PLEASE BE SURE TO READ ALL OF THIS</w:t>
      </w:r>
    </w:p>
    <w:p>
      <w:pPr>
        <w:spacing w:after="0" w:line="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b w:val="1"/>
          <w:bCs w:val="1"/>
          <w:color w:val="auto"/>
        </w:rPr>
        <w:t>AWARD AGREEMENT, WHICH CONTAINS THE SPECIFIC TERMS AND CONDITIONS OF YOUR RESTRICTED STOCK UNIT GRANT.</w:t>
      </w:r>
    </w:p>
    <w:p>
      <w:pPr>
        <w:spacing w:after="0" w:line="192" w:lineRule="exact"/>
        <w:rPr>
          <w:sz w:val="20"/>
          <w:szCs w:val="20"/>
          <w:color w:val="auto"/>
        </w:rPr>
      </w:pPr>
    </w:p>
    <w:p>
      <w:pPr>
        <w:ind w:right="80" w:firstLine="656"/>
        <w:spacing w:after="0" w:line="251"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Gartner,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to you (or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 under the Company’s Long-Term Incentive Plan, as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as a separate incentive in connection with his or her employment and not in lieu of any salary or other compensation for his or her services, the number of Restricted Stock Units on the date of grant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indicated in the Notice of Grant of Award (the “</w:t>
      </w:r>
      <w:r>
        <w:rPr>
          <w:rFonts w:ascii="Times New Roman" w:cs="Times New Roman" w:eastAsia="Times New Roman" w:hAnsi="Times New Roman"/>
          <w:sz w:val="22"/>
          <w:szCs w:val="22"/>
          <w:b w:val="1"/>
          <w:bCs w:val="1"/>
          <w:color w:val="auto"/>
        </w:rPr>
        <w:t>Notice of Grant</w:t>
      </w:r>
      <w:r>
        <w:rPr>
          <w:rFonts w:ascii="Times New Roman" w:cs="Times New Roman" w:eastAsia="Times New Roman" w:hAnsi="Times New Roman"/>
          <w:sz w:val="22"/>
          <w:szCs w:val="22"/>
          <w:color w:val="auto"/>
        </w:rPr>
        <w:t>”) separately provided to the Grantee, subject to all of the terms and conditions in this Award Agreement and the Plan.</w:t>
      </w:r>
    </w:p>
    <w:p>
      <w:pPr>
        <w:spacing w:after="0" w:line="179" w:lineRule="exact"/>
        <w:rPr>
          <w:rFonts w:ascii="Times New Roman" w:cs="Times New Roman" w:eastAsia="Times New Roman" w:hAnsi="Times New Roman"/>
          <w:sz w:val="22"/>
          <w:szCs w:val="22"/>
          <w:color w:val="auto"/>
        </w:rPr>
      </w:pPr>
    </w:p>
    <w:p>
      <w:pPr>
        <w:ind w:firstLine="656"/>
        <w:spacing w:after="0" w:line="251"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Restricted Stock Unit has a value equal to the Fair Market Value of a Share on the Grant Date. Unless and until the Restricted Stock Units have vested in the manner set forth in Paragraph 3, the Grantee will have no right to payment of such Restricted Stock Units. Prior to actual payment of any vested Restricted Stock Units, such Restricted Stock Units will represent an unfunded and unsecured obligation of the Company. Payment of any vested Restricted Stock Units will be made in Shares only. In no event will the Grantee be permitted, directly or indirectly, to specify the taxable year of the payment of any Restricted Stock Units payable under the Award Agreement.</w:t>
      </w:r>
    </w:p>
    <w:p>
      <w:pPr>
        <w:spacing w:after="0" w:line="19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auto"/>
        </w:rPr>
      </w:pPr>
    </w:p>
    <w:p>
      <w:pPr>
        <w:ind w:firstLine="1304"/>
        <w:spacing w:after="0" w:line="254" w:lineRule="auto"/>
        <w:tabs>
          <w:tab w:leader="none" w:pos="1941"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General Rule. </w:t>
      </w:r>
      <w:r>
        <w:rPr>
          <w:rFonts w:ascii="Times New Roman" w:cs="Times New Roman" w:eastAsia="Times New Roman" w:hAnsi="Times New Roman"/>
          <w:sz w:val="22"/>
          <w:szCs w:val="22"/>
          <w:color w:val="auto"/>
        </w:rPr>
        <w:t>Except as otherwise provided in this Award Agreement, the Restricted Stock Units shall vest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twenty-five percent (25%) on the one (1) year anniversary of the Grant Date), and twenty-five percent (25%) on each subsequent anniversary of the Grant Date (the “</w:t>
      </w:r>
      <w:r>
        <w:rPr>
          <w:rFonts w:ascii="Times New Roman" w:cs="Times New Roman" w:eastAsia="Times New Roman" w:hAnsi="Times New Roman"/>
          <w:sz w:val="22"/>
          <w:szCs w:val="22"/>
          <w:b w:val="1"/>
          <w:bCs w:val="1"/>
          <w:color w:val="auto"/>
        </w:rPr>
        <w:t>Vesting Period</w:t>
      </w:r>
      <w:r>
        <w:rPr>
          <w:rFonts w:ascii="Times New Roman" w:cs="Times New Roman" w:eastAsia="Times New Roman" w:hAnsi="Times New Roman"/>
          <w:sz w:val="22"/>
          <w:szCs w:val="22"/>
          <w:color w:val="auto"/>
        </w:rPr>
        <w:t>”), subject to Grantee’s Continued Service (as defined in Paragraph 29) through such date. Except as provided in this Paragraph 3, if the Grantee’s Continued Service ends at any time (the “</w:t>
      </w: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any unvested Restricted Stock Units will be immediately forfeited as provided in Paragraph 5.</w:t>
      </w:r>
    </w:p>
    <w:p>
      <w:pPr>
        <w:spacing w:after="0" w:line="173" w:lineRule="exact"/>
        <w:rPr>
          <w:rFonts w:ascii="Times New Roman" w:cs="Times New Roman" w:eastAsia="Times New Roman" w:hAnsi="Times New Roman"/>
          <w:sz w:val="22"/>
          <w:szCs w:val="22"/>
          <w:color w:val="auto"/>
        </w:rPr>
      </w:pPr>
    </w:p>
    <w:p>
      <w:pPr>
        <w:ind w:right="280" w:firstLine="1304"/>
        <w:spacing w:after="0" w:line="251" w:lineRule="auto"/>
        <w:tabs>
          <w:tab w:leader="none" w:pos="1939"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due to Death or Disability</w:t>
      </w:r>
      <w:r>
        <w:rPr>
          <w:rFonts w:ascii="Times New Roman" w:cs="Times New Roman" w:eastAsia="Times New Roman" w:hAnsi="Times New Roman"/>
          <w:sz w:val="22"/>
          <w:szCs w:val="22"/>
          <w:color w:val="auto"/>
        </w:rPr>
        <w:t>. Unless prohibited by the Grantee’s country of residence, if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Grantee’s termination of Continued Service is due to the Grantee’s death or Disability, the unvested portion of the Restricted Stock Units shall vest in full on the Termination Date. For the avoidance of doubt, if a Grantee’s Continued Service terminates due to his or her death or Disability and the Grantee is eligible for a Retirement as defined in and in accordance with the requirements set forth in Paragraph 29 of this Award</w:t>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200" w:lineRule="exact"/>
        <w:rPr>
          <w:sz w:val="20"/>
          <w:szCs w:val="20"/>
          <w:color w:val="auto"/>
        </w:rPr>
      </w:pPr>
    </w:p>
    <w:p>
      <w:pPr>
        <w:spacing w:after="0" w:line="214" w:lineRule="exact"/>
        <w:rPr>
          <w:sz w:val="20"/>
          <w:szCs w:val="20"/>
          <w:color w:val="auto"/>
        </w:rPr>
      </w:pPr>
    </w:p>
    <w:p>
      <w:pPr>
        <w:ind w:right="820"/>
        <w:spacing w:after="0" w:line="271" w:lineRule="auto"/>
        <w:rPr>
          <w:sz w:val="20"/>
          <w:szCs w:val="20"/>
          <w:color w:val="auto"/>
        </w:rPr>
      </w:pPr>
      <w:r>
        <w:rPr>
          <w:rFonts w:ascii="Times New Roman" w:cs="Times New Roman" w:eastAsia="Times New Roman" w:hAnsi="Times New Roman"/>
          <w:sz w:val="22"/>
          <w:szCs w:val="22"/>
          <w:color w:val="auto"/>
        </w:rPr>
        <w:t>Agreement, such termination of Continued Service shall be governed by this Paragraph 3(b) and shall not be treated as a Retirement.</w:t>
      </w:r>
    </w:p>
    <w:p>
      <w:pPr>
        <w:spacing w:after="0" w:line="154" w:lineRule="exact"/>
        <w:rPr>
          <w:sz w:val="20"/>
          <w:szCs w:val="20"/>
          <w:color w:val="auto"/>
        </w:rPr>
      </w:pPr>
    </w:p>
    <w:p>
      <w:pPr>
        <w:ind w:firstLine="1304"/>
        <w:spacing w:after="0" w:line="254" w:lineRule="auto"/>
        <w:tabs>
          <w:tab w:leader="none" w:pos="194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Termination due to Voluntary Resignation by Grantee or Termination without Cause by Company when Grantee is Retirement Eligible. </w:t>
      </w:r>
      <w:r>
        <w:rPr>
          <w:rFonts w:ascii="Times New Roman" w:cs="Times New Roman" w:eastAsia="Times New Roman" w:hAnsi="Times New Roman"/>
          <w:sz w:val="22"/>
          <w:szCs w:val="22"/>
          <w:color w:val="auto"/>
        </w:rPr>
        <w:t>If Grantee is Retirement-eligible and incurs a termination of Continued Service due to Grantee’s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voluntarily resignation or the Company’s involuntary termination of Grantee without Cause (other than a Qualifying Termination) (a “</w:t>
      </w:r>
      <w:r>
        <w:rPr>
          <w:rFonts w:ascii="Times New Roman" w:cs="Times New Roman" w:eastAsia="Times New Roman" w:hAnsi="Times New Roman"/>
          <w:sz w:val="22"/>
          <w:szCs w:val="22"/>
          <w:b w:val="1"/>
          <w:bCs w:val="1"/>
          <w:color w:val="auto"/>
        </w:rPr>
        <w:t>Retirement-Eligible Separation</w:t>
      </w:r>
      <w:r>
        <w:rPr>
          <w:rFonts w:ascii="Times New Roman" w:cs="Times New Roman" w:eastAsia="Times New Roman" w:hAnsi="Times New Roman"/>
          <w:sz w:val="22"/>
          <w:szCs w:val="22"/>
          <w:color w:val="auto"/>
        </w:rPr>
        <w:t>”), any unvested Restricted Stock Units as of Grantee’s Termination Date shall continue to vest as if no termination of Continued Service had occurred, subject to the following:</w:t>
      </w:r>
    </w:p>
    <w:p>
      <w:pPr>
        <w:spacing w:after="0" w:line="177" w:lineRule="exact"/>
        <w:rPr>
          <w:rFonts w:ascii="Times New Roman" w:cs="Times New Roman" w:eastAsia="Times New Roman" w:hAnsi="Times New Roman"/>
          <w:sz w:val="22"/>
          <w:szCs w:val="22"/>
          <w:color w:val="auto"/>
        </w:rPr>
      </w:pPr>
    </w:p>
    <w:p>
      <w:pPr>
        <w:jc w:val="both"/>
        <w:ind w:right="360" w:firstLine="2276"/>
        <w:spacing w:after="0" w:line="263" w:lineRule="auto"/>
        <w:tabs>
          <w:tab w:leader="none" w:pos="258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tranche of the unvested Restricted Stock Units shall only be eligible to vest if Grantee has complied (as determined in the sole discretion of the Company) with the terms set forth in Paragraphs 12 and 13 of the Award Agreement since the Grant Date;</w:t>
      </w:r>
    </w:p>
    <w:p>
      <w:pPr>
        <w:spacing w:after="0" w:line="167" w:lineRule="exact"/>
        <w:rPr>
          <w:rFonts w:ascii="Times New Roman" w:cs="Times New Roman" w:eastAsia="Times New Roman" w:hAnsi="Times New Roman"/>
          <w:sz w:val="22"/>
          <w:szCs w:val="22"/>
          <w:color w:val="auto"/>
        </w:rPr>
      </w:pPr>
    </w:p>
    <w:p>
      <w:pPr>
        <w:ind w:right="40" w:firstLine="2276"/>
        <w:spacing w:after="0" w:line="257" w:lineRule="auto"/>
        <w:tabs>
          <w:tab w:leader="none" w:pos="258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Grantee does not comply with the terms set forth in Paragraphs 12 or 13, any unvested Restricted Stock Units that would otherwise vest after such noncompliance shall be cancelled and any Shares received in settlement of a vested Restricted Stock Unit will be subject to the clawback provisions of those paragraphs; and</w:t>
      </w:r>
    </w:p>
    <w:p>
      <w:pPr>
        <w:spacing w:after="0" w:line="173" w:lineRule="exact"/>
        <w:rPr>
          <w:sz w:val="20"/>
          <w:szCs w:val="20"/>
          <w:color w:val="auto"/>
        </w:rPr>
      </w:pPr>
    </w:p>
    <w:p>
      <w:pPr>
        <w:ind w:right="40" w:firstLine="2268"/>
        <w:spacing w:after="0" w:line="251" w:lineRule="auto"/>
        <w:rPr>
          <w:sz w:val="20"/>
          <w:szCs w:val="20"/>
          <w:color w:val="auto"/>
        </w:rPr>
      </w:pPr>
      <w:r>
        <w:rPr>
          <w:rFonts w:ascii="Times New Roman" w:cs="Times New Roman" w:eastAsia="Times New Roman" w:hAnsi="Times New Roman"/>
          <w:sz w:val="22"/>
          <w:szCs w:val="22"/>
          <w:color w:val="auto"/>
        </w:rPr>
        <w:t>(iii)Notwithstanding anything else to the contrary, if Grantee’s termination of Continued Service was due to Grantee’s voluntary resignation in the same calendar year as the Grant Date, the total number of unvested Restricted Stock Units eligible for continued vesting shall be prorated to reflect the percentage of days in such calendar year in which Grantee was in Continued Service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for the avoidance of doubt, the number of Restricted Stock Units eligible for continued vesting will equal the number specified in the Notice of Grant hereof, multiplied by the number of days from January 1 for which the Grantee was in Continued Service, divided by 365).</w:t>
      </w:r>
    </w:p>
    <w:p>
      <w:pPr>
        <w:spacing w:after="0" w:line="191" w:lineRule="exact"/>
        <w:rPr>
          <w:sz w:val="20"/>
          <w:szCs w:val="20"/>
          <w:color w:val="auto"/>
        </w:rPr>
      </w:pPr>
    </w:p>
    <w:p>
      <w:pPr>
        <w:ind w:right="100" w:firstLine="1304"/>
        <w:spacing w:after="0" w:line="252" w:lineRule="auto"/>
        <w:tabs>
          <w:tab w:leader="none" w:pos="1939"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Qualifying Termination following a Change of Control</w:t>
      </w:r>
      <w:r>
        <w:rPr>
          <w:rFonts w:ascii="Times New Roman" w:cs="Times New Roman" w:eastAsia="Times New Roman" w:hAnsi="Times New Roman"/>
          <w:sz w:val="22"/>
          <w:szCs w:val="22"/>
          <w:color w:val="auto"/>
        </w:rPr>
        <w:t>. In the event the Company involuntarily terminates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Grantee’s Continued Service without Cause (including as a result of the elimination of his or her position) during the twelve (12) months following a Change of Control (a “</w:t>
      </w:r>
      <w:r>
        <w:rPr>
          <w:rFonts w:ascii="Times New Roman" w:cs="Times New Roman" w:eastAsia="Times New Roman" w:hAnsi="Times New Roman"/>
          <w:sz w:val="22"/>
          <w:szCs w:val="22"/>
          <w:b w:val="1"/>
          <w:bCs w:val="1"/>
          <w:color w:val="auto"/>
        </w:rPr>
        <w:t>Qualifying Termination</w:t>
      </w:r>
      <w:r>
        <w:rPr>
          <w:rFonts w:ascii="Times New Roman" w:cs="Times New Roman" w:eastAsia="Times New Roman" w:hAnsi="Times New Roman"/>
          <w:sz w:val="22"/>
          <w:szCs w:val="22"/>
          <w:color w:val="auto"/>
        </w:rPr>
        <w:t>”), the unvested portion of the Restricted Stock Units shall vest on the Termination Date. For the avoidance of doubt, (i) this Paragraph 3(d) controls (not Paragraph 3(c)) even if Grantee is Retirement-eligible at the time of the Qualifying Termination and (ii) Section 13.10 of the Plan does not apply to the Restricted Stock Units granted hereunder.</w:t>
      </w:r>
    </w:p>
    <w:p>
      <w:pPr>
        <w:spacing w:after="0" w:line="174" w:lineRule="exact"/>
        <w:rPr>
          <w:rFonts w:ascii="Times New Roman" w:cs="Times New Roman" w:eastAsia="Times New Roman" w:hAnsi="Times New Roman"/>
          <w:sz w:val="22"/>
          <w:szCs w:val="22"/>
          <w:color w:val="auto"/>
        </w:rPr>
      </w:pPr>
    </w:p>
    <w:p>
      <w:pPr>
        <w:ind w:right="220" w:firstLine="1304"/>
        <w:spacing w:after="0" w:line="259" w:lineRule="auto"/>
        <w:tabs>
          <w:tab w:leader="none" w:pos="1941"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Conditions</w:t>
      </w:r>
      <w:r>
        <w:rPr>
          <w:rFonts w:ascii="Times New Roman" w:cs="Times New Roman" w:eastAsia="Times New Roman" w:hAnsi="Times New Roman"/>
          <w:sz w:val="22"/>
          <w:szCs w:val="22"/>
          <w:color w:val="auto"/>
        </w:rPr>
        <w:t>. Notwithstanding anything herein to the contrary, the vesting terms set forth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Paragraph 3 are contingent upon the Grantee being in full compliance with all the terms of this Award Agreement at the time of vesting.</w:t>
      </w:r>
    </w:p>
    <w:p>
      <w:pPr>
        <w:spacing w:after="0" w:line="170" w:lineRule="exact"/>
        <w:rPr>
          <w:rFonts w:ascii="Times New Roman" w:cs="Times New Roman" w:eastAsia="Times New Roman" w:hAnsi="Times New Roman"/>
          <w:sz w:val="22"/>
          <w:szCs w:val="22"/>
          <w:color w:val="auto"/>
        </w:rPr>
      </w:pPr>
    </w:p>
    <w:p>
      <w:pPr>
        <w:ind w:right="80" w:firstLine="656"/>
        <w:spacing w:after="0" w:line="281" w:lineRule="auto"/>
        <w:tabs>
          <w:tab w:leader="none" w:pos="1296"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after Vesting</w:t>
      </w:r>
      <w:r>
        <w:rPr>
          <w:rFonts w:ascii="Times New Roman" w:cs="Times New Roman" w:eastAsia="Times New Roman" w:hAnsi="Times New Roman"/>
          <w:sz w:val="21"/>
          <w:szCs w:val="21"/>
          <w:color w:val="auto"/>
        </w:rPr>
        <w:t>. Any Restricted Stock Units that vest in accordance with Paragraph 3 will be paid to the Grantee (or in the event of the Grantee’s death, to his or her estate) in Shares as soon as practicable following the date of vesting, subject to Paragraph 7, but in no event later than the applicable two and one-half (2-½) month period of the “short-term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0" w:lineRule="exact"/>
        <w:rPr>
          <w:sz w:val="20"/>
          <w:szCs w:val="20"/>
          <w:color w:val="auto"/>
        </w:rPr>
      </w:pPr>
    </w:p>
    <w:p>
      <w:pPr>
        <w:spacing w:after="0" w:line="21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1"/>
          <w:szCs w:val="21"/>
          <w:color w:val="auto"/>
        </w:rPr>
        <w:t>deferral” rule set forth in the Section 1.409A-1(b)(4) of the Treasury Regulations issued under Section 409A. Notwithstanding the foregoing, if the Restricted Stock Units are “deferred compensation” within the meaning of Section 409A, the vested Restricted Stock Units will be released to the Grantee (or in the event of the Grantee’s death, to his or her estate) in Shares as soon as practicable following the date of vesting, subject to Paragraph 7, but in no event later than the end of the calendar year that includes the date of vesting or, if later, the fifteen (15th) day of the third (3rd) calendar month following the date of vesting (provided that the Grantee will not be permitted, directly or indirectly, to designate the taxable year of the payment). Further, if some or all of the Restricted Stock Units that are “deferred compensation” within the meaning of Section 409A vest on account of the Grantee’s termination of Continued Service (other than due to death) in accordance with Paragraph 3, the Restricted Stock Units that vest on account of the Grantee’s termination of Continued Service will not be considered due or payable until the Grantee has a “separation from service” within the meaning of Section 409A. In addition, if the Grantee is a “specified employee” within the meaning of Section 409A at the time of the Grantee’s separation from service (other than due to death), then any accelerated Restricted Stock Units will be paid to the Grantee no earlier than six (6) months and one (1) day following the date of the Grantee’s separation from service unless the Grantee dies following his or her separation from service, in which case, the Restricted Stock Units will be paid to the Grantee’s estate as soon as practicable following his or her death, subject to Paragraph 7. Each payment payable to a U.S. taxpayer under this Award Agreement is intended to constitute a separate payment for purposes of Treasury Regulation Section 1.409A-2(b)(2). For purposes of this Award Agreement, “Section 409A” means Section 409A of the U.S. Internal Revenue Code of 1986, as amended, and any final Treasury Regulations and other Internal Revenue Service guidance thereunder, as each may be amended from time to time.</w:t>
      </w:r>
    </w:p>
    <w:p>
      <w:pPr>
        <w:spacing w:after="0" w:line="183" w:lineRule="exact"/>
        <w:rPr>
          <w:sz w:val="20"/>
          <w:szCs w:val="20"/>
          <w:color w:val="auto"/>
        </w:rPr>
      </w:pPr>
    </w:p>
    <w:p>
      <w:pPr>
        <w:ind w:right="20" w:firstLine="656"/>
        <w:spacing w:after="0" w:line="253" w:lineRule="auto"/>
        <w:tabs>
          <w:tab w:leader="none" w:pos="129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Subject to Paragraphs 3(c) and 3(d), and notwithstanding any contrary provision of this Award Agreement, the balance of the Restricted Stock Units that have not vested pursuant to Paragraph 3 at the time the Grantee ceases to be in Continued Service will be forfeited and automatically transferred to and reacquired by the Company at no cost to the Company. The Grantee shall not be entitled to a refund of any of the price paid for the Restricted Stock Units forfeited to the Company pursuant to this Paragraph 5.</w:t>
      </w:r>
    </w:p>
    <w:p>
      <w:pPr>
        <w:spacing w:after="0" w:line="178" w:lineRule="exact"/>
        <w:rPr>
          <w:rFonts w:ascii="Times New Roman" w:cs="Times New Roman" w:eastAsia="Times New Roman" w:hAnsi="Times New Roman"/>
          <w:sz w:val="22"/>
          <w:szCs w:val="22"/>
          <w:color w:val="auto"/>
        </w:rPr>
      </w:pPr>
    </w:p>
    <w:p>
      <w:pPr>
        <w:ind w:firstLine="656"/>
        <w:spacing w:after="0" w:line="250" w:lineRule="auto"/>
        <w:tabs>
          <w:tab w:leader="none" w:pos="129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Grantee</w:t>
      </w:r>
      <w:r>
        <w:rPr>
          <w:rFonts w:ascii="Times New Roman" w:cs="Times New Roman" w:eastAsia="Times New Roman" w:hAnsi="Times New Roman"/>
          <w:sz w:val="22"/>
          <w:szCs w:val="22"/>
          <w:color w:val="auto"/>
        </w:rPr>
        <w:t>. Any distribution or delivery to be made to the Grantee under this Award Agreement will, if the Grantee is then deceased, be made to the administrator or executor of the Grantee’s estate (or such other person to whom the Restricted Stock Units are transferred pursuant to the Grantee’s will or in accordance with the laws of descent and distribution). Any such transferee must furnish the Company (a) written notice of his or her status as a transferee, (b) evidence satisfactory to the Company to establish the validity of the transfer of these Restricted Stock Units and compliance with any laws or regulations pertaining to such transfer, and (c) written acceptance of the terms and conditions of this Restricted Stock Unit grant as set forth in this Award Agreement.</w:t>
      </w:r>
    </w:p>
    <w:p>
      <w:pPr>
        <w:spacing w:after="0" w:line="193" w:lineRule="exact"/>
        <w:rPr>
          <w:rFonts w:ascii="Times New Roman" w:cs="Times New Roman" w:eastAsia="Times New Roman" w:hAnsi="Times New Roman"/>
          <w:sz w:val="22"/>
          <w:szCs w:val="22"/>
          <w:color w:val="auto"/>
        </w:rPr>
      </w:pPr>
    </w:p>
    <w:p>
      <w:pPr>
        <w:ind w:right="40" w:firstLine="656"/>
        <w:spacing w:after="0" w:line="257" w:lineRule="auto"/>
        <w:tabs>
          <w:tab w:leader="none" w:pos="129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of Taxes</w:t>
      </w:r>
      <w:r>
        <w:rPr>
          <w:rFonts w:ascii="Times New Roman" w:cs="Times New Roman" w:eastAsia="Times New Roman" w:hAnsi="Times New Roman"/>
          <w:sz w:val="22"/>
          <w:szCs w:val="22"/>
          <w:color w:val="auto"/>
        </w:rPr>
        <w:t>. When the Shares are issued as payment for vested Restricted Stock Units, the Grantee will recognize immediate U.S. taxable income if the Grantee is a U.S. taxpayer. If the Grantee is a non-U.S. taxpayer, the Grantee may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40"/>
          </w:cols>
          <w:pgMar w:left="320" w:top="1440" w:right="439" w:bottom="1440" w:gutter="0" w:footer="0" w:header="0"/>
        </w:sectPr>
      </w:pPr>
    </w:p>
    <w:bookmarkStart w:id="108" w:name="page109"/>
    <w:bookmarkEnd w:id="108"/>
    <w:p>
      <w:pPr>
        <w:spacing w:after="0" w:line="200" w:lineRule="exact"/>
        <w:rPr>
          <w:sz w:val="20"/>
          <w:szCs w:val="20"/>
          <w:color w:val="auto"/>
        </w:rPr>
      </w:pPr>
    </w:p>
    <w:p>
      <w:pPr>
        <w:spacing w:after="0" w:line="21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applicable taxes in his or her jurisdiction. The Company (or the employing parent of the Company or Subsidiary) will withhold a portion of the Shares otherwise issuable in payment for vested Restricted Stock Units that have an aggregate market value sufficient to pay the federal, state and local income, employment and any other applicable taxes required to be withheld by the Company (or the employing parent of the Company or Subsidiary) with respect to the Shares, not to exceed the amount determined by using the maximum federal, state or local marginal income tax rates applicable to the Grantee or the Company, as applicable, with respect to the Shares on the date that the amount of tax to be withheld or remitted is to be determined. No fractional Shares will be withheld or issued pursuant to the grant of Restricted Stock Units and the issuance of Shares thereunder. The Company (or the employing parent of the Company or Subsidiary) may instead, in its discretion, withhold an amount necessary to pay the applicable taxes from the Grantee’s paycheck, with no withholding of Shares. In the event the withholding requirements are not satisfied through the withholding of Shares (or, through the Grantee’s paycheck, as indicated above), no payment will be made to the Grantee (or his or her estate) for Restricted Stock Units unless and until satisfactory arrangements (as determined by the Committee) have been made by the Grantee with respect to the payment of any income and other taxes which the Company determines must be withheld or collected with respect to such Restricted Stock Units. By accepting this Award, the Grantee expressly consents to the withholding of Shares and to any cash or Share withholding as provided for in this Paragraph 7.</w:t>
      </w:r>
    </w:p>
    <w:p>
      <w:pPr>
        <w:spacing w:after="0" w:line="183" w:lineRule="exact"/>
        <w:rPr>
          <w:sz w:val="20"/>
          <w:szCs w:val="20"/>
          <w:color w:val="auto"/>
        </w:rPr>
      </w:pPr>
    </w:p>
    <w:p>
      <w:pPr>
        <w:ind w:right="60" w:firstLine="1296"/>
        <w:spacing w:after="0" w:line="251" w:lineRule="auto"/>
        <w:rPr>
          <w:sz w:val="20"/>
          <w:szCs w:val="20"/>
          <w:color w:val="auto"/>
        </w:rPr>
      </w:pPr>
      <w:r>
        <w:rPr>
          <w:rFonts w:ascii="Times New Roman" w:cs="Times New Roman" w:eastAsia="Times New Roman" w:hAnsi="Times New Roman"/>
          <w:sz w:val="22"/>
          <w:szCs w:val="22"/>
          <w:color w:val="auto"/>
        </w:rPr>
        <w:t>The Company (or employing parent of the Company or Subsidiary) may not be required to withhold taxes on behalf of the employee with regards to the Restricted Stock Units, but the award may still be subject to tax. Additionally, income taxes withheld by the Company may not satisfy the entire income tax liability associated with the award. All income and other taxes related to the Restricted Stock Unit award and any Shares delivered in payment thereof are the sole responsibility of the Grantee. In no event will the Company reimburse the Grantee for any taxes or other costs that may be imposed on the Grantee as result of Section 409A. See also the “Tax Matters” section at the end of this Award Agreement.</w:t>
      </w:r>
    </w:p>
    <w:p>
      <w:pPr>
        <w:spacing w:after="0" w:line="181" w:lineRule="exact"/>
        <w:rPr>
          <w:sz w:val="20"/>
          <w:szCs w:val="20"/>
          <w:color w:val="auto"/>
        </w:rPr>
      </w:pPr>
    </w:p>
    <w:p>
      <w:pPr>
        <w:ind w:firstLine="656"/>
        <w:spacing w:after="0" w:line="249" w:lineRule="auto"/>
        <w:tabs>
          <w:tab w:leader="none" w:pos="129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the Grantee nor any person claiming under or through the Grantee shall have any of the rights or privileges of a stockholder of the Company in respect of any Shares deliverable hereunder unless and until certificates representing such Shares (which may be in book entry form) shall have been issued, recorded on the records of the Company or its transfer agents or registrars, and delivered to the Grantee (including through electronic delivery to a brokerage account). Notwithstanding any other part of this Award Agreement, any quarterly or other regular, periodic dividends or distributions (as determined by the Company) paid on Shares will accrue with respect to unvested Restricted Stock Units and will be subject to the same forfeitures provisions (if any), and be paid out at the same time or time(s), as the underlying Restricted Stock Units on which such dividends or other distributions have accrued. After such issuance, recordation and delivery, the Grantee will have all the rights of a stockholder of the Company with respect to voting such Shares and receipt of dividends and distributions on such Shares.</w:t>
      </w:r>
    </w:p>
    <w:p>
      <w:pPr>
        <w:spacing w:after="0" w:line="183" w:lineRule="exact"/>
        <w:rPr>
          <w:rFonts w:ascii="Times New Roman" w:cs="Times New Roman" w:eastAsia="Times New Roman" w:hAnsi="Times New Roman"/>
          <w:sz w:val="22"/>
          <w:szCs w:val="22"/>
          <w:color w:val="auto"/>
        </w:rPr>
      </w:pPr>
    </w:p>
    <w:p>
      <w:pPr>
        <w:ind w:right="700" w:firstLine="656"/>
        <w:spacing w:after="0" w:line="271" w:lineRule="auto"/>
        <w:tabs>
          <w:tab w:leader="none" w:pos="129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Effect on Employment or Service</w:t>
      </w:r>
      <w:r>
        <w:rPr>
          <w:rFonts w:ascii="Times New Roman" w:cs="Times New Roman" w:eastAsia="Times New Roman" w:hAnsi="Times New Roman"/>
          <w:sz w:val="22"/>
          <w:szCs w:val="22"/>
          <w:color w:val="auto"/>
        </w:rPr>
        <w:t>. The Grantee’s employment with the Company and any parent of the Company or Subsidiary is on an at-will basis only,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00"/>
          </w:cols>
          <w:pgMar w:left="320" w:top="1440" w:right="379" w:bottom="1440" w:gutter="0" w:footer="0" w:header="0"/>
        </w:sectPr>
      </w:pPr>
    </w:p>
    <w:bookmarkStart w:id="109" w:name="page110"/>
    <w:bookmarkEnd w:id="109"/>
    <w:p>
      <w:pPr>
        <w:spacing w:after="0" w:line="200" w:lineRule="exact"/>
        <w:rPr>
          <w:sz w:val="20"/>
          <w:szCs w:val="20"/>
          <w:color w:val="auto"/>
        </w:rPr>
      </w:pPr>
    </w:p>
    <w:p>
      <w:pPr>
        <w:spacing w:after="0" w:line="214"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2"/>
          <w:szCs w:val="22"/>
          <w:color w:val="auto"/>
        </w:rPr>
        <w:t>provisions of applicable law. Accordingly, subject to any written, express employment contract with the Grantee, nothing in this Award Agreement or the Plan shall confer upon the Grantee any right to continue to be employed by the Company or any parent of the Company or Subsidiary or shall interfere with or restrict in any way the rights of the Company or the employing parent or Subsidiary, which are hereby expressly reserved, to terminate the employment of the Grantee at any time for any reason whatsoever, with or without good cause. Such reservation of rights can be modified only in an express written contract executed by a duly authorized officer of the Company or the parent or Subsidiary employing the Grantee.</w:t>
      </w:r>
    </w:p>
    <w:p>
      <w:pPr>
        <w:spacing w:after="0" w:line="181" w:lineRule="exact"/>
        <w:rPr>
          <w:sz w:val="20"/>
          <w:szCs w:val="20"/>
          <w:color w:val="auto"/>
        </w:rPr>
      </w:pPr>
    </w:p>
    <w:p>
      <w:pPr>
        <w:ind w:right="320" w:firstLine="656"/>
        <w:spacing w:after="0" w:line="263" w:lineRule="auto"/>
        <w:tabs>
          <w:tab w:leader="none" w:pos="129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shall be addressed to the Company, in care of its Secretary at the Company’s headquarters, P.O. Box 10212, 56 Top Gallant Road, Stamford, CT 06902-7700, or at such other address as the Company may hereafter designate in writing.</w:t>
      </w:r>
    </w:p>
    <w:p>
      <w:pPr>
        <w:spacing w:after="0" w:line="167" w:lineRule="exact"/>
        <w:rPr>
          <w:rFonts w:ascii="Times New Roman" w:cs="Times New Roman" w:eastAsia="Times New Roman" w:hAnsi="Times New Roman"/>
          <w:sz w:val="22"/>
          <w:szCs w:val="22"/>
          <w:color w:val="auto"/>
        </w:rPr>
      </w:pPr>
    </w:p>
    <w:p>
      <w:pPr>
        <w:ind w:firstLine="656"/>
        <w:spacing w:after="0" w:line="260" w:lineRule="auto"/>
        <w:tabs>
          <w:tab w:leader="none" w:pos="1288"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is Not Transferable</w:t>
      </w:r>
      <w:r>
        <w:rPr>
          <w:rFonts w:ascii="Times New Roman" w:cs="Times New Roman" w:eastAsia="Times New Roman" w:hAnsi="Times New Roman"/>
          <w:sz w:val="21"/>
          <w:szCs w:val="21"/>
          <w:color w:val="auto"/>
        </w:rPr>
        <w:t>. Except to the limited extent provided in Paragraph 6 above, this grant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grant, or of any right or privilege conferred hereby, or upon any attempted sale under any execution, attachment or similar process, this grant and the rights and privileges conferred hereby immediately shall become null and void. Notwithstanding the preceding, the Grantee may transfer (not for consideration and for bona fide estate planning purposes) the Restricted Stock Units awarded under this Award Agreement to a revocable estate planning trust that is established solely for the benefit of Grantee and his or her immediate family. Any such transfer will be permitted only if it is in compliance with such rules and procedures as the Company may establish from time to time. Among other things, Grantee must acknowledge and agree that (a) for U.S. income tax purposes, all taxable income from the Restricted Stock Units will be reported to Grantee alone, (b) if Grantee proposes to change the nature or character of the transferee trust, Grantee first must inform the Company and the Company may require that the Restricted Stock Units be transferred back to Grantee alone, and (c) no additional other or further transfers of the Restricted Stock Units will be permitted under any circumstance.</w:t>
      </w:r>
    </w:p>
    <w:p>
      <w:pPr>
        <w:spacing w:after="0" w:line="176"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29" w:lineRule="exact"/>
        <w:rPr>
          <w:rFonts w:ascii="Times New Roman" w:cs="Times New Roman" w:eastAsia="Times New Roman" w:hAnsi="Times New Roman"/>
          <w:sz w:val="22"/>
          <w:szCs w:val="22"/>
          <w:color w:val="auto"/>
        </w:rPr>
      </w:pPr>
    </w:p>
    <w:p>
      <w:pPr>
        <w:ind w:right="40" w:firstLine="2276"/>
        <w:spacing w:after="0" w:line="250" w:lineRule="auto"/>
        <w:tabs>
          <w:tab w:leader="none" w:pos="258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Competitive Acts</w:t>
      </w:r>
      <w:r>
        <w:rPr>
          <w:rFonts w:ascii="Times New Roman" w:cs="Times New Roman" w:eastAsia="Times New Roman" w:hAnsi="Times New Roman"/>
          <w:sz w:val="22"/>
          <w:szCs w:val="22"/>
          <w:color w:val="auto"/>
        </w:rPr>
        <w:t>” shall mean: (A) the development, production, marketing or selling of (or assisting others to develop, produce, market or sell): (x) syndicated research that competes with the Company; or (y) a product or service which is competitive with the existing or planned products or services of the Company with which Grantee was involved or managed at any time during the last twenty-four (24) months of the Grantee’s Continued Service; and/or (B) the direct or indirect provision of services to or solicitation of the Company’s clients or known prospects with whom Grantee had contact, managed, or became aware of as a result of being employed by the Company, for the purposes of developing, producing, marketing or selling such competitive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200" w:lineRule="exact"/>
        <w:rPr>
          <w:sz w:val="20"/>
          <w:szCs w:val="20"/>
          <w:color w:val="auto"/>
        </w:rPr>
      </w:pPr>
    </w:p>
    <w:p>
      <w:pPr>
        <w:spacing w:after="0" w:line="214" w:lineRule="exact"/>
        <w:rPr>
          <w:sz w:val="20"/>
          <w:szCs w:val="20"/>
          <w:color w:val="auto"/>
        </w:rPr>
      </w:pPr>
    </w:p>
    <w:p>
      <w:pPr>
        <w:ind w:firstLine="2276"/>
        <w:spacing w:after="0" w:line="250" w:lineRule="auto"/>
        <w:tabs>
          <w:tab w:leader="none" w:pos="258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understands and agrees that the Company’s business is global in nature and that its clients are located throughout the world; therefore, a territorial limitation on the non-competition covenants set forth in this Paragraph 12 would not allow the Company to adequately protect its legitimate business interests, and the absence of such a limitation is entirely reasonable under these circumstances. In addition, Grantee agrees that the provisions of this Paragraph 12 are reasonable to protect and preserve the Company’s legitimate business interests, including the protection of the Company’s Confidential Information (as defined below) and the Company’s substantial investment made to develop and retain its Confidential Information, client base, accounts and related goodwill.</w:t>
      </w:r>
    </w:p>
    <w:p>
      <w:pPr>
        <w:spacing w:after="0" w:line="180" w:lineRule="exact"/>
        <w:rPr>
          <w:sz w:val="20"/>
          <w:szCs w:val="20"/>
          <w:color w:val="auto"/>
        </w:rPr>
      </w:pPr>
    </w:p>
    <w:p>
      <w:pPr>
        <w:ind w:right="140" w:firstLine="2268"/>
        <w:spacing w:after="0" w:line="263" w:lineRule="auto"/>
        <w:rPr>
          <w:sz w:val="20"/>
          <w:szCs w:val="20"/>
          <w:color w:val="auto"/>
        </w:rPr>
      </w:pPr>
      <w:r>
        <w:rPr>
          <w:rFonts w:ascii="Times New Roman" w:cs="Times New Roman" w:eastAsia="Times New Roman" w:hAnsi="Times New Roman"/>
          <w:sz w:val="22"/>
          <w:szCs w:val="22"/>
          <w:color w:val="auto"/>
        </w:rPr>
        <w:t>(iii)The Company may, in its sole discretion, waive any portion of the Grantee’s obligations contained in Paragraph 12. No such waiver shall be valid unless directly provided to Grantee, in writing, by the Company’s General Counsel or his or her designee.</w:t>
      </w:r>
    </w:p>
    <w:p>
      <w:pPr>
        <w:spacing w:after="0" w:line="167" w:lineRule="exact"/>
        <w:rPr>
          <w:sz w:val="20"/>
          <w:szCs w:val="20"/>
          <w:color w:val="auto"/>
        </w:rPr>
      </w:pPr>
    </w:p>
    <w:p>
      <w:pPr>
        <w:ind w:right="120" w:firstLine="1304"/>
        <w:spacing w:after="0" w:line="250" w:lineRule="auto"/>
        <w:tabs>
          <w:tab w:leader="none" w:pos="193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in order to continue to be eligible to vest in Grantee’s unvested Restricted Stock Units while in Continued Service or following a termination thereof under Paragraph 3(c), the Grantee will not, on his or her own behalf or on behalf of any other person or entity (whether as a consultant, analyst, sales person, independent contractor, independent business venturer, partner, member, employee or otherwise), directly or indirectly during the Vesting Period: (i) engage in any Competitive Acts; and/or (ii) entice, encourage, cause or invite any of the Company’s clients, known prospects, and vendors to discontinue, diminish, or otherwise adversely modify the business done with the Company, or otherwise interfere with the relationship between the Company and its clients, known prospects, and vendors.</w:t>
      </w:r>
    </w:p>
    <w:p>
      <w:pPr>
        <w:spacing w:after="0" w:line="180"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1"/>
          <w:szCs w:val="21"/>
          <w:color w:val="auto"/>
        </w:rPr>
        <w:t>Grantee agrees that to the extent permissible under applicable law, following any lack of compliance with Paragraph 12, the Company shall be entitled (i) to cause any Shares underlying the Restricted Stock Units that have not vested and been distributed to Grantee following the date Grantee was not in compliance (as determined by the Committee in its sole discretion) to be forfeited and (ii) if determined by the Committee, to cause any Shares received in settlement of a vested Restricted Stock Unit (or an amount equal to the cash received by the Grantee on any subsequent sale(s) of such Shares) following the date Grantee was not in compliance (as determined by the Committee in its sole discretion) to be clawed back by the Company. For the avoidance of doubt, the Company will not be entitled to seek injunctive relief for a lack of compliance with this Paragraph 12.</w:t>
      </w:r>
    </w:p>
    <w:p>
      <w:pPr>
        <w:spacing w:after="0" w:line="186" w:lineRule="exact"/>
        <w:rPr>
          <w:sz w:val="20"/>
          <w:szCs w:val="20"/>
          <w:color w:val="auto"/>
        </w:rPr>
      </w:pPr>
    </w:p>
    <w:p>
      <w:pPr>
        <w:ind w:right="100" w:firstLine="1304"/>
        <w:spacing w:after="0" w:line="248" w:lineRule="auto"/>
        <w:tabs>
          <w:tab w:leader="none" w:pos="175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acknowledges that the time, geographic and scope limitations of the non-competition and non-solicitation provisions set forth herein are fair and reasonable in all respects, and that Grantee will not be precluded from gainful employment if obligated to comply with the provisions hereof. To the extent a court of appropriate jurisdiction finds the duration and/or geographic scope of the non-competition or non-solicitation restrictions to be unenforceable under applicable law, in whole or in part, then it is the intention of the parties that such restriction be applied to the fullest extent which the court deems reasonable.</w:t>
      </w:r>
    </w:p>
    <w:p>
      <w:pPr>
        <w:spacing w:after="0" w:line="200" w:lineRule="exact"/>
        <w:rPr>
          <w:rFonts w:ascii="Times New Roman" w:cs="Times New Roman" w:eastAsia="Times New Roman" w:hAnsi="Times New Roman"/>
          <w:sz w:val="22"/>
          <w:szCs w:val="22"/>
          <w:color w:val="auto"/>
        </w:rPr>
      </w:pPr>
    </w:p>
    <w:p>
      <w:pPr>
        <w:ind w:right="500" w:firstLine="1304"/>
        <w:spacing w:after="0" w:line="271" w:lineRule="auto"/>
        <w:tabs>
          <w:tab w:leader="none" w:pos="176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Vesting Period, the Grantee will notify (in writing and not less than 72 hours in advance) the Company’s General Counsel if he or she intends to become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employee or other service provider of an entity other than the Company where such service shall involve Grantee engaging in any Competitive Acts and/or result in enticing, encouraging, causing or inviting any of the Company’s clients, known prospects, and vendors to discontinue, diminish, or otherwise adversely modify the business done with the Company, or otherwise interfere with the relationship between the Company and its clients, known prospects, and vendors. On the effective date of Grantee’s new employment, there will be no additional vesting hereunder.</w:t>
      </w:r>
    </w:p>
    <w:p>
      <w:pPr>
        <w:spacing w:after="0" w:line="179"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For purposes of this Paragraph 12, the “Company” shall include the Company or any parent of the Company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Subsidiary.</w:t>
      </w:r>
    </w:p>
    <w:p>
      <w:pPr>
        <w:spacing w:after="0" w:line="196" w:lineRule="exact"/>
        <w:rPr>
          <w:sz w:val="20"/>
          <w:szCs w:val="20"/>
          <w:color w:val="auto"/>
        </w:rPr>
      </w:pPr>
    </w:p>
    <w:p>
      <w:pPr>
        <w:ind w:right="20" w:firstLine="656"/>
        <w:spacing w:after="0" w:line="250" w:lineRule="auto"/>
        <w:tabs>
          <w:tab w:leader="none" w:pos="129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and No-Hire</w:t>
      </w:r>
      <w:r>
        <w:rPr>
          <w:rFonts w:ascii="Times New Roman" w:cs="Times New Roman" w:eastAsia="Times New Roman" w:hAnsi="Times New Roman"/>
          <w:sz w:val="22"/>
          <w:szCs w:val="22"/>
          <w:color w:val="auto"/>
        </w:rPr>
        <w:t>. During the Vesting Period, Grantee agrees that in order to continue to be eligible to vest in Grantee’s unvested Restricted Stock Units while in Continued Service or following a termination thereof under Paragraph 3(c), the Grantee will not, on his or her own behalf or on behalf of any other person or entity (whether as a consultant, analyst, sales person, independent contractor, independent business venturer, partner, member, employee or otherwise), directly or indirectly solicit, entice, recruit, or offer or cause to be offered employment to employees of the Company or any person who was employed by the Company at any time during the twelve (12) months prior to the termination of Grantee’s Continued Service. General mass solicitations of employment that are not directed at the Company or any employee(s) of the Company shall not be prohibited by this Paragraph 13.</w:t>
      </w:r>
    </w:p>
    <w:p>
      <w:pPr>
        <w:spacing w:after="0" w:line="187" w:lineRule="exact"/>
        <w:rPr>
          <w:sz w:val="20"/>
          <w:szCs w:val="20"/>
          <w:color w:val="auto"/>
        </w:rPr>
      </w:pPr>
    </w:p>
    <w:p>
      <w:pPr>
        <w:ind w:right="960" w:firstLine="648"/>
        <w:spacing w:after="0" w:line="271" w:lineRule="auto"/>
        <w:rPr>
          <w:sz w:val="20"/>
          <w:szCs w:val="20"/>
          <w:color w:val="auto"/>
        </w:rPr>
      </w:pPr>
      <w:r>
        <w:rPr>
          <w:rFonts w:ascii="Times New Roman" w:cs="Times New Roman" w:eastAsia="Times New Roman" w:hAnsi="Times New Roman"/>
          <w:sz w:val="22"/>
          <w:szCs w:val="22"/>
          <w:color w:val="auto"/>
        </w:rPr>
        <w:t>For purposes of this Paragraph 13, the “Company” shall include the Company or any parent of the Company or Subsidiary.</w:t>
      </w:r>
    </w:p>
    <w:p>
      <w:pPr>
        <w:spacing w:after="0" w:line="158" w:lineRule="exact"/>
        <w:rPr>
          <w:sz w:val="20"/>
          <w:szCs w:val="20"/>
          <w:color w:val="auto"/>
        </w:rPr>
      </w:pPr>
    </w:p>
    <w:p>
      <w:pPr>
        <w:ind w:right="200" w:firstLine="648"/>
        <w:spacing w:after="0" w:line="263" w:lineRule="auto"/>
        <w:rPr>
          <w:sz w:val="20"/>
          <w:szCs w:val="20"/>
          <w:color w:val="auto"/>
        </w:rPr>
      </w:pPr>
      <w:r>
        <w:rPr>
          <w:rFonts w:ascii="Times New Roman" w:cs="Times New Roman" w:eastAsia="Times New Roman" w:hAnsi="Times New Roman"/>
          <w:sz w:val="21"/>
          <w:szCs w:val="21"/>
          <w:color w:val="auto"/>
        </w:rPr>
        <w:t>Grantee agrees that to the extent permissible under applicable law, following any lack of compliance with Paragraph 13, the Company shall be entitled (i) to cause any Shares underlying the Restricted Stock Units that have not vested and been distributed to Grantee following the date Grantee was not in compliance (as determined by the Committee in its sole discretion) to be forfeited and (ii) if determined by the Committee, to cause any Shares received in settlement of a vested Restricted Stock Unit (or an amount equal to the cash received by the Grantee on any subsequent sale(s) of such Shares) following the date Grantee was not in compliance (as determined by the Committee in its sole discretion) to be clawed back by the Company. For the avoidance of doubt, the Company will not be entitled to seek injunctive relief for a lack of compliance with Paragraph 13.</w:t>
      </w:r>
    </w:p>
    <w:p>
      <w:pPr>
        <w:spacing w:after="0" w:line="186" w:lineRule="exact"/>
        <w:rPr>
          <w:sz w:val="20"/>
          <w:szCs w:val="20"/>
          <w:color w:val="auto"/>
        </w:rPr>
      </w:pPr>
    </w:p>
    <w:p>
      <w:pPr>
        <w:ind w:right="60" w:firstLine="656"/>
        <w:spacing w:after="0" w:line="275" w:lineRule="auto"/>
        <w:tabs>
          <w:tab w:leader="none" w:pos="1296"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the Award Agreement to single or multiple assignees, and this Award Agreement shall inure to the benefit of the successors and assigns of the Company. The rights and obligations of the Grantee under this Award Agreement may be assigned only with the prior written consent of the Company.</w:t>
      </w:r>
    </w:p>
    <w:p>
      <w:pPr>
        <w:spacing w:after="0" w:line="155" w:lineRule="exact"/>
        <w:rPr>
          <w:rFonts w:ascii="Times New Roman" w:cs="Times New Roman" w:eastAsia="Times New Roman" w:hAnsi="Times New Roman"/>
          <w:sz w:val="21"/>
          <w:szCs w:val="21"/>
          <w:color w:val="auto"/>
        </w:rPr>
      </w:pPr>
    </w:p>
    <w:p>
      <w:pPr>
        <w:jc w:val="both"/>
        <w:ind w:right="120" w:firstLine="656"/>
        <w:spacing w:after="0" w:line="275" w:lineRule="auto"/>
        <w:tabs>
          <w:tab w:leader="none" w:pos="1296"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 on Sale of Securities</w:t>
      </w:r>
      <w:r>
        <w:rPr>
          <w:rFonts w:ascii="Times New Roman" w:cs="Times New Roman" w:eastAsia="Times New Roman" w:hAnsi="Times New Roman"/>
          <w:sz w:val="21"/>
          <w:szCs w:val="21"/>
          <w:color w:val="auto"/>
        </w:rPr>
        <w:t>. The Shares issued as payment for vested Restricted Stock Units awarded under this Award Agreement will be registered under the federal securities laws and will be freely tradable upon receipt. However, the Grantee’s subsequent sale of the Shares will be subject to any market blackout-period that may be imposed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must comply with the Company’s insider trading policies, and any other applicable securities laws.</w:t>
      </w:r>
    </w:p>
    <w:p>
      <w:pPr>
        <w:spacing w:after="0" w:line="220" w:lineRule="exact"/>
        <w:rPr>
          <w:sz w:val="20"/>
          <w:szCs w:val="20"/>
          <w:color w:val="auto"/>
        </w:rPr>
      </w:pPr>
    </w:p>
    <w:p>
      <w:pPr>
        <w:ind w:right="240" w:firstLine="656"/>
        <w:spacing w:after="0" w:line="263" w:lineRule="auto"/>
        <w:tabs>
          <w:tab w:leader="none" w:pos="12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Subject to the limitation on the transferability of this grant contained herein, this Award Agreement shall be binding upon and inure to the benefit of the heirs, legatees, legal representatives, successors and assigns of the parties hereto.</w:t>
      </w:r>
    </w:p>
    <w:p>
      <w:pPr>
        <w:spacing w:after="0" w:line="167" w:lineRule="exact"/>
        <w:rPr>
          <w:rFonts w:ascii="Times New Roman" w:cs="Times New Roman" w:eastAsia="Times New Roman" w:hAnsi="Times New Roman"/>
          <w:sz w:val="22"/>
          <w:szCs w:val="22"/>
          <w:color w:val="auto"/>
        </w:rPr>
      </w:pPr>
    </w:p>
    <w:p>
      <w:pPr>
        <w:ind w:firstLine="656"/>
        <w:spacing w:after="0" w:line="248" w:lineRule="auto"/>
        <w:tabs>
          <w:tab w:leader="none" w:pos="12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for Issuance of Stock</w:t>
      </w:r>
      <w:r>
        <w:rPr>
          <w:rFonts w:ascii="Times New Roman" w:cs="Times New Roman" w:eastAsia="Times New Roman" w:hAnsi="Times New Roman"/>
          <w:sz w:val="22"/>
          <w:szCs w:val="22"/>
          <w:color w:val="auto"/>
        </w:rPr>
        <w:t>. The Shares of stock deliverable to the Grantee may be either previously authorized but unissued Shares or issued Shares which have been reacquired by the Company. The Company shall not be required to transfer on its books or list in street name with a brokerage company or otherwise issue any certificate or certificates for Shares hereunder prior to fulfillment of all the following conditions: (a) the admission of such Shares to listing on all stock exchanges on which such class of stock is then listed; and (b) 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 and (c) the obtaining of any approval or other clearance from any state or federal governmental agency, which the Committee shall, in its absolute discretion, determine to be necessary or advisable; and (d) the lapse of such reasonable period of time following the date of vesting of the Restricted Stock Units as the Committee may establish from time to time for reasons of administrative convenience.</w:t>
      </w:r>
    </w:p>
    <w:p>
      <w:pPr>
        <w:spacing w:after="0" w:line="188" w:lineRule="exact"/>
        <w:rPr>
          <w:rFonts w:ascii="Times New Roman" w:cs="Times New Roman" w:eastAsia="Times New Roman" w:hAnsi="Times New Roman"/>
          <w:sz w:val="22"/>
          <w:szCs w:val="22"/>
          <w:color w:val="auto"/>
        </w:rPr>
      </w:pPr>
    </w:p>
    <w:p>
      <w:pPr>
        <w:ind w:firstLine="656"/>
        <w:spacing w:after="0" w:line="257" w:lineRule="auto"/>
        <w:tabs>
          <w:tab w:leader="none" w:pos="12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Governs</w:t>
      </w:r>
      <w:r>
        <w:rPr>
          <w:rFonts w:ascii="Times New Roman" w:cs="Times New Roman" w:eastAsia="Times New Roman" w:hAnsi="Times New Roman"/>
          <w:sz w:val="22"/>
          <w:szCs w:val="22"/>
          <w:color w:val="auto"/>
        </w:rPr>
        <w:t>. This Award Agreement is subject to all terms and provisions of the Plan. In the event of a conflict between one or more provisions of this Award Agreement and one or more provisions of the Plan, the provisions of the Plan shall govern.</w:t>
      </w:r>
    </w:p>
    <w:p>
      <w:pPr>
        <w:spacing w:after="0" w:line="172" w:lineRule="exact"/>
        <w:rPr>
          <w:rFonts w:ascii="Times New Roman" w:cs="Times New Roman" w:eastAsia="Times New Roman" w:hAnsi="Times New Roman"/>
          <w:sz w:val="22"/>
          <w:szCs w:val="22"/>
          <w:color w:val="auto"/>
        </w:rPr>
      </w:pPr>
    </w:p>
    <w:p>
      <w:pPr>
        <w:ind w:right="40" w:firstLine="656"/>
        <w:spacing w:after="0" w:line="252" w:lineRule="auto"/>
        <w:tabs>
          <w:tab w:leader="none" w:pos="12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Authority</w:t>
      </w:r>
      <w:r>
        <w:rPr>
          <w:rFonts w:ascii="Times New Roman" w:cs="Times New Roman" w:eastAsia="Times New Roman" w:hAnsi="Times New Roman"/>
          <w:sz w:val="22"/>
          <w:szCs w:val="22"/>
          <w:color w:val="auto"/>
        </w:rPr>
        <w:t>. The Committee shall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Committee shall be final and binding upon the Grantee, the Company and all other persons, and shall be given the maximum deference permitted by law. No member of the Committee shall be personally liable for any action, determination or interpretation made in good faith with respect to the Plan or this Award Agreement.</w:t>
      </w:r>
    </w:p>
    <w:p>
      <w:pPr>
        <w:spacing w:after="0" w:line="179" w:lineRule="exact"/>
        <w:rPr>
          <w:rFonts w:ascii="Times New Roman" w:cs="Times New Roman" w:eastAsia="Times New Roman" w:hAnsi="Times New Roman"/>
          <w:sz w:val="22"/>
          <w:szCs w:val="22"/>
          <w:color w:val="auto"/>
        </w:rPr>
      </w:pPr>
    </w:p>
    <w:p>
      <w:pPr>
        <w:ind w:right="80" w:firstLine="656"/>
        <w:spacing w:after="0" w:line="250" w:lineRule="auto"/>
        <w:tabs>
          <w:tab w:leader="none" w:pos="12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in its sole discretion, may decide to deliver any documents related to Restricted Stock Units awarded under the Plan or future Restricted Stock Units that may be awarded under the Plan by electronic means. The Grantee hereby consents to receive such documents by electronic delivery and agrees to participate in the Plan through any on-line or electronic system established and maintained by the Company or another third party designated by the Company.</w:t>
      </w:r>
    </w:p>
    <w:p>
      <w:pPr>
        <w:spacing w:after="0" w:line="194" w:lineRule="exact"/>
        <w:rPr>
          <w:rFonts w:ascii="Times New Roman" w:cs="Times New Roman" w:eastAsia="Times New Roman" w:hAnsi="Times New Roman"/>
          <w:sz w:val="22"/>
          <w:szCs w:val="22"/>
          <w:color w:val="auto"/>
        </w:rPr>
      </w:pPr>
    </w:p>
    <w:p>
      <w:pPr>
        <w:ind w:right="260" w:firstLine="656"/>
        <w:spacing w:after="0" w:line="271" w:lineRule="auto"/>
        <w:tabs>
          <w:tab w:leader="none" w:pos="12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00"/>
          </w:cols>
          <w:pgMar w:left="320" w:top="1440" w:right="379" w:bottom="1440" w:gutter="0" w:footer="0" w:header="0"/>
        </w:sectPr>
      </w:pPr>
    </w:p>
    <w:bookmarkStart w:id="113" w:name="page114"/>
    <w:bookmarkEnd w:id="113"/>
    <w:p>
      <w:pPr>
        <w:spacing w:after="0" w:line="200" w:lineRule="exact"/>
        <w:rPr>
          <w:sz w:val="20"/>
          <w:szCs w:val="20"/>
          <w:color w:val="auto"/>
        </w:rPr>
      </w:pPr>
    </w:p>
    <w:p>
      <w:pPr>
        <w:spacing w:after="0" w:line="214" w:lineRule="exact"/>
        <w:rPr>
          <w:sz w:val="20"/>
          <w:szCs w:val="20"/>
          <w:color w:val="auto"/>
        </w:rPr>
      </w:pPr>
    </w:p>
    <w:p>
      <w:pPr>
        <w:ind w:left="-220" w:right="120" w:firstLine="656"/>
        <w:spacing w:after="0" w:line="253" w:lineRule="auto"/>
        <w:tabs>
          <w:tab w:leader="none" w:pos="107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Severable</w:t>
      </w:r>
      <w:r>
        <w:rPr>
          <w:rFonts w:ascii="Times New Roman" w:cs="Times New Roman" w:eastAsia="Times New Roman" w:hAnsi="Times New Roman"/>
          <w:sz w:val="22"/>
          <w:szCs w:val="22"/>
          <w:color w:val="auto"/>
        </w:rPr>
        <w:t>. In the event that any provision in this Award Agreement shall be held invalid or unenforceable, such provision shall be severable from, and such invalidity or unenforceability shall not be construed to have any effect on, the remaining provisions of this Award Agreement or the Agreement Regarding Certain Conditions of Employment. Further, any such provision held invalid or unenforceable will be modified by to conform to a provision that most closely expresses the intent of the invalid or unenforceable provision.</w:t>
      </w:r>
    </w:p>
    <w:p>
      <w:pPr>
        <w:spacing w:after="0" w:line="178" w:lineRule="exact"/>
        <w:rPr>
          <w:rFonts w:ascii="Times New Roman" w:cs="Times New Roman" w:eastAsia="Times New Roman" w:hAnsi="Times New Roman"/>
          <w:sz w:val="22"/>
          <w:szCs w:val="22"/>
          <w:color w:val="auto"/>
        </w:rPr>
      </w:pPr>
    </w:p>
    <w:p>
      <w:pPr>
        <w:ind w:left="-220" w:right="20" w:firstLine="656"/>
        <w:spacing w:after="0" w:line="251" w:lineRule="auto"/>
        <w:tabs>
          <w:tab w:leader="none" w:pos="107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and this Award Agreement (including all appendices attached hereto) together constitute the entire understanding of the parties on the subjects covered. The Grantee expressly warrants that he or she is not executing this Award Agreement in reliance on any promises, representations, or inducements other than those contained herein. Notwithstanding the foregoing, this Award Agreement shall not have any impact on the Agreement Regarding Certain Conditions of Employment, which is a standalone agreement. The obligations under the Agreement Regarding Certain Conditions of Employment remain in full force and effect.</w:t>
      </w:r>
    </w:p>
    <w:p>
      <w:pPr>
        <w:spacing w:after="0" w:line="181" w:lineRule="exact"/>
        <w:rPr>
          <w:rFonts w:ascii="Times New Roman" w:cs="Times New Roman" w:eastAsia="Times New Roman" w:hAnsi="Times New Roman"/>
          <w:sz w:val="22"/>
          <w:szCs w:val="22"/>
          <w:color w:val="auto"/>
        </w:rPr>
      </w:pPr>
    </w:p>
    <w:p>
      <w:pPr>
        <w:ind w:left="-220" w:right="160" w:firstLine="656"/>
        <w:spacing w:after="0" w:line="250" w:lineRule="auto"/>
        <w:tabs>
          <w:tab w:leader="none" w:pos="107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to the Award Agreement</w:t>
      </w:r>
      <w:r>
        <w:rPr>
          <w:rFonts w:ascii="Times New Roman" w:cs="Times New Roman" w:eastAsia="Times New Roman" w:hAnsi="Times New Roman"/>
          <w:sz w:val="22"/>
          <w:szCs w:val="22"/>
          <w:color w:val="auto"/>
        </w:rPr>
        <w:t>. This Plan and this Award Agreement together constitute the entire understanding of the parties on the subjects covered. The Grantee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the Grantee, to avoid imposition of any additional tax or income recognition under Section 409A prior to the actual payment of Shares pursuant to this award of Restricted Stock Units, provided that such revision would not materially reduce the economic benefits provided or intended to be provided under this Award Agreement.</w:t>
      </w:r>
    </w:p>
    <w:p>
      <w:pPr>
        <w:spacing w:after="0" w:line="179" w:lineRule="exact"/>
        <w:rPr>
          <w:rFonts w:ascii="Times New Roman" w:cs="Times New Roman" w:eastAsia="Times New Roman" w:hAnsi="Times New Roman"/>
          <w:sz w:val="22"/>
          <w:szCs w:val="22"/>
          <w:color w:val="auto"/>
        </w:rPr>
      </w:pPr>
    </w:p>
    <w:p>
      <w:pPr>
        <w:ind w:left="-220" w:firstLine="656"/>
        <w:spacing w:after="0" w:line="247" w:lineRule="auto"/>
        <w:tabs>
          <w:tab w:leader="none" w:pos="107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This Award Agreement and the Restricted Stock Units are subject to any (a) clawback policy, compensation recovery policy or similar policy or arrangement that the Company may adopt from time to time, whether such policy or arrangement is mandated by law or otherwise, including (but not limited to, the Company’s Compensation Recoupment (Clawback) Policy (the “Policy”)), and (b) compensation recoupment, clawback, or recovery requirement mandated by applicable law. For example, but not by way of limitation, as provided in the Policy, the Grantee may be required to repay to the Company part or all of the Shares and any other compensation that the Grantee receives under this Award Agreement and/or some of the Restricted Stock Units and Shares covered by this Award Agreement automatically may be forfeited at no cost to the Company. No clawback, recovery or recoupment of compensation contemplated under this Paragraph 25 will serve as a basis for “good reason,” “constructive termination” or similar term or concept under any employment, compensation, severance or change in control arrangement applicable to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20"/>
          </w:cols>
          <w:pgMar w:left="540" w:top="1440" w:right="339" w:bottom="1440" w:gutter="0" w:footer="0" w:header="0"/>
        </w:sectPr>
      </w:pPr>
    </w:p>
    <w:bookmarkStart w:id="114" w:name="page115"/>
    <w:bookmarkEnd w:id="114"/>
    <w:p>
      <w:pPr>
        <w:spacing w:after="0" w:line="200" w:lineRule="exact"/>
        <w:rPr>
          <w:sz w:val="20"/>
          <w:szCs w:val="20"/>
          <w:color w:val="auto"/>
        </w:rPr>
      </w:pPr>
    </w:p>
    <w:p>
      <w:pPr>
        <w:spacing w:after="0" w:line="214" w:lineRule="exact"/>
        <w:rPr>
          <w:sz w:val="20"/>
          <w:szCs w:val="20"/>
          <w:color w:val="auto"/>
        </w:rPr>
      </w:pPr>
    </w:p>
    <w:p>
      <w:pPr>
        <w:ind w:left="-220" w:right="100" w:firstLine="656"/>
        <w:spacing w:after="0" w:line="275" w:lineRule="auto"/>
        <w:tabs>
          <w:tab w:leader="none" w:pos="107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Suspension or Termination of the Plan</w:t>
      </w:r>
      <w:r>
        <w:rPr>
          <w:rFonts w:ascii="Times New Roman" w:cs="Times New Roman" w:eastAsia="Times New Roman" w:hAnsi="Times New Roman"/>
          <w:sz w:val="21"/>
          <w:szCs w:val="21"/>
          <w:color w:val="auto"/>
        </w:rPr>
        <w:t>. By accepting this award, the Grantee expressly warrants that he or she has received an award under the Plan, and has received, read and understood a description of the Plan. The Grantee understands that the Plan is discretionary in nature and may be modified, suspended or terminated by the Company at any time.</w:t>
      </w:r>
    </w:p>
    <w:p>
      <w:pPr>
        <w:spacing w:after="0" w:line="168" w:lineRule="exact"/>
        <w:rPr>
          <w:rFonts w:ascii="Times New Roman" w:cs="Times New Roman" w:eastAsia="Times New Roman" w:hAnsi="Times New Roman"/>
          <w:sz w:val="21"/>
          <w:szCs w:val="21"/>
          <w:color w:val="auto"/>
        </w:rPr>
      </w:pPr>
    </w:p>
    <w:p>
      <w:pPr>
        <w:ind w:left="-220" w:right="780" w:firstLine="656"/>
        <w:spacing w:after="0" w:line="271" w:lineRule="auto"/>
        <w:tabs>
          <w:tab w:leader="none" w:pos="107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Award Agreement and the grant of Restricted Stock Units shall be governed by, and construed in accordance with, the laws of the State of Delaware, without regard to its conflicts of law provisions.</w:t>
      </w:r>
    </w:p>
    <w:p>
      <w:pPr>
        <w:spacing w:after="0" w:line="157" w:lineRule="exact"/>
        <w:rPr>
          <w:rFonts w:ascii="Times New Roman" w:cs="Times New Roman" w:eastAsia="Times New Roman" w:hAnsi="Times New Roman"/>
          <w:sz w:val="22"/>
          <w:szCs w:val="22"/>
          <w:color w:val="auto"/>
        </w:rPr>
      </w:pPr>
    </w:p>
    <w:p>
      <w:pPr>
        <w:ind w:left="-220" w:firstLine="656"/>
        <w:spacing w:after="0" w:line="253" w:lineRule="auto"/>
        <w:tabs>
          <w:tab w:leader="none" w:pos="107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acknowledges that the Grantee was given a reasonable period of time in which to review and consider this Award Agreement; the Grantee has, in fact, carefully reviewed this Award Agreement; and the Grantee is entering into it voluntarily and of the Grantee’s own free will. The Grantee further acknowledges that the Company advised the Grantee to consult with an attorney in connection with reviewing this Award Agreement. The Grantee further acknowledges that the Grantee has read this Award Agreement in its entirety, and that the Grantee fully understand its terms and legal effect.</w:t>
      </w:r>
    </w:p>
    <w:p>
      <w:pPr>
        <w:spacing w:after="0" w:line="178" w:lineRule="exact"/>
        <w:rPr>
          <w:rFonts w:ascii="Times New Roman" w:cs="Times New Roman" w:eastAsia="Times New Roman" w:hAnsi="Times New Roman"/>
          <w:sz w:val="22"/>
          <w:szCs w:val="22"/>
          <w:color w:val="auto"/>
        </w:rPr>
      </w:pPr>
    </w:p>
    <w:p>
      <w:pPr>
        <w:ind w:left="-220" w:right="80" w:firstLine="656"/>
        <w:spacing w:after="0" w:line="295" w:lineRule="auto"/>
        <w:tabs>
          <w:tab w:leader="none" w:pos="107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Capitalized terms used in this Award Agreement without definition will have the meanings provided for in the Plan. When used in this Award Agreement, the following capitalized terms will have the following meanings:</w:t>
      </w:r>
    </w:p>
    <w:p>
      <w:pPr>
        <w:spacing w:after="0" w:line="135" w:lineRule="exact"/>
        <w:rPr>
          <w:sz w:val="20"/>
          <w:szCs w:val="20"/>
          <w:color w:val="auto"/>
        </w:rPr>
      </w:pPr>
    </w:p>
    <w:p>
      <w:pPr>
        <w:ind w:left="1080"/>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all information related to the operation of the Company’s business and knowledge of the Company’s assets, including, but not limited to, (i) financial information, (ii) products, (iii) product and services costs, prices, profits and sales, (iv) forecasts, (v) computer programs, (vi) data bases (and the documentation and information contained therein), (vii) computer access codes and similar information, (viii) software ideas, (ix) know-how, technologies, concepts and designs, (x) research projects and all information connected with research and development efforts, (xi) records, (xii) business relationships, methods and recommendations, (xiii) client lists (including identities of clients and prospective clients, identities of individual contracts at business entities which are clients or prospective clients, client spending, preferences, business or habits), (xiv) subscription or consultant termination dates, (xv) personnel files, (xvi) competitive analyses, (xvii) other confidential or proprietary information or trade secrets that have not been made available to the general public by the Company’s senior management, and (xviii) non-public information provided to the Company by its clients, and other tangible or intangible assets and other information obtained by the Grantee in the course of his or her employment with the Company. Information shall not be deemed Confidential Information if it is or becomes available in the public domain other than as a result of an unauthorized use, disclosure or action by Grantee, at Grantee’s direction or on Grantee’s behalf, or by any other person who directly or indirectly receives such information from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20"/>
          </w:cols>
          <w:pgMar w:left="540" w:top="1440" w:right="339" w:bottom="1440" w:gutter="0" w:footer="0" w:header="0"/>
        </w:sectPr>
      </w:pPr>
    </w:p>
    <w:bookmarkStart w:id="115" w:name="page116"/>
    <w:bookmarkEnd w:id="115"/>
    <w:p>
      <w:pPr>
        <w:spacing w:after="0" w:line="200" w:lineRule="exact"/>
        <w:rPr>
          <w:sz w:val="20"/>
          <w:szCs w:val="20"/>
          <w:color w:val="auto"/>
        </w:rPr>
      </w:pPr>
    </w:p>
    <w:p>
      <w:pPr>
        <w:spacing w:after="0" w:line="214" w:lineRule="exact"/>
        <w:rPr>
          <w:sz w:val="20"/>
          <w:szCs w:val="20"/>
          <w:color w:val="auto"/>
        </w:rPr>
      </w:pPr>
    </w:p>
    <w:p>
      <w:pPr>
        <w:ind w:left="1080" w:right="120"/>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Continued Service</w:t>
      </w:r>
      <w:r>
        <w:rPr>
          <w:rFonts w:ascii="Times New Roman" w:cs="Times New Roman" w:eastAsia="Times New Roman" w:hAnsi="Times New Roman"/>
          <w:sz w:val="21"/>
          <w:szCs w:val="21"/>
          <w:color w:val="auto"/>
        </w:rPr>
        <w:t>” means that the Grantee’s employment relationship is not interrupted or terminated by the Grantee, the Company, or any parent or Subsidiary of the Company. The Grantee’s employment relationship will not be considered interrupted in the case of: (i) any leave of absence approved in accordance with the Company’s written personnel policies, including sick leave, family leave, military leave, or any other personal leave; or</w:t>
      </w:r>
    </w:p>
    <w:p>
      <w:pPr>
        <w:spacing w:after="0" w:line="1" w:lineRule="exact"/>
        <w:rPr>
          <w:sz w:val="20"/>
          <w:szCs w:val="20"/>
          <w:color w:val="auto"/>
        </w:rPr>
      </w:pPr>
    </w:p>
    <w:p>
      <w:pPr>
        <w:ind w:left="1080" w:firstLine="4"/>
        <w:spacing w:after="0" w:line="252" w:lineRule="auto"/>
        <w:tabs>
          <w:tab w:leader="none" w:pos="1398"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transfers between locations of the Company or between the Company and any parent, Subsidiary or successor;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unless otherwise provided in the Company’s written personnel policies, in this Award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or under applicable laws, rules or regulations, or unless the Committee has otherwise expressly provided for different treatment with respect to this Award Agreement, (x) no such leave may exceed ninety (90) days, and (y) any vesting shall cease on the ninety-first (91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consecutive date of any leave of absence during which the Grantee’s employment relationship is deemed to continue and will not recommence until such date, if any, upon which the Grantee resumes service with the Company, its parent, Subsidiary or successor. If the Grantee resumes such service in accordance with the terms of the Company’s military leave policy, upon resumption of service, the Grantee will be given vesting credit for the full duration of the Grantee’s leave of absence. Continued employment will be deemed interrupted and terminated for the Grantee if the Grantee’s weekly work hours change from full time to part time. Part-time status for the purpose of vesting continuation will be determined in accordance with policies adopted by the Company from time to time, which policies, if any, shall supersede the determination of part-time status set forth in the Company’s posted “employee status definitions”.</w:t>
      </w:r>
    </w:p>
    <w:p>
      <w:pPr>
        <w:spacing w:after="0" w:line="185" w:lineRule="exact"/>
        <w:rPr>
          <w:sz w:val="20"/>
          <w:szCs w:val="20"/>
          <w:color w:val="auto"/>
        </w:rPr>
      </w:pPr>
    </w:p>
    <w:p>
      <w:pPr>
        <w:jc w:val="both"/>
        <w:ind w:left="1080" w:right="40"/>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total and permanent disability as defined in Section 22(e)(3) of the Code. For the avoidance of doubt, if a Grantee is determined to be disabled, but remains employed by the Company (or a parent or Subsidiary of the Company), there shall be no interruption in service.</w:t>
      </w:r>
    </w:p>
    <w:p>
      <w:pPr>
        <w:spacing w:after="0" w:line="167" w:lineRule="exact"/>
        <w:rPr>
          <w:sz w:val="20"/>
          <w:szCs w:val="20"/>
          <w:color w:val="auto"/>
        </w:rPr>
      </w:pPr>
    </w:p>
    <w:p>
      <w:pPr>
        <w:ind w:left="1080" w:right="20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termination of the Grantee’s employment in accordance with the Company’s retirement policies, as in effect from time to time, if on the date of such termination, the Grantee is at least 55 years old and his or her Continued Service has extended for at least ten (10) years.</w:t>
      </w:r>
    </w:p>
    <w:p>
      <w:pPr>
        <w:spacing w:after="0" w:line="173" w:lineRule="exact"/>
        <w:rPr>
          <w:sz w:val="20"/>
          <w:szCs w:val="20"/>
          <w:color w:val="auto"/>
        </w:rPr>
      </w:pPr>
    </w:p>
    <w:p>
      <w:pPr>
        <w:ind w:left="1080" w:right="40"/>
        <w:spacing w:after="0" w:line="264" w:lineRule="auto"/>
        <w:rPr>
          <w:sz w:val="20"/>
          <w:szCs w:val="20"/>
          <w:color w:val="auto"/>
        </w:rPr>
      </w:pPr>
      <w:r>
        <w:rPr>
          <w:rFonts w:ascii="Times New Roman" w:cs="Times New Roman" w:eastAsia="Times New Roman" w:hAnsi="Times New Roman"/>
          <w:sz w:val="21"/>
          <w:szCs w:val="21"/>
          <w:color w:val="auto"/>
        </w:rPr>
        <w:t>If the definition of Retirement set forth above is illegal or otherwise impermissible under the laws of the Grantee’s country of employment, then, for purposes of this Award Agreement only, the Grantee shall be considered eligible for “Retirement” if (i) he or she is not more than five (5) years younger than the retirement age established by the national government of such country for purposes of any applicable national social security or pension plans, and</w:t>
      </w:r>
    </w:p>
    <w:p>
      <w:pPr>
        <w:spacing w:after="0" w:line="1" w:lineRule="exact"/>
        <w:rPr>
          <w:sz w:val="20"/>
          <w:szCs w:val="20"/>
          <w:color w:val="auto"/>
        </w:rPr>
      </w:pPr>
    </w:p>
    <w:p>
      <w:pPr>
        <w:ind w:left="1080" w:right="360" w:firstLine="4"/>
        <w:spacing w:after="0" w:line="245" w:lineRule="auto"/>
        <w:tabs>
          <w:tab w:leader="none" w:pos="139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Grantee’s Continued Service has extended for at least five (5) years without interruption. If this revised definition of Retirement is also illegal or otherwise impermissible under the laws of the Grantee’s country of employment, then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00"/>
          </w:cols>
          <w:pgMar w:left="540" w:top="1440" w:right="359" w:bottom="1440" w:gutter="0" w:footer="0" w:header="0"/>
        </w:sectPr>
      </w:pPr>
    </w:p>
    <w:bookmarkStart w:id="116" w:name="page117"/>
    <w:bookmarkEnd w:id="116"/>
    <w:p>
      <w:pPr>
        <w:spacing w:after="0" w:line="200" w:lineRule="exact"/>
        <w:rPr>
          <w:sz w:val="20"/>
          <w:szCs w:val="20"/>
          <w:color w:val="auto"/>
        </w:rPr>
      </w:pP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vesting shall terminate upon termination of employment on account of the Grantee’s Retirement.</w:t>
      </w:r>
    </w:p>
    <w:p>
      <w:pPr>
        <w:spacing w:after="0" w:line="220"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Your acceptance of this grant indicates your agreement and understanding that this grant is subject to all of the terms and conditions contained in the Plan and this Award Agreement, which includes the Notice of Grant and Award Agreement.</w:t>
      </w:r>
    </w:p>
    <w:p>
      <w:pPr>
        <w:spacing w:after="0" w:line="16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____________________________</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TAX MATTERS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You must consult your tax adviser concerning the taxation of the award represented by this Award Agreement, which varies from country to country. </w:t>
      </w:r>
      <w:r>
        <w:rPr>
          <w:rFonts w:ascii="Times New Roman" w:cs="Times New Roman" w:eastAsia="Times New Roman" w:hAnsi="Times New Roman"/>
          <w:sz w:val="21"/>
          <w:szCs w:val="21"/>
          <w:color w:val="auto"/>
        </w:rPr>
        <w:t>You should be aware that tax may be payable on an upfront basis when the award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made, or when the Shares are released. You should obtain specific advice on the impact of tax and your specific situation. Any information about the impact of tax that is provided in this Award Agreement, or related documents that are issued to you, is intended to be of a general nature only and should not be relied upon as advice related to your individual taxation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40"/>
          </w:cols>
          <w:pgMar w:left="320" w:top="1440" w:right="439"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320040</wp:posOffset>
            </wp:positionV>
            <wp:extent cx="840105"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840105" cy="188595"/>
                    </a:xfrm>
                    <a:prstGeom prst="rect">
                      <a:avLst/>
                    </a:prstGeom>
                    <a:noFill/>
                  </pic:spPr>
                </pic:pic>
              </a:graphicData>
            </a:graphic>
          </wp:anchor>
        </w:drawing>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Enhanced Executive Rewards Policy</w:t>
      </w:r>
    </w:p>
    <w:p>
      <w:pPr>
        <w:jc w:val="center"/>
        <w:ind w:right="-19"/>
        <w:spacing w:after="0"/>
        <w:rPr>
          <w:sz w:val="20"/>
          <w:szCs w:val="20"/>
          <w:color w:val="auto"/>
        </w:rPr>
      </w:pPr>
      <w:r>
        <w:rPr>
          <w:rFonts w:ascii="Arial" w:cs="Arial" w:eastAsia="Arial" w:hAnsi="Arial"/>
          <w:sz w:val="20"/>
          <w:szCs w:val="20"/>
          <w:b w:val="1"/>
          <w:bCs w:val="1"/>
          <w:color w:val="auto"/>
        </w:rPr>
        <w:t>Revised January 1,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As a member of Gartner’s Operating Committee employed in the United States, you play a vital role in the overall success of our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Company. To that end, your total rewards plan has the following enhancements that are summarized herein:</w:t>
      </w:r>
    </w:p>
    <w:p>
      <w:pPr>
        <w:spacing w:after="0" w:line="282" w:lineRule="exact"/>
        <w:rPr>
          <w:sz w:val="20"/>
          <w:szCs w:val="20"/>
          <w:color w:val="auto"/>
        </w:rPr>
      </w:pPr>
    </w:p>
    <w:p>
      <w:pPr>
        <w:ind w:left="640" w:hanging="308"/>
        <w:spacing w:after="0"/>
        <w:tabs>
          <w:tab w:leader="none" w:pos="640" w:val="left"/>
        </w:tabs>
        <w:numPr>
          <w:ilvl w:val="0"/>
          <w:numId w:val="95"/>
        </w:numPr>
        <w:rPr>
          <w:rFonts w:ascii="Times New Roman" w:cs="Times New Roman" w:eastAsia="Times New Roman" w:hAnsi="Times New Roman"/>
          <w:sz w:val="20"/>
          <w:szCs w:val="20"/>
          <w:color w:val="auto"/>
        </w:rPr>
      </w:pPr>
      <w:r>
        <w:rPr>
          <w:rFonts w:ascii="Arial" w:cs="Arial" w:eastAsia="Arial" w:hAnsi="Arial"/>
          <w:sz w:val="20"/>
          <w:szCs w:val="20"/>
          <w:color w:val="auto"/>
        </w:rPr>
        <w:t>Deferred Compensation Plan with discretionary match</w:t>
      </w:r>
    </w:p>
    <w:p>
      <w:pPr>
        <w:ind w:left="640" w:hanging="308"/>
        <w:spacing w:after="0" w:line="210" w:lineRule="auto"/>
        <w:tabs>
          <w:tab w:leader="none" w:pos="640" w:val="left"/>
        </w:tabs>
        <w:numPr>
          <w:ilvl w:val="0"/>
          <w:numId w:val="95"/>
        </w:numPr>
        <w:rPr>
          <w:rFonts w:ascii="Times New Roman" w:cs="Times New Roman" w:eastAsia="Times New Roman" w:hAnsi="Times New Roman"/>
          <w:sz w:val="20"/>
          <w:szCs w:val="20"/>
          <w:color w:val="auto"/>
        </w:rPr>
      </w:pPr>
      <w:r>
        <w:rPr>
          <w:rFonts w:ascii="Arial" w:cs="Arial" w:eastAsia="Arial" w:hAnsi="Arial"/>
          <w:sz w:val="20"/>
          <w:szCs w:val="20"/>
          <w:color w:val="auto"/>
        </w:rPr>
        <w:t>Charitable match limit of $20,000 per year under the Gartner Gives Program</w:t>
      </w:r>
    </w:p>
    <w:p>
      <w:pPr>
        <w:ind w:left="640" w:hanging="308"/>
        <w:spacing w:after="0" w:line="196" w:lineRule="auto"/>
        <w:tabs>
          <w:tab w:leader="none" w:pos="640" w:val="left"/>
        </w:tabs>
        <w:numPr>
          <w:ilvl w:val="0"/>
          <w:numId w:val="95"/>
        </w:numPr>
        <w:rPr>
          <w:rFonts w:ascii="Times New Roman" w:cs="Times New Roman" w:eastAsia="Times New Roman" w:hAnsi="Times New Roman"/>
          <w:sz w:val="20"/>
          <w:szCs w:val="20"/>
          <w:color w:val="auto"/>
        </w:rPr>
      </w:pPr>
      <w:r>
        <w:rPr>
          <w:rFonts w:ascii="Arial" w:cs="Arial" w:eastAsia="Arial" w:hAnsi="Arial"/>
          <w:sz w:val="20"/>
          <w:szCs w:val="20"/>
          <w:color w:val="auto"/>
        </w:rPr>
        <w:t>Stock ownership guidelines</w:t>
      </w:r>
    </w:p>
    <w:p>
      <w:pPr>
        <w:ind w:left="640" w:hanging="308"/>
        <w:spacing w:after="0" w:line="210" w:lineRule="auto"/>
        <w:tabs>
          <w:tab w:leader="none" w:pos="640" w:val="left"/>
        </w:tabs>
        <w:numPr>
          <w:ilvl w:val="0"/>
          <w:numId w:val="95"/>
        </w:numPr>
        <w:rPr>
          <w:rFonts w:ascii="Times New Roman" w:cs="Times New Roman" w:eastAsia="Times New Roman" w:hAnsi="Times New Roman"/>
          <w:sz w:val="20"/>
          <w:szCs w:val="20"/>
          <w:color w:val="auto"/>
        </w:rPr>
      </w:pPr>
      <w:r>
        <w:rPr>
          <w:rFonts w:ascii="Arial" w:cs="Arial" w:eastAsia="Arial" w:hAnsi="Arial"/>
          <w:sz w:val="20"/>
          <w:szCs w:val="20"/>
          <w:color w:val="auto"/>
        </w:rPr>
        <w:t>35 Paid Time Off (PTO) days</w:t>
      </w:r>
    </w:p>
    <w:p>
      <w:pPr>
        <w:ind w:left="640" w:hanging="308"/>
        <w:spacing w:after="0"/>
        <w:tabs>
          <w:tab w:leader="none" w:pos="640" w:val="left"/>
        </w:tabs>
        <w:numPr>
          <w:ilvl w:val="0"/>
          <w:numId w:val="95"/>
        </w:numPr>
        <w:rPr>
          <w:rFonts w:ascii="Times New Roman" w:cs="Times New Roman" w:eastAsia="Times New Roman" w:hAnsi="Times New Roman"/>
          <w:sz w:val="20"/>
          <w:szCs w:val="20"/>
          <w:color w:val="auto"/>
        </w:rPr>
      </w:pPr>
      <w:r>
        <w:rPr>
          <w:rFonts w:ascii="Arial" w:cs="Arial" w:eastAsia="Arial" w:hAnsi="Arial"/>
          <w:sz w:val="20"/>
          <w:szCs w:val="20"/>
          <w:color w:val="auto"/>
        </w:rPr>
        <w:t>Enhanced severance benefits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ERISA-Excess Benefit - Deferred Compensation Plan with Discretionary Match</w:t>
      </w:r>
    </w:p>
    <w:p>
      <w:pPr>
        <w:spacing w:after="0" w:line="204"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This program allows you to contribute in excess of current 401(k) limits into Gartner’s non-qualified Deferred Compensation Plan (DCP). OC Members who defer salary or bonus under this plan may be eligible for an additional Company match in accordance</w:t>
      </w:r>
    </w:p>
    <w:p>
      <w:pPr>
        <w:spacing w:after="0" w:line="1" w:lineRule="exact"/>
        <w:rPr>
          <w:sz w:val="20"/>
          <w:szCs w:val="20"/>
          <w:color w:val="auto"/>
        </w:rPr>
      </w:pPr>
    </w:p>
    <w:p>
      <w:pPr>
        <w:ind w:right="100"/>
        <w:spacing w:after="0" w:line="225" w:lineRule="auto"/>
        <w:rPr>
          <w:sz w:val="20"/>
          <w:szCs w:val="20"/>
          <w:color w:val="auto"/>
        </w:rPr>
      </w:pPr>
      <w:r>
        <w:rPr>
          <w:rFonts w:ascii="Arial" w:cs="Arial" w:eastAsia="Arial" w:hAnsi="Arial"/>
          <w:sz w:val="20"/>
          <w:szCs w:val="20"/>
          <w:color w:val="auto"/>
        </w:rPr>
        <w:t>with the terms of the plan. The match is discretionary and determined by the Company each year prior to the enrollment period; refer to the Deferred Compensation Plan enrollment materials for current details.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Historically, the way this plan has worked, if the Gartner match within the 401k plan is 100% on the first 4% you contribute,</w:t>
      </w:r>
    </w:p>
    <w:p>
      <w:pPr>
        <w:ind w:right="120"/>
        <w:spacing w:after="0" w:line="225" w:lineRule="auto"/>
        <w:rPr>
          <w:sz w:val="20"/>
          <w:szCs w:val="20"/>
          <w:color w:val="auto"/>
        </w:rPr>
      </w:pPr>
      <w:r>
        <w:rPr>
          <w:rFonts w:ascii="Arial" w:cs="Arial" w:eastAsia="Arial" w:hAnsi="Arial"/>
          <w:sz w:val="20"/>
          <w:szCs w:val="20"/>
          <w:color w:val="auto"/>
        </w:rPr>
        <w:t>subject to an annual limit (which in 2023 = $7,200), the DCP would provide a mechanism for the match on the first 4% deferred to be not limited by the 401k match.</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To put the value of the DCP match in context, if you elected a 4% deferral on your base salary and bonus in the DCP and your</w:t>
      </w:r>
    </w:p>
    <w:p>
      <w:pPr>
        <w:ind w:right="380"/>
        <w:spacing w:after="0" w:line="225" w:lineRule="auto"/>
        <w:rPr>
          <w:sz w:val="20"/>
          <w:szCs w:val="20"/>
          <w:color w:val="auto"/>
        </w:rPr>
      </w:pPr>
      <w:r>
        <w:rPr>
          <w:rFonts w:ascii="Arial" w:cs="Arial" w:eastAsia="Arial" w:hAnsi="Arial"/>
          <w:sz w:val="20"/>
          <w:szCs w:val="20"/>
          <w:color w:val="auto"/>
        </w:rPr>
        <w:t>base and bonus earnings = $1,000,000; the combination of your 401k match ($7,200) and your DCP match ($32,800) would equal $40,000. Of course, if your base and bonus earnings are higher, the match would be higher too.</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To be eligible for discretionary excess DCP matching, you must elect your deferral rate during our end of year deferred</w:t>
      </w:r>
    </w:p>
    <w:p>
      <w:pPr>
        <w:ind w:right="40"/>
        <w:spacing w:after="0" w:line="225" w:lineRule="auto"/>
        <w:rPr>
          <w:sz w:val="20"/>
          <w:szCs w:val="20"/>
          <w:color w:val="auto"/>
        </w:rPr>
      </w:pPr>
      <w:r>
        <w:rPr>
          <w:rFonts w:ascii="Arial" w:cs="Arial" w:eastAsia="Arial" w:hAnsi="Arial"/>
          <w:sz w:val="20"/>
          <w:szCs w:val="20"/>
          <w:color w:val="auto"/>
        </w:rPr>
        <w:t>compensation enrollment process. In other words, you would first be eligible for the plan in the year following the first enrollment period.</w:t>
      </w:r>
    </w:p>
    <w:p>
      <w:pPr>
        <w:spacing w:after="0" w:line="185" w:lineRule="exact"/>
        <w:rPr>
          <w:sz w:val="20"/>
          <w:szCs w:val="20"/>
          <w:color w:val="auto"/>
        </w:rPr>
      </w:pPr>
    </w:p>
    <w:p>
      <w:pPr>
        <w:ind w:right="980"/>
        <w:spacing w:after="0" w:line="234" w:lineRule="auto"/>
        <w:rPr>
          <w:sz w:val="20"/>
          <w:szCs w:val="20"/>
          <w:color w:val="auto"/>
        </w:rPr>
      </w:pPr>
      <w:r>
        <w:rPr>
          <w:rFonts w:ascii="Arial" w:cs="Arial" w:eastAsia="Arial" w:hAnsi="Arial"/>
          <w:sz w:val="20"/>
          <w:szCs w:val="20"/>
          <w:color w:val="auto"/>
        </w:rPr>
        <w:t>Each year, the Company reserves the right to modify the underlying 401k plan and its match as well as the enhanced discretionary match within the DCP.</w:t>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3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320040</wp:posOffset>
            </wp:positionV>
            <wp:extent cx="84010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840105" cy="18859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u w:val="single" w:color="auto"/>
          <w:color w:val="auto"/>
        </w:rPr>
        <w:t>Gartner Gives – Enhanced Match Limit</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Gartner is proud to support associates worldwide in their personal philanthropy by providing a global charity match program. By</w:t>
      </w:r>
    </w:p>
    <w:p>
      <w:pPr>
        <w:spacing w:after="0" w:line="2" w:lineRule="exact"/>
        <w:rPr>
          <w:sz w:val="20"/>
          <w:szCs w:val="20"/>
          <w:color w:val="auto"/>
        </w:rPr>
      </w:pPr>
    </w:p>
    <w:p>
      <w:pPr>
        <w:ind w:right="300"/>
        <w:spacing w:after="0" w:line="215" w:lineRule="auto"/>
        <w:rPr>
          <w:sz w:val="20"/>
          <w:szCs w:val="20"/>
          <w:color w:val="auto"/>
        </w:rPr>
      </w:pPr>
      <w:r>
        <w:rPr>
          <w:rFonts w:ascii="Arial" w:cs="Arial" w:eastAsia="Arial" w:hAnsi="Arial"/>
          <w:sz w:val="19"/>
          <w:szCs w:val="19"/>
          <w:color w:val="auto"/>
        </w:rPr>
        <w:t>providing matching funds to charitable organizations that our associates personally support, Gartner increases the impact of your donation in areas where associates live and work to maximize giving. Through your generous donations and fundraising</w:t>
      </w:r>
    </w:p>
    <w:p>
      <w:pPr>
        <w:ind w:right="400"/>
        <w:spacing w:after="0" w:line="237" w:lineRule="auto"/>
        <w:rPr>
          <w:sz w:val="20"/>
          <w:szCs w:val="20"/>
          <w:color w:val="auto"/>
        </w:rPr>
      </w:pPr>
      <w:r>
        <w:rPr>
          <w:rFonts w:ascii="Arial" w:cs="Arial" w:eastAsia="Arial" w:hAnsi="Arial"/>
          <w:sz w:val="20"/>
          <w:szCs w:val="20"/>
          <w:color w:val="auto"/>
        </w:rPr>
        <w:t xml:space="preserve">efforts, we can make a difference! Gartner associates have a matching opportunity of up to $5,000 per year. </w:t>
      </w:r>
      <w:r>
        <w:rPr>
          <w:rFonts w:ascii="Arial" w:cs="Arial" w:eastAsia="Arial" w:hAnsi="Arial"/>
          <w:sz w:val="20"/>
          <w:szCs w:val="20"/>
          <w:b w:val="1"/>
          <w:bCs w:val="1"/>
          <w:color w:val="auto"/>
        </w:rPr>
        <w:t>The Operating</w:t>
      </w:r>
      <w:r>
        <w:rPr>
          <w:rFonts w:ascii="Arial" w:cs="Arial" w:eastAsia="Arial" w:hAnsi="Arial"/>
          <w:sz w:val="20"/>
          <w:szCs w:val="20"/>
          <w:color w:val="auto"/>
        </w:rPr>
        <w:t xml:space="preserve"> </w:t>
      </w:r>
      <w:r>
        <w:rPr>
          <w:rFonts w:ascii="Arial" w:cs="Arial" w:eastAsia="Arial" w:hAnsi="Arial"/>
          <w:sz w:val="20"/>
          <w:szCs w:val="20"/>
          <w:b w:val="1"/>
          <w:bCs w:val="1"/>
          <w:color w:val="auto"/>
        </w:rPr>
        <w:t>Committee has a match limit of $20,000 per calendar year.</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Please refer to Gartner at Work for specifics on plan rules and our portal through which you can make charitable contributions.</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Stock holding period requirement</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On the 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of May of each year, your stock ownership position will be measured versus your then base salary. The requirement is</w:t>
      </w:r>
    </w:p>
    <w:p>
      <w:pPr>
        <w:ind w:right="440"/>
        <w:spacing w:after="0" w:line="225" w:lineRule="auto"/>
        <w:rPr>
          <w:sz w:val="20"/>
          <w:szCs w:val="20"/>
          <w:color w:val="auto"/>
        </w:rPr>
      </w:pPr>
      <w:r>
        <w:rPr>
          <w:rFonts w:ascii="Arial" w:cs="Arial" w:eastAsia="Arial" w:hAnsi="Arial"/>
          <w:sz w:val="20"/>
          <w:szCs w:val="20"/>
          <w:color w:val="auto"/>
        </w:rPr>
        <w:t>that the value of your owned shares plus the value of unvested performance share units and unvested restricted stock units equals or exceeds three (3) times the value of your base salary.</w:t>
      </w:r>
    </w:p>
    <w:p>
      <w:pPr>
        <w:spacing w:after="0" w:line="185"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color w:val="auto"/>
        </w:rPr>
        <w:t>If your ownership position is under 3 times, you will be restricted in selling up to 50% of your released shares until the next May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measurement period and until you satisfy the requirements.</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Paid-Time-Off (PTO) Program</w:t>
      </w:r>
    </w:p>
    <w:p>
      <w:pPr>
        <w:spacing w:after="0" w:line="218"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Gartner understands the importance of time away from work and how it results in a better frame of mind to provide outstanding results. As a senior leader of Gartner, you will be eligible for the highest level of PTO days, 35 days per year.</w:t>
      </w:r>
    </w:p>
    <w:p>
      <w:pPr>
        <w:spacing w:after="0" w:line="169" w:lineRule="exact"/>
        <w:rPr>
          <w:sz w:val="20"/>
          <w:szCs w:val="20"/>
          <w:color w:val="auto"/>
        </w:rPr>
      </w:pPr>
    </w:p>
    <w:p>
      <w:pPr>
        <w:ind w:right="380"/>
        <w:spacing w:after="0" w:line="243" w:lineRule="auto"/>
        <w:rPr>
          <w:sz w:val="20"/>
          <w:szCs w:val="20"/>
          <w:color w:val="auto"/>
        </w:rPr>
      </w:pPr>
      <w:r>
        <w:rPr>
          <w:rFonts w:ascii="Arial" w:cs="Arial" w:eastAsia="Arial" w:hAnsi="Arial"/>
          <w:sz w:val="20"/>
          <w:szCs w:val="20"/>
          <w:color w:val="auto"/>
        </w:rPr>
        <w:t>If your employment should terminate, you will be paid for any unused PTO in the year of termination, up to a maximum of 25 days and subject to the general provisions of the PTO policy. The rate is based on your base salary only.</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Enhanced Severance Benefits</w:t>
      </w:r>
    </w:p>
    <w:p>
      <w:pPr>
        <w:spacing w:after="0" w:line="258"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color w:val="auto"/>
        </w:rPr>
        <w:t>The role you play as a senior leader has a higher risk/reward than other roles. In order to ensure that you are focused on your responsibilities, we have included an enhanced severance benefit.</w:t>
      </w:r>
    </w:p>
    <w:p>
      <w:pPr>
        <w:spacing w:after="0" w:line="169"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If you are terminated without Cause (including as a result of the elimination of your position), then you will be entitled to receive the following:</w:t>
      </w:r>
    </w:p>
    <w:p>
      <w:pPr>
        <w:spacing w:after="0" w:line="182" w:lineRule="exact"/>
        <w:rPr>
          <w:sz w:val="20"/>
          <w:szCs w:val="20"/>
          <w:color w:val="auto"/>
        </w:rPr>
      </w:pPr>
    </w:p>
    <w:p>
      <w:pPr>
        <w:ind w:left="340" w:right="140" w:hanging="332"/>
        <w:spacing w:after="0" w:line="212" w:lineRule="auto"/>
        <w:tabs>
          <w:tab w:leader="none" w:pos="328"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your current annual base salary through your termination date (and a lump sum payment equal to any accrued, unused PTO, up to a maximum of 25 days) plus continued base salary for a period of twelve months following the termination date, payable in accordance with Gartner’s regular payroll schedule as in effect from time to time;</w:t>
      </w:r>
    </w:p>
    <w:p>
      <w:pPr>
        <w:spacing w:after="0" w:line="1" w:lineRule="exact"/>
        <w:rPr>
          <w:rFonts w:ascii="Times New Roman" w:cs="Times New Roman" w:eastAsia="Times New Roman" w:hAnsi="Times New Roman"/>
          <w:sz w:val="20"/>
          <w:szCs w:val="20"/>
          <w:color w:val="auto"/>
        </w:rPr>
      </w:pPr>
    </w:p>
    <w:p>
      <w:pPr>
        <w:ind w:left="340" w:right="560" w:hanging="332"/>
        <w:spacing w:after="0" w:line="206" w:lineRule="auto"/>
        <w:tabs>
          <w:tab w:leader="none" w:pos="328"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the right to exercise all stock appreciation rights and other exercisable rights held by you that are vested as of the termination date for a period of 90 days following the termination date (unless more favorable rights are set forth in the award agreements governing such awards); and</w:t>
      </w:r>
    </w:p>
    <w:p>
      <w:pPr>
        <w:spacing w:after="0" w:line="1" w:lineRule="exact"/>
        <w:rPr>
          <w:rFonts w:ascii="Times New Roman" w:cs="Times New Roman" w:eastAsia="Times New Roman" w:hAnsi="Times New Roman"/>
          <w:sz w:val="20"/>
          <w:szCs w:val="20"/>
          <w:color w:val="auto"/>
        </w:rPr>
      </w:pPr>
    </w:p>
    <w:p>
      <w:pPr>
        <w:ind w:left="340" w:right="220" w:hanging="332"/>
        <w:spacing w:after="0" w:line="218" w:lineRule="auto"/>
        <w:tabs>
          <w:tab w:leader="none" w:pos="328"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reimbursement for COBRA premiums incurred, minus the contribution paid by active associates, to continue group health benefits under Gartner’s plan (or, at Gartner’s election, to obtain substantially similar health benefits through a third-party carrier) for twelve months for you and any other family members (i.e., your spouse and any eligible children) for whom you have made the appropriate election.</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320040</wp:posOffset>
            </wp:positionV>
            <wp:extent cx="84010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840105" cy="18859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right="100"/>
        <w:spacing w:after="0" w:line="224" w:lineRule="auto"/>
        <w:rPr>
          <w:sz w:val="20"/>
          <w:szCs w:val="20"/>
          <w:color w:val="auto"/>
        </w:rPr>
      </w:pPr>
      <w:r>
        <w:rPr>
          <w:rFonts w:ascii="Arial" w:cs="Arial" w:eastAsia="Arial" w:hAnsi="Arial"/>
          <w:sz w:val="19"/>
          <w:szCs w:val="19"/>
          <w:color w:val="auto"/>
        </w:rPr>
        <w:t>In order to receive any enhanced severance benefits under this Policy (including, but not limited to, the enhanced equity award treatment set forth above), you must execute and deliver a release of claims acceptable to Gartner within 60 days following</w:t>
      </w:r>
    </w:p>
    <w:p>
      <w:pPr>
        <w:spacing w:after="0" w:line="213" w:lineRule="auto"/>
        <w:rPr>
          <w:sz w:val="20"/>
          <w:szCs w:val="20"/>
          <w:color w:val="auto"/>
        </w:rPr>
      </w:pPr>
      <w:r>
        <w:rPr>
          <w:rFonts w:ascii="Arial" w:cs="Arial" w:eastAsia="Arial" w:hAnsi="Arial"/>
          <w:sz w:val="20"/>
          <w:szCs w:val="20"/>
          <w:color w:val="auto"/>
        </w:rPr>
        <w:t>termination. Payment of amounts that are exempt from Section 409A (see Appendix C) will begin upon the expiration of the</w:t>
      </w:r>
    </w:p>
    <w:p>
      <w:pPr>
        <w:spacing w:after="0" w:line="225" w:lineRule="auto"/>
        <w:rPr>
          <w:sz w:val="20"/>
          <w:szCs w:val="20"/>
          <w:color w:val="auto"/>
        </w:rPr>
      </w:pPr>
      <w:r>
        <w:rPr>
          <w:rFonts w:ascii="Arial" w:cs="Arial" w:eastAsia="Arial" w:hAnsi="Arial"/>
          <w:sz w:val="20"/>
          <w:szCs w:val="20"/>
          <w:color w:val="auto"/>
        </w:rPr>
        <w:t>release’s revocation period, but payment of any Section 409A “deferred compensation” will begin only upon the expiration of the 60-day period (subject to any further delay required under 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Conclusion</w:t>
      </w:r>
    </w:p>
    <w:p>
      <w:pPr>
        <w:spacing w:after="0" w:line="218" w:lineRule="exact"/>
        <w:rPr>
          <w:sz w:val="20"/>
          <w:szCs w:val="20"/>
          <w:color w:val="auto"/>
        </w:rPr>
      </w:pPr>
    </w:p>
    <w:p>
      <w:pPr>
        <w:ind w:right="640"/>
        <w:spacing w:after="0" w:line="234" w:lineRule="auto"/>
        <w:rPr>
          <w:sz w:val="20"/>
          <w:szCs w:val="20"/>
          <w:color w:val="auto"/>
        </w:rPr>
      </w:pPr>
      <w:r>
        <w:rPr>
          <w:rFonts w:ascii="Arial" w:cs="Arial" w:eastAsia="Arial" w:hAnsi="Arial"/>
          <w:sz w:val="20"/>
          <w:szCs w:val="20"/>
          <w:color w:val="auto"/>
        </w:rPr>
        <w:t>These benefits are being offered to you to supplement the current benefits package offered to all associates. You are not required to utilize these additional benefits, but may choose the ones that best meet your individual requirements.</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The receipt of these benefits is contingent upon your signature below. By signing below, you acknowledge and agree that this</w:t>
      </w:r>
    </w:p>
    <w:p>
      <w:pPr>
        <w:ind w:right="300"/>
        <w:spacing w:after="0" w:line="215" w:lineRule="auto"/>
        <w:rPr>
          <w:sz w:val="20"/>
          <w:szCs w:val="20"/>
          <w:color w:val="auto"/>
        </w:rPr>
      </w:pPr>
      <w:r>
        <w:rPr>
          <w:rFonts w:ascii="Arial" w:cs="Arial" w:eastAsia="Arial" w:hAnsi="Arial"/>
          <w:sz w:val="19"/>
          <w:szCs w:val="19"/>
          <w:color w:val="auto"/>
        </w:rPr>
        <w:t>Enhanced Executive Rewards Policy, together with those non-severance benefits offered generally to all Gartner associates, shall be the only benefits to which you are entitled, and that any and all other benefits or arrangements, whether oral or in</w:t>
      </w:r>
    </w:p>
    <w:p>
      <w:pPr>
        <w:spacing w:after="0"/>
        <w:rPr>
          <w:sz w:val="20"/>
          <w:szCs w:val="20"/>
          <w:color w:val="auto"/>
        </w:rPr>
      </w:pPr>
      <w:r>
        <w:rPr>
          <w:rFonts w:ascii="Arial" w:cs="Arial" w:eastAsia="Arial" w:hAnsi="Arial"/>
          <w:sz w:val="20"/>
          <w:szCs w:val="20"/>
          <w:color w:val="auto"/>
        </w:rPr>
        <w:t>writing, previously existing between you and Gartner have been superseded and extinguished by this Policy.</w:t>
      </w:r>
    </w:p>
    <w:p>
      <w:pPr>
        <w:spacing w:after="0" w:line="200" w:lineRule="exact"/>
        <w:rPr>
          <w:sz w:val="20"/>
          <w:szCs w:val="20"/>
          <w:color w:val="auto"/>
        </w:rPr>
      </w:pPr>
    </w:p>
    <w:p>
      <w:pPr>
        <w:spacing w:after="0" w:line="214" w:lineRule="exact"/>
        <w:rPr>
          <w:sz w:val="20"/>
          <w:szCs w:val="20"/>
          <w:color w:val="auto"/>
        </w:rPr>
      </w:pPr>
    </w:p>
    <w:p>
      <w:pPr>
        <w:ind w:right="880"/>
        <w:spacing w:after="0" w:line="493" w:lineRule="auto"/>
        <w:rPr>
          <w:sz w:val="20"/>
          <w:szCs w:val="20"/>
          <w:color w:val="auto"/>
        </w:rPr>
      </w:pPr>
      <w:r>
        <w:rPr>
          <w:rFonts w:ascii="Arial" w:cs="Arial" w:eastAsia="Arial" w:hAnsi="Arial"/>
          <w:sz w:val="20"/>
          <w:szCs w:val="20"/>
          <w:color w:val="auto"/>
        </w:rPr>
        <w:t xml:space="preserve">Benefits provided under this Policy are subject to Appendices A and B including Compliance with Code Section 409A. </w:t>
      </w:r>
      <w:r>
        <w:rPr>
          <w:rFonts w:ascii="Arial" w:cs="Arial" w:eastAsia="Arial" w:hAnsi="Arial"/>
          <w:sz w:val="20"/>
          <w:szCs w:val="20"/>
          <w:b w:val="1"/>
          <w:bCs w:val="1"/>
          <w:color w:val="auto"/>
        </w:rPr>
        <w:t>Acknowledged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Print name:</w:t>
      </w:r>
    </w:p>
    <w:p>
      <w:pPr>
        <w:sectPr>
          <w:pgSz w:w="11900" w:h="16838" w:orient="portrait"/>
          <w:cols w:equalWidth="0" w:num="1">
            <w:col w:w="11180"/>
          </w:cols>
          <w:pgMar w:left="320" w:top="1440" w:right="399" w:bottom="1440" w:gutter="0" w:footer="0" w:header="0"/>
        </w:sectPr>
      </w:pPr>
    </w:p>
    <w:bookmarkStart w:id="120" w:name="page121"/>
    <w:bookmarkEnd w:id="120"/>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320040</wp:posOffset>
            </wp:positionV>
            <wp:extent cx="84010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840105" cy="18859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b w:val="1"/>
          <w:bCs w:val="1"/>
          <w:color w:val="auto"/>
        </w:rPr>
        <w:t>APPENDIX A</w:t>
      </w:r>
    </w:p>
    <w:p>
      <w:pPr>
        <w:jc w:val="center"/>
        <w:ind w:right="-39"/>
        <w:spacing w:after="0"/>
        <w:rPr>
          <w:sz w:val="20"/>
          <w:szCs w:val="20"/>
          <w:color w:val="auto"/>
        </w:rPr>
      </w:pPr>
      <w:r>
        <w:rPr>
          <w:rFonts w:ascii="Arial" w:cs="Arial" w:eastAsia="Arial" w:hAnsi="Arial"/>
          <w:sz w:val="20"/>
          <w:szCs w:val="20"/>
          <w:b w:val="1"/>
          <w:bCs w:val="1"/>
          <w:color w:val="auto"/>
        </w:rPr>
        <w:t>Terms and Definitions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means the occurrence of any of the following: (a) the Associate’s failure to perform his or her assigned duties or</w:t>
      </w:r>
    </w:p>
    <w:p>
      <w:pPr>
        <w:spacing w:after="0" w:line="215" w:lineRule="auto"/>
        <w:rPr>
          <w:sz w:val="20"/>
          <w:szCs w:val="20"/>
          <w:color w:val="auto"/>
        </w:rPr>
      </w:pPr>
      <w:r>
        <w:rPr>
          <w:rFonts w:ascii="Arial" w:cs="Arial" w:eastAsia="Arial" w:hAnsi="Arial"/>
          <w:sz w:val="19"/>
          <w:szCs w:val="19"/>
          <w:color w:val="auto"/>
        </w:rPr>
        <w:t>responsibilities (other than a failure resulting from Disability); (b) gross negligence or serious misconduct by the Associate in connection with the discharge of the duties of his or her position; (c) the Associate’s use of drugs or alcohol in such a manner as</w:t>
      </w:r>
    </w:p>
    <w:p>
      <w:pPr>
        <w:spacing w:after="0" w:line="211" w:lineRule="auto"/>
        <w:rPr>
          <w:sz w:val="20"/>
          <w:szCs w:val="20"/>
          <w:color w:val="auto"/>
        </w:rPr>
      </w:pPr>
      <w:r>
        <w:rPr>
          <w:rFonts w:ascii="Arial" w:cs="Arial" w:eastAsia="Arial" w:hAnsi="Arial"/>
          <w:sz w:val="20"/>
          <w:szCs w:val="20"/>
          <w:color w:val="auto"/>
        </w:rPr>
        <w:t>to materially interfere with the performance of his or her assigned duties or which the Company believes has had or will have a</w:t>
      </w:r>
    </w:p>
    <w:p>
      <w:pPr>
        <w:ind w:right="20"/>
        <w:spacing w:after="0" w:line="215" w:lineRule="auto"/>
        <w:rPr>
          <w:sz w:val="20"/>
          <w:szCs w:val="20"/>
          <w:color w:val="auto"/>
        </w:rPr>
      </w:pPr>
      <w:r>
        <w:rPr>
          <w:rFonts w:ascii="Arial" w:cs="Arial" w:eastAsia="Arial" w:hAnsi="Arial"/>
          <w:sz w:val="19"/>
          <w:szCs w:val="19"/>
          <w:color w:val="auto"/>
        </w:rPr>
        <w:t>detrimental effect on the Company; (d) the Associate’s commission of (x) a felony, or (y) a misdemeanor that the Company reasonably believes has had or will have a detrimental effect on the Company; or (e) a material violation by the Associate of any</w:t>
      </w:r>
    </w:p>
    <w:p>
      <w:pPr>
        <w:spacing w:after="0"/>
        <w:rPr>
          <w:sz w:val="20"/>
          <w:szCs w:val="20"/>
          <w:color w:val="auto"/>
        </w:rPr>
      </w:pPr>
      <w:r>
        <w:rPr>
          <w:rFonts w:ascii="Arial" w:cs="Arial" w:eastAsia="Arial" w:hAnsi="Arial"/>
          <w:sz w:val="20"/>
          <w:szCs w:val="20"/>
          <w:color w:val="auto"/>
        </w:rPr>
        <w:t>written Company employment policy or standard of conduct.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has the same meaning given to such term in the Gartner, Inc. Long-Term Incentive Plan (the “</w:t>
      </w:r>
      <w:r>
        <w:rPr>
          <w:rFonts w:ascii="Arial" w:cs="Arial" w:eastAsia="Arial" w:hAnsi="Arial"/>
          <w:sz w:val="20"/>
          <w:szCs w:val="20"/>
          <w:u w:val="single" w:color="auto"/>
          <w:color w:val="auto"/>
        </w:rPr>
        <w:t>LTIP</w:t>
      </w: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w:t>
      </w:r>
      <w:r>
        <w:rPr>
          <w:rFonts w:ascii="Arial" w:cs="Arial" w:eastAsia="Arial" w:hAnsi="Arial"/>
          <w:sz w:val="20"/>
          <w:szCs w:val="20"/>
          <w:color w:val="auto"/>
        </w:rPr>
        <w:t>l” has the same meaning given to such term in the LTIP.</w:t>
      </w:r>
    </w:p>
    <w:p>
      <w:pPr>
        <w:sectPr>
          <w:pgSz w:w="11900" w:h="16838" w:orient="portrait"/>
          <w:cols w:equalWidth="0" w:num="1">
            <w:col w:w="11200"/>
          </w:cols>
          <w:pgMar w:left="320" w:top="1440" w:right="379" w:bottom="1440" w:gutter="0" w:footer="0" w:header="0"/>
        </w:sectPr>
      </w:pPr>
    </w:p>
    <w:bookmarkStart w:id="121" w:name="page122"/>
    <w:bookmarkEnd w:id="121"/>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320040</wp:posOffset>
            </wp:positionV>
            <wp:extent cx="84010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840105" cy="18859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b w:val="1"/>
          <w:bCs w:val="1"/>
          <w:color w:val="auto"/>
        </w:rPr>
        <w:t>Appendix B</w:t>
      </w:r>
    </w:p>
    <w:p>
      <w:pPr>
        <w:jc w:val="center"/>
        <w:ind w:right="-39"/>
        <w:spacing w:after="0"/>
        <w:rPr>
          <w:sz w:val="20"/>
          <w:szCs w:val="20"/>
          <w:color w:val="auto"/>
        </w:rPr>
      </w:pPr>
      <w:r>
        <w:rPr>
          <w:rFonts w:ascii="Arial" w:cs="Arial" w:eastAsia="Arial" w:hAnsi="Arial"/>
          <w:sz w:val="20"/>
          <w:szCs w:val="20"/>
          <w:b w:val="1"/>
          <w:bCs w:val="1"/>
          <w:color w:val="auto"/>
        </w:rPr>
        <w:t>Compliance with Code Section 409A</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Section 409A of the Internal Revenue Code and the accompanying regulations (“Section 409A”) govern the payment of</w:t>
      </w:r>
    </w:p>
    <w:p>
      <w:pPr>
        <w:ind w:right="240"/>
        <w:spacing w:after="0" w:line="215" w:lineRule="auto"/>
        <w:rPr>
          <w:sz w:val="20"/>
          <w:szCs w:val="20"/>
          <w:color w:val="auto"/>
        </w:rPr>
      </w:pPr>
      <w:r>
        <w:rPr>
          <w:rFonts w:ascii="Arial" w:cs="Arial" w:eastAsia="Arial" w:hAnsi="Arial"/>
          <w:sz w:val="19"/>
          <w:szCs w:val="19"/>
          <w:color w:val="auto"/>
        </w:rPr>
        <w:t>nonqualified deferred compensation. Payments and benefits under the Enhanced Executive Rewards Policy (the “Policy”) are intended to be exempt from Section 409A to the maximum possible extent and, if not exempt, are intended to comply with the</w:t>
      </w:r>
    </w:p>
    <w:p>
      <w:pPr>
        <w:spacing w:after="0"/>
        <w:rPr>
          <w:sz w:val="20"/>
          <w:szCs w:val="20"/>
          <w:color w:val="auto"/>
        </w:rPr>
      </w:pPr>
      <w:r>
        <w:rPr>
          <w:rFonts w:ascii="Arial" w:cs="Arial" w:eastAsia="Arial" w:hAnsi="Arial"/>
          <w:sz w:val="20"/>
          <w:szCs w:val="20"/>
          <w:color w:val="auto"/>
        </w:rPr>
        <w:t>requirements of Section 409A.</w:t>
      </w:r>
    </w:p>
    <w:p>
      <w:pPr>
        <w:spacing w:after="0" w:line="200" w:lineRule="exact"/>
        <w:rPr>
          <w:sz w:val="20"/>
          <w:szCs w:val="20"/>
          <w:color w:val="auto"/>
        </w:rPr>
      </w:pPr>
    </w:p>
    <w:p>
      <w:pPr>
        <w:spacing w:after="0" w:line="214" w:lineRule="exact"/>
        <w:rPr>
          <w:sz w:val="20"/>
          <w:szCs w:val="20"/>
          <w:color w:val="auto"/>
        </w:rPr>
      </w:pPr>
    </w:p>
    <w:p>
      <w:pPr>
        <w:ind w:right="300"/>
        <w:spacing w:after="0" w:line="224" w:lineRule="auto"/>
        <w:rPr>
          <w:sz w:val="20"/>
          <w:szCs w:val="20"/>
          <w:color w:val="auto"/>
        </w:rPr>
      </w:pPr>
      <w:r>
        <w:rPr>
          <w:rFonts w:ascii="Arial" w:cs="Arial" w:eastAsia="Arial" w:hAnsi="Arial"/>
          <w:sz w:val="19"/>
          <w:szCs w:val="19"/>
          <w:color w:val="auto"/>
        </w:rPr>
        <w:t>The payments and benefits provided under the Enhanced Executive Rewards Policy are intended to be exempt from Section 409A under the short-term deferral and separation pay exceptions to the maximum permissible extent; accordingly, each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installment payment (i.e., the amount due on each payroll date) will be treated as a separate payment.</w:t>
      </w:r>
    </w:p>
    <w:p>
      <w:pPr>
        <w:spacing w:after="0" w:line="200" w:lineRule="exact"/>
        <w:rPr>
          <w:sz w:val="20"/>
          <w:szCs w:val="20"/>
          <w:color w:val="auto"/>
        </w:rPr>
      </w:pPr>
    </w:p>
    <w:p>
      <w:pPr>
        <w:spacing w:after="0" w:line="214" w:lineRule="exact"/>
        <w:rPr>
          <w:sz w:val="20"/>
          <w:szCs w:val="20"/>
          <w:color w:val="auto"/>
        </w:rPr>
      </w:pPr>
    </w:p>
    <w:p>
      <w:pPr>
        <w:ind w:right="560"/>
        <w:spacing w:after="0" w:line="234" w:lineRule="auto"/>
        <w:rPr>
          <w:sz w:val="20"/>
          <w:szCs w:val="20"/>
          <w:color w:val="auto"/>
        </w:rPr>
      </w:pPr>
      <w:r>
        <w:rPr>
          <w:rFonts w:ascii="Arial" w:cs="Arial" w:eastAsia="Arial" w:hAnsi="Arial"/>
          <w:sz w:val="20"/>
          <w:szCs w:val="20"/>
          <w:color w:val="auto"/>
        </w:rPr>
        <w:t>For any amounts provided under the Policy that are “deferred compensation” within the meaning of Section 409A (i.e., not exempt from Section 409A):</w:t>
      </w:r>
    </w:p>
    <w:p>
      <w:pPr>
        <w:spacing w:after="0" w:line="186" w:lineRule="exact"/>
        <w:rPr>
          <w:sz w:val="20"/>
          <w:szCs w:val="20"/>
          <w:color w:val="auto"/>
        </w:rPr>
      </w:pPr>
    </w:p>
    <w:p>
      <w:pPr>
        <w:ind w:left="660" w:hanging="328"/>
        <w:spacing w:after="0" w:line="223" w:lineRule="auto"/>
        <w:tabs>
          <w:tab w:leader="none" w:pos="659" w:val="left"/>
        </w:tabs>
        <w:numPr>
          <w:ilvl w:val="0"/>
          <w:numId w:val="97"/>
        </w:numPr>
        <w:rPr>
          <w:rFonts w:ascii="Arial" w:cs="Arial" w:eastAsia="Arial" w:hAnsi="Arial"/>
          <w:sz w:val="20"/>
          <w:szCs w:val="20"/>
          <w:color w:val="auto"/>
        </w:rPr>
      </w:pPr>
      <w:r>
        <w:rPr>
          <w:rFonts w:ascii="Arial" w:cs="Arial" w:eastAsia="Arial" w:hAnsi="Arial"/>
          <w:sz w:val="20"/>
          <w:szCs w:val="20"/>
          <w:color w:val="auto"/>
        </w:rPr>
        <w:t>if payable as a result of termination of employment and you are a “Specified Employee” (as determined by Gartner under Section 409A, which generally will include all U.S. OC Members) at that time, amounts that otherwise would be paid during the first six months following termination will be delayed and accumulated for a period of six months and paid in a lump sum on the first day of the seventh month;</w:t>
      </w:r>
    </w:p>
    <w:p>
      <w:pPr>
        <w:spacing w:after="0" w:line="184" w:lineRule="exact"/>
        <w:rPr>
          <w:rFonts w:ascii="Arial" w:cs="Arial" w:eastAsia="Arial" w:hAnsi="Arial"/>
          <w:sz w:val="20"/>
          <w:szCs w:val="20"/>
          <w:color w:val="auto"/>
        </w:rPr>
      </w:pPr>
    </w:p>
    <w:p>
      <w:pPr>
        <w:ind w:left="660" w:right="220" w:hanging="328"/>
        <w:spacing w:after="0" w:line="234" w:lineRule="auto"/>
        <w:tabs>
          <w:tab w:leader="none" w:pos="659" w:val="left"/>
        </w:tabs>
        <w:numPr>
          <w:ilvl w:val="0"/>
          <w:numId w:val="97"/>
        </w:numPr>
        <w:rPr>
          <w:rFonts w:ascii="Arial" w:cs="Arial" w:eastAsia="Arial" w:hAnsi="Arial"/>
          <w:sz w:val="20"/>
          <w:szCs w:val="20"/>
          <w:color w:val="auto"/>
        </w:rPr>
      </w:pPr>
      <w:r>
        <w:rPr>
          <w:rFonts w:ascii="Arial" w:cs="Arial" w:eastAsia="Arial" w:hAnsi="Arial"/>
          <w:sz w:val="20"/>
          <w:szCs w:val="20"/>
          <w:color w:val="auto"/>
        </w:rPr>
        <w:t>“termination of employment” means the date you experience a “separation from service” within the meaning of Section 409A; and</w:t>
      </w:r>
    </w:p>
    <w:p>
      <w:pPr>
        <w:spacing w:after="0" w:line="186" w:lineRule="exact"/>
        <w:rPr>
          <w:rFonts w:ascii="Arial" w:cs="Arial" w:eastAsia="Arial" w:hAnsi="Arial"/>
          <w:sz w:val="20"/>
          <w:szCs w:val="20"/>
          <w:color w:val="auto"/>
        </w:rPr>
      </w:pPr>
    </w:p>
    <w:p>
      <w:pPr>
        <w:ind w:left="640" w:hanging="308"/>
        <w:spacing w:after="0"/>
        <w:tabs>
          <w:tab w:leader="none" w:pos="640" w:val="left"/>
        </w:tabs>
        <w:numPr>
          <w:ilvl w:val="0"/>
          <w:numId w:val="97"/>
        </w:numPr>
        <w:rPr>
          <w:rFonts w:ascii="Arial" w:cs="Arial" w:eastAsia="Arial" w:hAnsi="Arial"/>
          <w:sz w:val="20"/>
          <w:szCs w:val="20"/>
          <w:color w:val="auto"/>
        </w:rPr>
      </w:pPr>
      <w:r>
        <w:rPr>
          <w:rFonts w:ascii="Arial" w:cs="Arial" w:eastAsia="Arial" w:hAnsi="Arial"/>
          <w:sz w:val="20"/>
          <w:szCs w:val="20"/>
          <w:color w:val="auto"/>
        </w:rPr>
        <w:t>Gartner will not accelerate any such payment except to the extent permitted under Section 409A.</w:t>
      </w:r>
    </w:p>
    <w:p>
      <w:pPr>
        <w:spacing w:after="0" w:line="216" w:lineRule="exact"/>
        <w:rPr>
          <w:sz w:val="20"/>
          <w:szCs w:val="20"/>
          <w:color w:val="auto"/>
        </w:rPr>
      </w:pPr>
    </w:p>
    <w:p>
      <w:pPr>
        <w:ind w:right="220"/>
        <w:spacing w:after="0" w:line="224" w:lineRule="auto"/>
        <w:rPr>
          <w:sz w:val="20"/>
          <w:szCs w:val="20"/>
          <w:color w:val="auto"/>
        </w:rPr>
      </w:pPr>
      <w:r>
        <w:rPr>
          <w:rFonts w:ascii="Arial" w:cs="Arial" w:eastAsia="Arial" w:hAnsi="Arial"/>
          <w:sz w:val="19"/>
          <w:szCs w:val="19"/>
          <w:color w:val="auto"/>
        </w:rPr>
        <w:t>Any reimbursements or in-kind benefits provided under the Policy will be administered in accordance with Section 409A, such that: (a) the amount of expenses eligible for reimbursement or in-kind benefits provided during one year will not affect the</w:t>
      </w:r>
    </w:p>
    <w:p>
      <w:pPr>
        <w:spacing w:after="0" w:line="213" w:lineRule="auto"/>
        <w:rPr>
          <w:sz w:val="20"/>
          <w:szCs w:val="20"/>
          <w:color w:val="auto"/>
        </w:rPr>
      </w:pPr>
      <w:r>
        <w:rPr>
          <w:rFonts w:ascii="Arial" w:cs="Arial" w:eastAsia="Arial" w:hAnsi="Arial"/>
          <w:sz w:val="20"/>
          <w:szCs w:val="20"/>
          <w:color w:val="auto"/>
        </w:rPr>
        <w:t>expenses eligible for reimbursement or the in-kind benefits provided in any other year; (b) reimbursement of eligible expenses</w:t>
      </w:r>
    </w:p>
    <w:p>
      <w:pPr>
        <w:ind w:right="80"/>
        <w:spacing w:after="0" w:line="215" w:lineRule="auto"/>
        <w:rPr>
          <w:sz w:val="20"/>
          <w:szCs w:val="20"/>
          <w:color w:val="auto"/>
        </w:rPr>
      </w:pPr>
      <w:r>
        <w:rPr>
          <w:rFonts w:ascii="Arial" w:cs="Arial" w:eastAsia="Arial" w:hAnsi="Arial"/>
          <w:sz w:val="19"/>
          <w:szCs w:val="19"/>
          <w:color w:val="auto"/>
        </w:rPr>
        <w:t>will be made on or before December 31 of the year following the year in which the expense was incurred; and (c) the right to reimbursement or in-kind benefits is not subject to liquidation or to exchange for another benefit. Any “gross-up” payment under</w:t>
      </w:r>
    </w:p>
    <w:p>
      <w:pPr>
        <w:spacing w:after="0"/>
        <w:rPr>
          <w:sz w:val="20"/>
          <w:szCs w:val="20"/>
          <w:color w:val="auto"/>
        </w:rPr>
      </w:pPr>
      <w:r>
        <w:rPr>
          <w:rFonts w:ascii="Arial" w:cs="Arial" w:eastAsia="Arial" w:hAnsi="Arial"/>
          <w:sz w:val="20"/>
          <w:szCs w:val="20"/>
          <w:color w:val="auto"/>
        </w:rPr>
        <w:t>the Policy will be made no later than December 31 of the year following the year in which you pay the related taxes.</w:t>
      </w:r>
    </w:p>
    <w:p>
      <w:pPr>
        <w:spacing w:after="0" w:line="184" w:lineRule="exact"/>
        <w:rPr>
          <w:sz w:val="20"/>
          <w:szCs w:val="20"/>
          <w:color w:val="auto"/>
        </w:rPr>
      </w:pPr>
    </w:p>
    <w:p>
      <w:pPr>
        <w:ind w:right="160"/>
        <w:spacing w:after="0" w:line="243" w:lineRule="auto"/>
        <w:rPr>
          <w:sz w:val="20"/>
          <w:szCs w:val="20"/>
          <w:color w:val="auto"/>
        </w:rPr>
      </w:pPr>
      <w:r>
        <w:rPr>
          <w:rFonts w:ascii="Arial" w:cs="Arial" w:eastAsia="Arial" w:hAnsi="Arial"/>
          <w:sz w:val="20"/>
          <w:szCs w:val="20"/>
          <w:color w:val="auto"/>
        </w:rPr>
        <w:t>Nothing in the Enhanced Executive Rewards Policy or this Appendix B should be interpreted as an entitlement to or guarantee of any particular tax treatment.</w:t>
      </w:r>
    </w:p>
    <w:p>
      <w:pPr>
        <w:sectPr>
          <w:pgSz w:w="11900" w:h="16838" w:orient="portrait"/>
          <w:cols w:equalWidth="0" w:num="1">
            <w:col w:w="11200"/>
          </w:cols>
          <w:pgMar w:left="320" w:top="1440" w:right="37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3280" w:type="dxa"/>
            <w:vAlign w:val="bottom"/>
          </w:tcPr>
          <w:p>
            <w:pPr>
              <w:spacing w:after="0"/>
              <w:rPr>
                <w:sz w:val="20"/>
                <w:szCs w:val="20"/>
                <w:color w:val="auto"/>
              </w:rPr>
            </w:pPr>
          </w:p>
        </w:tc>
      </w:tr>
      <w:tr>
        <w:trPr>
          <w:trHeight w:val="221"/>
        </w:trPr>
        <w:tc>
          <w:tcPr>
            <w:tcW w:w="7740" w:type="dxa"/>
            <w:vAlign w:val="bottom"/>
          </w:tcPr>
          <w:p>
            <w:pPr>
              <w:ind w:left="478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3280" w:type="dxa"/>
            <w:vAlign w:val="bottom"/>
          </w:tcPr>
          <w:p>
            <w:pPr>
              <w:spacing w:after="0"/>
              <w:rPr>
                <w:sz w:val="19"/>
                <w:szCs w:val="19"/>
                <w:color w:val="auto"/>
              </w:rPr>
            </w:pPr>
          </w:p>
        </w:tc>
      </w:tr>
      <w:tr>
        <w:trPr>
          <w:trHeight w:val="424"/>
        </w:trPr>
        <w:tc>
          <w:tcPr>
            <w:tcW w:w="77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64"/>
        </w:trPr>
        <w:tc>
          <w:tcPr>
            <w:tcW w:w="7740" w:type="dxa"/>
            <w:vAlign w:val="bottom"/>
            <w:tcBorders>
              <w:bottom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3280" w:type="dxa"/>
            <w:vAlign w:val="bottom"/>
            <w:tcBorders>
              <w:bottom w:val="single" w:sz="8" w:color="C0C0C0"/>
            </w:tcBorders>
            <w:shd w:val="clear" w:color="auto" w:fill="C0C0C0"/>
          </w:tcPr>
          <w:p>
            <w:pPr>
              <w:ind w:left="500"/>
              <w:spacing w:after="0"/>
              <w:rPr>
                <w:sz w:val="20"/>
                <w:szCs w:val="20"/>
                <w:color w:val="auto"/>
              </w:rPr>
            </w:pPr>
            <w:r>
              <w:rPr>
                <w:rFonts w:ascii="Times New Roman" w:cs="Times New Roman" w:eastAsia="Times New Roman" w:hAnsi="Times New Roman"/>
                <w:sz w:val="18"/>
                <w:szCs w:val="18"/>
                <w:b w:val="1"/>
                <w:bCs w:val="1"/>
                <w:color w:val="auto"/>
              </w:rPr>
              <w:t>State/Country</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1422722 Ontario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Burton Group,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Utah, 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Capterra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(Barbados) SRL</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Barbados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Global Holdings Limited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Global Limited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Holdings UK 1 Limited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Holdings UK 2 Limited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International Holdings LLC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LLC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Financial Consultants Limited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Financial Consultants,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CXO Acquisition Co.</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Dataquest,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California, 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Evanta Ventures,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G.G. Properties,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Bermuda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Advisory (Singapore) Pte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Singapore</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Australasia PTY Limited (including branch in New Zealand)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Australia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Austria GmbH</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Austria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Belgium BVBA (including branch in Luxembourg)</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Belgium</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Canada Co.</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Nova Scotia, Canada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Consulting (Beijing) Co., LTD. (including branches in Shanghai &amp; Shenzhen)</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Czech Republic s.r.o.</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Czechia</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Danmark ApS</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Denmark</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Deutschland GmbH</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Germany</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do Brasil Serviços de Pesquisas Ltda.</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Brazil</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Espana, S.L. (including branch in Portugal)</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Spain</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Finland Oy</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Finland</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France SARL</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France</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Group (Thailand)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Thailand</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Group Taiwan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Taiwan</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Gulf FZ LLC (including branch in Abu Dhabi)</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Holdings Bermuda I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Bermuda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Holdings Bermuda II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Bermuda</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Holdings Cyprus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Cyprus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Holdings UK I Limited Partnership</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Holdings, LLC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Hong Kong Limited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Hong Kong</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India Research &amp; Advisory Services Private Limited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India</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Ireland Limited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Ireland</w:t>
            </w:r>
          </w:p>
        </w:tc>
      </w:tr>
    </w:tbl>
    <w:p>
      <w:pPr>
        <w:sectPr>
          <w:pgSz w:w="11900" w:h="16838" w:orient="portrait"/>
          <w:cols w:equalWidth="0" w:num="1">
            <w:col w:w="11240"/>
          </w:cols>
          <w:pgMar w:left="320" w:top="36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3280" w:type="dxa"/>
            <w:vAlign w:val="bottom"/>
          </w:tcPr>
          <w:p>
            <w:pPr>
              <w:spacing w:after="0"/>
              <w:rPr>
                <w:sz w:val="20"/>
                <w:szCs w:val="20"/>
                <w:color w:val="auto"/>
              </w:rPr>
            </w:pPr>
          </w:p>
        </w:tc>
      </w:tr>
      <w:tr>
        <w:trPr>
          <w:trHeight w:val="221"/>
        </w:trPr>
        <w:tc>
          <w:tcPr>
            <w:tcW w:w="7740" w:type="dxa"/>
            <w:vAlign w:val="bottom"/>
          </w:tcPr>
          <w:p>
            <w:pPr>
              <w:ind w:left="478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3280" w:type="dxa"/>
            <w:vAlign w:val="bottom"/>
          </w:tcPr>
          <w:p>
            <w:pPr>
              <w:spacing w:after="0"/>
              <w:rPr>
                <w:sz w:val="19"/>
                <w:szCs w:val="19"/>
                <w:color w:val="auto"/>
              </w:rPr>
            </w:pPr>
          </w:p>
        </w:tc>
      </w:tr>
      <w:tr>
        <w:trPr>
          <w:trHeight w:val="424"/>
        </w:trPr>
        <w:tc>
          <w:tcPr>
            <w:tcW w:w="77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64"/>
        </w:trPr>
        <w:tc>
          <w:tcPr>
            <w:tcW w:w="7740" w:type="dxa"/>
            <w:vAlign w:val="bottom"/>
            <w:tcBorders>
              <w:bottom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3280" w:type="dxa"/>
            <w:vAlign w:val="bottom"/>
            <w:tcBorders>
              <w:bottom w:val="single" w:sz="8" w:color="C0C0C0"/>
            </w:tcBorders>
            <w:shd w:val="clear" w:color="auto" w:fill="C0C0C0"/>
          </w:tcPr>
          <w:p>
            <w:pPr>
              <w:ind w:left="500"/>
              <w:spacing w:after="0"/>
              <w:rPr>
                <w:sz w:val="20"/>
                <w:szCs w:val="20"/>
                <w:color w:val="auto"/>
              </w:rPr>
            </w:pPr>
            <w:r>
              <w:rPr>
                <w:rFonts w:ascii="Times New Roman" w:cs="Times New Roman" w:eastAsia="Times New Roman" w:hAnsi="Times New Roman"/>
                <w:sz w:val="18"/>
                <w:szCs w:val="18"/>
                <w:b w:val="1"/>
                <w:bCs w:val="1"/>
                <w:color w:val="auto"/>
              </w:rPr>
              <w:t>State/Country</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Israel Advisory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Israel</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Italia S.r.l.</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Italy</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Japan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Japan</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Mexico, S. de R.L. de C.V.</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Mexico</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Nederland B.V.</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Netherlands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Norge AS</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Norway</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Poland Sp. z o.o.</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Poland</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QFC LLC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Qatar</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Regional Headquarter</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Saudi Arabia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Research &amp; Advisory (Malaysia) Sdn. Bhd.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Malaysia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Research &amp; Advisory Korea Co.,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Korea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Research and Advisory (Thailand) Limited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Thailand</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Research Holdings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Bermuda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Saudi Arabia Limited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Saudi Arabia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South Africa (Pty)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Sverige AB</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Sweden</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Switzerland GmbH</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Switzerland</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Turkey Teknoloji Araştırma ve Danışmanlık Hizmetleri Limited Şirketi</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Turkey</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U.K. Limited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LLC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Infinote Corporation</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L2,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Leadership Transition Institute, LLC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Machina Research USA, Incorporated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 Group GmbH</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Germany</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 Group Saudi</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Saudi Arabia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Nubera eBusiness, S.L.</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Spain</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Pulse Q&amp;A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Pulse Social Research Platform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Canada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SCM World US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Senexx Israel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Israel</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SircleIT,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Advice,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California, 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Sports Leadership Acquisition Co.</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Talent Assessment Holdings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Research Board,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TOPO Research, LLC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UpCity,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Valtera Corporation</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Illinois, United States</w:t>
            </w:r>
          </w:p>
        </w:tc>
      </w:tr>
    </w:tbl>
    <w:p>
      <w:pPr>
        <w:sectPr>
          <w:pgSz w:w="11900" w:h="16838" w:orient="portrait"/>
          <w:cols w:equalWidth="0" w:num="1">
            <w:col w:w="11240"/>
          </w:cols>
          <w:pgMar w:left="320" w:top="367" w:right="339"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consent to the incorporation by reference in the registration statements (Nos. 333-104753, 333-127349, 333-160924, 333-176058, 333-200585, 333-217347, 333-258460, and 333-273578) on Form S-8 of our reports dated February 15, 2024, with respect to the consolidated financial statements of Gartner, Inc. and the effectiveness of internal control over financial reporting.</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February 15, 2024</w:t>
      </w:r>
    </w:p>
    <w:p>
      <w:pPr>
        <w:sectPr>
          <w:pgSz w:w="11900" w:h="16838" w:orient="portrait"/>
          <w:cols w:equalWidth="0" w:num="1">
            <w:col w:w="11080"/>
          </w:cols>
          <w:pgMar w:left="320" w:top="1440" w:right="49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Eugene A. Hall, certify that:</w:t>
      </w:r>
    </w:p>
    <w:p>
      <w:pPr>
        <w:spacing w:after="0" w:line="225" w:lineRule="exact"/>
        <w:rPr>
          <w:sz w:val="20"/>
          <w:szCs w:val="20"/>
          <w:color w:val="auto"/>
        </w:rPr>
      </w:pPr>
    </w:p>
    <w:p>
      <w:pPr>
        <w:ind w:left="640" w:hanging="632"/>
        <w:spacing w:after="0"/>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Gartner,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28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48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Eugene A. Hall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15, 2024</w:t>
      </w:r>
    </w:p>
    <w:p>
      <w:pPr>
        <w:sectPr>
          <w:pgSz w:w="11900" w:h="16838" w:orient="portrait"/>
          <w:cols w:equalWidth="0" w:num="1">
            <w:col w:w="11240"/>
          </w:cols>
          <w:pgMar w:left="320" w:top="88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W. Safian, certify that:</w:t>
      </w:r>
    </w:p>
    <w:p>
      <w:pPr>
        <w:spacing w:after="0" w:line="252" w:lineRule="exact"/>
        <w:rPr>
          <w:sz w:val="20"/>
          <w:szCs w:val="20"/>
          <w:color w:val="auto"/>
        </w:rPr>
      </w:pPr>
    </w:p>
    <w:p>
      <w:pPr>
        <w:ind w:left="640" w:hanging="632"/>
        <w:spacing w:after="0"/>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Gartner,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28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Craig W. Safian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65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Craig W. Safian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15, 2024</w:t>
      </w:r>
    </w:p>
    <w:p>
      <w:pPr>
        <w:sectPr>
          <w:pgSz w:w="11900" w:h="16838" w:orient="portrait"/>
          <w:cols w:equalWidth="0" w:num="1">
            <w:col w:w="11240"/>
          </w:cols>
          <w:pgMar w:left="320" w:top="887" w:right="339" w:bottom="1440" w:gutter="0" w:footer="0" w:header="0"/>
        </w:sectPr>
      </w:pPr>
    </w:p>
    <w:bookmarkStart w:id="127" w:name="page128"/>
    <w:bookmarkEnd w:id="127"/>
    <w:p>
      <w:pPr>
        <w:ind w:left="1044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Gartner, Inc. (the “Company”) on Form 10-K for the year ended December 31, 2023, as filed with the Securities and Exchange Commission on the date hereof (the “Report”), Eugene A. Hall, Chief Executive Officer of the Company, and Craig W. Safian, Chief Financial Officer of the Company, each hereby certifies, pursuant to 18 U.S.C. § 1350, as adopted pursuant to Section 906 of the Sarbanes-Oxley Act of 2002, that:</w:t>
      </w:r>
    </w:p>
    <w:p>
      <w:pPr>
        <w:spacing w:after="0" w:line="180" w:lineRule="exact"/>
        <w:rPr>
          <w:sz w:val="20"/>
          <w:szCs w:val="20"/>
          <w:color w:val="auto"/>
        </w:rPr>
      </w:pPr>
    </w:p>
    <w:p>
      <w:pPr>
        <w:ind w:left="640" w:hanging="632"/>
        <w:spacing w:after="0"/>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Eugene A. Hall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Eugene A. Hall</w:t>
            </w:r>
          </w:p>
        </w:tc>
      </w:tr>
      <w:tr>
        <w:trPr>
          <w:trHeight w:val="23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20" w:type="dxa"/>
            <w:vAlign w:val="bottom"/>
          </w:tcPr>
          <w:p>
            <w:pPr>
              <w:spacing w:after="0"/>
              <w:rPr>
                <w:sz w:val="20"/>
                <w:szCs w:val="20"/>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 February 15, 2024</w:t>
            </w:r>
          </w:p>
        </w:tc>
      </w:tr>
      <w:tr>
        <w:trPr>
          <w:trHeight w:val="459"/>
        </w:trPr>
        <w:tc>
          <w:tcPr>
            <w:tcW w:w="4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Craig W. Safian</w:t>
            </w:r>
          </w:p>
        </w:tc>
      </w:tr>
      <w:tr>
        <w:trPr>
          <w:trHeight w:val="218"/>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Craig W. Safian</w:t>
            </w:r>
          </w:p>
        </w:tc>
      </w:tr>
      <w:tr>
        <w:trPr>
          <w:trHeight w:val="23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0" w:type="dxa"/>
            <w:vAlign w:val="bottom"/>
          </w:tcPr>
          <w:p>
            <w:pPr>
              <w:spacing w:after="0"/>
              <w:rPr>
                <w:sz w:val="20"/>
                <w:szCs w:val="20"/>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 February 15, 2024</w:t>
            </w:r>
          </w:p>
        </w:tc>
      </w:tr>
    </w:tbl>
    <w:p>
      <w:pPr>
        <w:spacing w:after="0" w:line="2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128" w:name="page129"/>
    <w:bookmarkEnd w:id="128"/>
    <w:p>
      <w:pPr>
        <w:spacing w:after="0" w:line="16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GARTNER, INC.</w:t>
      </w:r>
    </w:p>
    <w:p>
      <w:pPr>
        <w:spacing w:after="0" w:line="17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b w:val="1"/>
          <w:bCs w:val="1"/>
          <w:color w:val="auto"/>
        </w:rPr>
        <w:t>COMPENSATION RECOUPMENT (CLAWBACK) POLICY</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Recoupment of Incentive-Based Compensation</w:t>
      </w:r>
    </w:p>
    <w:p>
      <w:pPr>
        <w:spacing w:after="0" w:line="18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It is the policy of Gartner, Inc. (the “Company”) that, in the event the Company is required to prepare an accounting restatement of the Company’s financial statements due to material non-compliance with any financial reporting requirement under the federal securities laws (including any such correction that is material to the previously issued financial statements, or that would result in a material misstatement if the error were corrected in the current period or left uncorrected in the current period),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Policy Administration and Definitions</w:t>
      </w:r>
    </w:p>
    <w:p>
      <w:pPr>
        <w:spacing w:after="0" w:line="18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This Policy is administered by the Compensation Committee (the “Committee”) of the Company’s Board of Directors and is intended to comply with, and as applicable to be administered and interpreted consistent with, and subject to the exceptions set forth in, Listing Standard 303A.14 adopted by the New York Stock Exchange to implement Rule 10D-1 under the Securities Exchange Act of 1934, as amended (collectively, “Rule 10D-1”).</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Policy:</w:t>
      </w:r>
    </w:p>
    <w:p>
      <w:pPr>
        <w:spacing w:after="0" w:line="179" w:lineRule="exact"/>
        <w:rPr>
          <w:sz w:val="20"/>
          <w:szCs w:val="20"/>
          <w:color w:val="auto"/>
        </w:rPr>
      </w:pPr>
    </w:p>
    <w:p>
      <w:pPr>
        <w:jc w:val="both"/>
        <w:ind w:left="660"/>
        <w:spacing w:after="0" w:line="213" w:lineRule="auto"/>
        <w:rPr>
          <w:sz w:val="20"/>
          <w:szCs w:val="20"/>
          <w:color w:val="auto"/>
        </w:rPr>
      </w:pPr>
      <w:r>
        <w:rPr>
          <w:rFonts w:ascii="Times New Roman" w:cs="Times New Roman" w:eastAsia="Times New Roman" w:hAnsi="Times New Roman"/>
          <w:sz w:val="22"/>
          <w:szCs w:val="22"/>
          <w:color w:val="auto"/>
        </w:rPr>
        <w:t>“Incentive-Based Compensation” means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 A financial reporting measure is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w:t>
      </w:r>
    </w:p>
    <w:p>
      <w:pPr>
        <w:spacing w:after="0" w:line="156"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Incentive-Based Compensation is deemed to be “Received” in the fiscal period during which the relevant financial reporting measure is attained, regardless of when the compensation is actually paid or awarded.</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“Covered Executive” means any “executive officer” of the Company as defined under Rule 10D-1.</w:t>
      </w:r>
    </w:p>
    <w:p>
      <w:pPr>
        <w:spacing w:after="0" w:line="179" w:lineRule="exact"/>
        <w:rPr>
          <w:sz w:val="20"/>
          <w:szCs w:val="20"/>
          <w:color w:val="auto"/>
        </w:rPr>
      </w:pPr>
    </w:p>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“Recovery Period” means the three completed fiscal years immediately preceding the date that the Company is required to prepare the accounting restatement described in this Policy, as determined pursuant to Rule 10D-1, and any transition period of less than nine months that is within or immediately following such three fiscal years.</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If the Committee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shall be subject to recoupment by the Company pursuant to this Policy. For Incentive-Based Compensation based on stock price or total</w:t>
      </w:r>
    </w:p>
    <w:p>
      <w:pPr>
        <w:sectPr>
          <w:pgSz w:w="11900" w:h="16838" w:orient="portrait"/>
          <w:cols w:equalWidth="0" w:num="1">
            <w:col w:w="11240"/>
          </w:cols>
          <w:pgMar w:left="320" w:top="1440" w:right="339" w:bottom="1440" w:gutter="0" w:footer="0" w:header="0"/>
        </w:sectPr>
      </w:pPr>
    </w:p>
    <w:bookmarkStart w:id="129" w:name="page130"/>
    <w:bookmarkEnd w:id="129"/>
    <w:p>
      <w:pPr>
        <w:jc w:val="both"/>
        <w:spacing w:after="0" w:line="220" w:lineRule="auto"/>
        <w:rPr>
          <w:sz w:val="20"/>
          <w:szCs w:val="20"/>
          <w:color w:val="auto"/>
        </w:rPr>
      </w:pPr>
      <w:r>
        <w:rPr>
          <w:rFonts w:ascii="Times New Roman" w:cs="Times New Roman" w:eastAsia="Times New Roman" w:hAnsi="Times New Roman"/>
          <w:sz w:val="22"/>
          <w:szCs w:val="22"/>
          <w:color w:val="auto"/>
        </w:rPr>
        <w:t>shareholder return, the Committee will determine the amount based on a reasonable estimate of the effect of the accounting restatement on the relevant stock price or total shareholder return. In all cases, the calculation of the excess amount of Incentive-Based Compensation to be recovered will be determined on a pre-tax basis. Any determinations made by the Committee under this Policy shall be final and binding on all affected individuals.</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The Company may effect any recovery pursuant to this Policy by requiring payment of such amount(s) to the Company, by set-off, by reducing future compensation, or by such other means or combination of means as the Committee determines to be appropriate. The Company need not recover the excess amount of Incentive-Based Compensation if and to the extent that the Committee determines that such recovery is impracticable, subject to and in accordance with any applicable exceptions under the New York Stock Exchange listing rules, and not required under Rule 10D-1, including if the Committee determines that the direct expense paid to a third party to assist in enforcing this Policy would exceed the amount to be recovered after making a reasonable attempt to recover such amounts. The Company is authorized to take appropriate steps to implement this Policy with respect to Incentive-Based Compensation arrangements with Covered Executives.</w:t>
      </w:r>
    </w:p>
    <w:p>
      <w:pPr>
        <w:spacing w:after="0" w:line="15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Any right of recoupment or recovery pursuant to this Policy is in addition to, and not in lieu of, any other remedies or rights of recoupment that may be available to the Company pursuant to the terms of any other policy, any employment agreement or plan or award terms, and any other legal remedies available to the Company; provided that the Company shall not recoup amounts pursuant to such other policy, terms or remedies to the extent it is recovered pursuant to this Policy. The Company shall not indemnify any Covered Executive against the loss of any Incentive-Based Compensation pursuant to this Policy.</w:t>
      </w:r>
    </w:p>
    <w:p>
      <w:pPr>
        <w:spacing w:after="0" w:line="181"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For the avoidance of doubt, this Policy expressly supersedes and replaces the Company’s existing Clawback Policy, dated as of March 24,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sectPr>
      <w:pgSz w:w="11900" w:h="16838" w:orient="portrait"/>
      <w:cols w:equalWidth="0" w:num="1">
        <w:col w:w="11240"/>
      </w:cols>
      <w:pgMar w:left="320" w:top="13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1)"/>
      <w:numFmt w:val="decimal"/>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1)"/>
      <w:numFmt w:val="decimal"/>
      <w:start w:val="1"/>
    </w:lvl>
  </w:abstractNum>
  <w:abstractNum w:abstractNumId="11">
    <w:nsid w:val="275AC794"/>
    <w:multiLevelType w:val="hybridMultilevel"/>
    <w:lvl w:ilvl="0">
      <w:lvlJc w:val="left"/>
      <w:lvlText w:val="(%1)"/>
      <w:numFmt w:val="decimal"/>
      <w:start w:val="1"/>
    </w:lvl>
  </w:abstractNum>
  <w:abstractNum w:abstractNumId="12">
    <w:nsid w:val="39386575"/>
    <w:multiLevelType w:val="hybridMultilevel"/>
    <w:lvl w:ilvl="0">
      <w:lvlJc w:val="left"/>
      <w:lvlText w:val="(%1)"/>
      <w:numFmt w:val="decimal"/>
      <w:start w:val="1"/>
    </w:lvl>
  </w:abstractNum>
  <w:abstractNum w:abstractNumId="13">
    <w:nsid w:val="1CF10FD8"/>
    <w:multiLevelType w:val="hybridMultilevel"/>
    <w:lvl w:ilvl="0">
      <w:lvlJc w:val="left"/>
      <w:lvlText w:val="(%1)"/>
      <w:numFmt w:val="decimal"/>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1)"/>
      <w:numFmt w:val="decimal"/>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1)"/>
      <w:numFmt w:val="decimal"/>
      <w:start w:val="1"/>
    </w:lvl>
  </w:abstractNum>
  <w:abstractNum w:abstractNumId="20">
    <w:nsid w:val="D34B6A8"/>
    <w:multiLevelType w:val="hybridMultilevel"/>
    <w:lvl w:ilvl="0">
      <w:lvlJc w:val="left"/>
      <w:lvlText w:val="(%1)"/>
      <w:numFmt w:val="decimal"/>
      <w:start w:val="1"/>
    </w:lvl>
  </w:abstractNum>
  <w:abstractNum w:abstractNumId="21">
    <w:nsid w:val="10233C99"/>
    <w:multiLevelType w:val="hybridMultilevel"/>
    <w:lvl w:ilvl="0">
      <w:lvlJc w:val="left"/>
      <w:lvlText w:val="(%1)"/>
      <w:numFmt w:val="decimal"/>
      <w:start w:val="1"/>
    </w:lvl>
  </w:abstractNum>
  <w:abstractNum w:abstractNumId="22">
    <w:nsid w:val="3F6AB60F"/>
    <w:multiLevelType w:val="hybridMultilevel"/>
    <w:lvl w:ilvl="0">
      <w:lvlJc w:val="left"/>
      <w:lvlText w:val="(%1)"/>
      <w:numFmt w:val="decimal"/>
      <w:start w:val="1"/>
    </w:lvl>
  </w:abstractNum>
  <w:abstractNum w:abstractNumId="23">
    <w:nsid w:val="61574095"/>
    <w:multiLevelType w:val="hybridMultilevel"/>
    <w:lvl w:ilvl="0">
      <w:lvlJc w:val="left"/>
      <w:lvlText w:val="(%1)"/>
      <w:numFmt w:val="decimal"/>
      <w:start w:val="6"/>
    </w:lvl>
  </w:abstractNum>
  <w:abstractNum w:abstractNumId="24">
    <w:nsid w:val="7E0C57B1"/>
    <w:multiLevelType w:val="hybridMultilevel"/>
    <w:lvl w:ilvl="0">
      <w:lvlJc w:val="left"/>
      <w:lvlText w:val="(%1)"/>
      <w:numFmt w:val="decimal"/>
      <w:start w:val="1"/>
    </w:lvl>
  </w:abstractNum>
  <w:abstractNum w:abstractNumId="25">
    <w:nsid w:val="77AE35EB"/>
    <w:multiLevelType w:val="hybridMultilevel"/>
    <w:lvl w:ilvl="0">
      <w:lvlJc w:val="left"/>
      <w:lvlText w:val="(%1)"/>
      <w:numFmt w:val="decimal"/>
      <w:start w:val="4"/>
    </w:lvl>
  </w:abstractNum>
  <w:abstractNum w:abstractNumId="26">
    <w:nsid w:val="579BE4F1"/>
    <w:multiLevelType w:val="hybridMultilevel"/>
    <w:lvl w:ilvl="0">
      <w:lvlJc w:val="left"/>
      <w:lvlText w:val="(%1)"/>
      <w:numFmt w:val="decimal"/>
      <w:start w:val="1"/>
    </w:lvl>
  </w:abstractNum>
  <w:abstractNum w:abstractNumId="27">
    <w:nsid w:val="310C50B3"/>
    <w:multiLevelType w:val="hybridMultilevel"/>
    <w:lvl w:ilvl="0">
      <w:lvlJc w:val="left"/>
      <w:lvlText w:val="(%1)"/>
      <w:numFmt w:val="decimal"/>
      <w:start w:val="1"/>
    </w:lvl>
  </w:abstractNum>
  <w:abstractNum w:abstractNumId="28">
    <w:nsid w:val="5FF87E05"/>
    <w:multiLevelType w:val="hybridMultilevel"/>
    <w:lvl w:ilvl="0">
      <w:lvlJc w:val="left"/>
      <w:lvlText w:val="(%1)"/>
      <w:numFmt w:val="decimal"/>
      <w:start w:val="1"/>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1)"/>
      <w:numFmt w:val="decimal"/>
      <w:start w:val="1"/>
    </w:lvl>
  </w:abstractNum>
  <w:abstractNum w:abstractNumId="31">
    <w:nsid w:val="1DBABF00"/>
    <w:multiLevelType w:val="hybridMultilevel"/>
    <w:lvl w:ilvl="0">
      <w:lvlJc w:val="left"/>
      <w:lvlText w:val="(%1)"/>
      <w:numFmt w:val="decimal"/>
      <w:start w:val="1"/>
    </w:lvl>
  </w:abstractNum>
  <w:abstractNum w:abstractNumId="32">
    <w:nsid w:val="4AD084E9"/>
    <w:multiLevelType w:val="hybridMultilevel"/>
    <w:lvl w:ilvl="0">
      <w:lvlJc w:val="left"/>
      <w:lvlText w:val="(%1)"/>
      <w:numFmt w:val="decimal"/>
      <w:start w:val="1"/>
    </w:lvl>
  </w:abstractNum>
  <w:abstractNum w:abstractNumId="33">
    <w:nsid w:val="1F48EAA1"/>
    <w:multiLevelType w:val="hybridMultilevel"/>
    <w:lvl w:ilvl="0">
      <w:lvlJc w:val="left"/>
      <w:lvlText w:val="(%1)"/>
      <w:numFmt w:val="decimal"/>
      <w:start w:val="1"/>
    </w:lvl>
  </w:abstractNum>
  <w:abstractNum w:abstractNumId="34">
    <w:nsid w:val="1381823A"/>
    <w:multiLevelType w:val="hybridMultilevel"/>
    <w:lvl w:ilvl="0">
      <w:lvlJc w:val="left"/>
      <w:lvlText w:val="(%1)"/>
      <w:numFmt w:val="decimal"/>
      <w:start w:val="1"/>
    </w:lvl>
  </w:abstractNum>
  <w:abstractNum w:abstractNumId="35">
    <w:nsid w:val="5DB70AE5"/>
    <w:multiLevelType w:val="hybridMultilevel"/>
    <w:lvl w:ilvl="0">
      <w:lvlJc w:val="left"/>
      <w:lvlText w:val="(%1)"/>
      <w:numFmt w:val="decimal"/>
      <w:start w:val="1"/>
    </w:lvl>
  </w:abstractNum>
  <w:abstractNum w:abstractNumId="36">
    <w:nsid w:val="100F8FCA"/>
    <w:multiLevelType w:val="hybridMultilevel"/>
    <w:lvl w:ilvl="0">
      <w:lvlJc w:val="left"/>
      <w:lvlText w:val="(%1)"/>
      <w:numFmt w:val="decimal"/>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1)"/>
      <w:numFmt w:val="decimal"/>
      <w:start w:val="1"/>
    </w:lvl>
  </w:abstractNum>
  <w:abstractNum w:abstractNumId="39">
    <w:nsid w:val="5F5E7FD0"/>
    <w:multiLevelType w:val="hybridMultilevel"/>
    <w:lvl w:ilvl="0">
      <w:lvlJc w:val="left"/>
      <w:lvlText w:val="(%1)"/>
      <w:numFmt w:val="decimal"/>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1."/>
      <w:numFmt w:val="decimal"/>
      <w:start w:val="1"/>
    </w:lvl>
    <w:lvl w:ilvl="1">
      <w:lvlJc w:val="left"/>
      <w:lvlText w:val="(%2)"/>
      <w:numFmt w:val="lowerLetter"/>
      <w:start w:val="1"/>
    </w:lvl>
  </w:abstractNum>
  <w:abstractNum w:abstractNumId="44">
    <w:nsid w:val="168E121F"/>
    <w:multiLevelType w:val="hybridMultilevel"/>
    <w:lvl w:ilvl="0">
      <w:lvlJc w:val="left"/>
      <w:lvlText w:val="%1"/>
      <w:numFmt w:val="decimal"/>
      <w:start w:val="1"/>
    </w:lvl>
    <w:lvl w:ilvl="1">
      <w:lvlJc w:val="left"/>
      <w:lvlText w:val="(%2)"/>
      <w:numFmt w:val="lowerLetter"/>
      <w:start w:val="4"/>
    </w:lvl>
  </w:abstractNum>
  <w:abstractNum w:abstractNumId="45">
    <w:nsid w:val="1EBA5D23"/>
    <w:multiLevelType w:val="hybridMultilevel"/>
    <w:lvl w:ilvl="0">
      <w:lvlJc w:val="left"/>
      <w:lvlText w:val="%1."/>
      <w:numFmt w:val="decimal"/>
      <w:start w:val="4"/>
    </w:lvl>
    <w:lvl w:ilvl="1">
      <w:lvlJc w:val="left"/>
      <w:lvlText w:val="%2"/>
      <w:numFmt w:val="lowerLetter"/>
      <w:start w:val="1"/>
    </w:lvl>
  </w:abstractNum>
  <w:abstractNum w:abstractNumId="46">
    <w:nsid w:val="661E3F1E"/>
    <w:multiLevelType w:val="hybridMultilevel"/>
    <w:lvl w:ilvl="0">
      <w:lvlJc w:val="left"/>
      <w:lvlText w:val="%1."/>
      <w:numFmt w:val="decimal"/>
      <w:start w:val="5"/>
    </w:lvl>
  </w:abstractNum>
  <w:abstractNum w:abstractNumId="47">
    <w:nsid w:val="5DC79EA8"/>
    <w:multiLevelType w:val="hybridMultilevel"/>
    <w:lvl w:ilvl="0">
      <w:lvlJc w:val="left"/>
      <w:lvlText w:val="%1."/>
      <w:numFmt w:val="decimal"/>
      <w:start w:val="8"/>
    </w:lvl>
  </w:abstractNum>
  <w:abstractNum w:abstractNumId="48">
    <w:nsid w:val="540A471C"/>
    <w:multiLevelType w:val="hybridMultilevel"/>
    <w:lvl w:ilvl="0">
      <w:lvlJc w:val="left"/>
      <w:lvlText w:val="%1."/>
      <w:numFmt w:val="decimal"/>
      <w:start w:val="11"/>
    </w:lvl>
  </w:abstractNum>
  <w:abstractNum w:abstractNumId="49">
    <w:nsid w:val="7BD3EE7B"/>
    <w:multiLevelType w:val="hybridMultilevel"/>
    <w:lvl w:ilvl="0">
      <w:lvlJc w:val="left"/>
      <w:lvlText w:val="%1."/>
      <w:numFmt w:val="decimal"/>
      <w:start w:val="15"/>
    </w:lvl>
  </w:abstractNum>
  <w:abstractNum w:abstractNumId="50">
    <w:nsid w:val="51D9C564"/>
    <w:multiLevelType w:val="hybridMultilevel"/>
    <w:lvl w:ilvl="0">
      <w:lvlJc w:val="left"/>
      <w:lvlText w:val="(%1)"/>
      <w:numFmt w:val="lowerRoman"/>
      <w:start w:val="2"/>
    </w:lvl>
  </w:abstractNum>
  <w:abstractNum w:abstractNumId="51">
    <w:nsid w:val="613EFDC5"/>
    <w:multiLevelType w:val="hybridMultilevel"/>
    <w:lvl w:ilvl="0">
      <w:lvlJc w:val="left"/>
      <w:lvlText w:val="(%1)"/>
      <w:numFmt w:val="lowerLetter"/>
      <w:start w:val="2"/>
    </w:lvl>
  </w:abstractNum>
  <w:abstractNum w:abstractNumId="52">
    <w:nsid w:val="BF72B14"/>
    <w:multiLevelType w:val="hybridMultilevel"/>
    <w:lvl w:ilvl="0">
      <w:lvlJc w:val="left"/>
      <w:lvlText w:val="(%1)"/>
      <w:numFmt w:val="lowerRoman"/>
      <w:start w:val="1"/>
    </w:lvl>
  </w:abstractNum>
  <w:abstractNum w:abstractNumId="53">
    <w:nsid w:val="11447B73"/>
    <w:multiLevelType w:val="hybridMultilevel"/>
    <w:lvl w:ilvl="0">
      <w:lvlJc w:val="left"/>
      <w:lvlText w:val="(%1)"/>
      <w:numFmt w:val="lowerLetter"/>
      <w:start w:val="4"/>
    </w:lvl>
  </w:abstractNum>
  <w:abstractNum w:abstractNumId="54">
    <w:nsid w:val="42963E5A"/>
    <w:multiLevelType w:val="hybridMultilevel"/>
    <w:lvl w:ilvl="0">
      <w:lvlJc w:val="left"/>
      <w:lvlText w:val="(%1)"/>
      <w:numFmt w:val="lowerLetter"/>
      <w:start w:val="6"/>
    </w:lvl>
  </w:abstractNum>
  <w:abstractNum w:abstractNumId="55">
    <w:nsid w:val="A0382C5"/>
    <w:multiLevelType w:val="hybridMultilevel"/>
    <w:lvl w:ilvl="0">
      <w:lvlJc w:val="left"/>
      <w:lvlText w:val="%1."/>
      <w:numFmt w:val="decimal"/>
      <w:start w:val="18"/>
    </w:lvl>
  </w:abstractNum>
  <w:abstractNum w:abstractNumId="56">
    <w:nsid w:val="8F2B15E"/>
    <w:multiLevelType w:val="hybridMultilevel"/>
    <w:lvl w:ilvl="0">
      <w:lvlJc w:val="left"/>
      <w:lvlText w:val="%1."/>
      <w:numFmt w:val="decimal"/>
      <w:start w:val="23"/>
    </w:lvl>
  </w:abstractNum>
  <w:abstractNum w:abstractNumId="57">
    <w:nsid w:val="1A32234B"/>
    <w:multiLevelType w:val="hybridMultilevel"/>
    <w:lvl w:ilvl="0">
      <w:lvlJc w:val="left"/>
      <w:lvlText w:val="%1."/>
      <w:numFmt w:val="decimal"/>
      <w:start w:val="28"/>
    </w:lvl>
  </w:abstractNum>
  <w:abstractNum w:abstractNumId="58">
    <w:nsid w:val="3B0FD379"/>
    <w:multiLevelType w:val="hybridMultilevel"/>
    <w:lvl w:ilvl="0">
      <w:lvlJc w:val="left"/>
      <w:lvlText w:val="%1."/>
      <w:numFmt w:val="decimal"/>
      <w:start w:val="30"/>
    </w:lvl>
  </w:abstractNum>
  <w:abstractNum w:abstractNumId="59">
    <w:nsid w:val="68EB2F63"/>
    <w:multiLevelType w:val="hybridMultilevel"/>
    <w:lvl w:ilvl="0">
      <w:lvlJc w:val="left"/>
      <w:lvlText w:val="(%1)"/>
      <w:numFmt w:val="lowerRoman"/>
      <w:start w:val="2"/>
    </w:lvl>
  </w:abstractNum>
  <w:abstractNum w:abstractNumId="60">
    <w:nsid w:val="4962813B"/>
    <w:multiLevelType w:val="hybridMultilevel"/>
    <w:lvl w:ilvl="0">
      <w:lvlJc w:val="left"/>
      <w:lvlText w:val="%1."/>
      <w:numFmt w:val="decimal"/>
      <w:start w:val="1"/>
    </w:lvl>
    <w:lvl w:ilvl="1">
      <w:lvlJc w:val="left"/>
      <w:lvlText w:val="(%2)"/>
      <w:numFmt w:val="lowerLetter"/>
      <w:start w:val="1"/>
    </w:lvl>
  </w:abstractNum>
  <w:abstractNum w:abstractNumId="61">
    <w:nsid w:val="60B6DF70"/>
    <w:multiLevelType w:val="hybridMultilevel"/>
    <w:lvl w:ilvl="0">
      <w:lvlJc w:val="left"/>
      <w:lvlText w:val="(%1)"/>
      <w:numFmt w:val="lowerLetter"/>
      <w:start w:val="4"/>
    </w:lvl>
  </w:abstractNum>
  <w:abstractNum w:abstractNumId="62">
    <w:nsid w:val="6A5EE64"/>
    <w:multiLevelType w:val="hybridMultilevel"/>
    <w:lvl w:ilvl="0">
      <w:lvlJc w:val="left"/>
      <w:lvlText w:val="%1."/>
      <w:numFmt w:val="decimal"/>
      <w:start w:val="4"/>
    </w:lvl>
  </w:abstractNum>
  <w:abstractNum w:abstractNumId="63">
    <w:nsid w:val="14330624"/>
    <w:multiLevelType w:val="hybridMultilevel"/>
    <w:lvl w:ilvl="0">
      <w:lvlJc w:val="left"/>
      <w:lvlText w:val="%1."/>
      <w:numFmt w:val="decimal"/>
      <w:start w:val="8"/>
    </w:lvl>
  </w:abstractNum>
  <w:abstractNum w:abstractNumId="64">
    <w:nsid w:val="7FFFCA11"/>
    <w:multiLevelType w:val="hybridMultilevel"/>
    <w:lvl w:ilvl="0">
      <w:lvlJc w:val="left"/>
      <w:lvlText w:val="%1"/>
      <w:numFmt w:val="lowerLetter"/>
      <w:start w:val="1"/>
    </w:lvl>
    <w:lvl w:ilvl="1">
      <w:lvlJc w:val="left"/>
      <w:lvlText w:val="%2."/>
      <w:numFmt w:val="decimal"/>
      <w:start w:val="10"/>
    </w:lvl>
  </w:abstractNum>
  <w:abstractNum w:abstractNumId="65">
    <w:nsid w:val="1A27709E"/>
    <w:multiLevelType w:val="hybridMultilevel"/>
    <w:lvl w:ilvl="0">
      <w:lvlJc w:val="left"/>
      <w:lvlText w:val="(%1)"/>
      <w:numFmt w:val="lowerLetter"/>
      <w:start w:val="3"/>
    </w:lvl>
    <w:lvl w:ilvl="1">
      <w:lvlJc w:val="left"/>
      <w:lvlText w:val="%2."/>
      <w:numFmt w:val="decimal"/>
      <w:start w:val="12"/>
    </w:lvl>
  </w:abstractNum>
  <w:abstractNum w:abstractNumId="66">
    <w:nsid w:val="71EA1109"/>
    <w:multiLevelType w:val="hybridMultilevel"/>
    <w:lvl w:ilvl="0">
      <w:lvlJc w:val="left"/>
      <w:lvlText w:val="(%1)"/>
      <w:numFmt w:val="lowerRoman"/>
      <w:start w:val="2"/>
    </w:lvl>
  </w:abstractNum>
  <w:abstractNum w:abstractNumId="67">
    <w:nsid w:val="100F59DC"/>
    <w:multiLevelType w:val="hybridMultilevel"/>
    <w:lvl w:ilvl="0">
      <w:lvlJc w:val="left"/>
      <w:lvlText w:val="%1"/>
      <w:numFmt w:val="decimal"/>
      <w:start w:val="1"/>
    </w:lvl>
    <w:lvl w:ilvl="1">
      <w:lvlJc w:val="left"/>
      <w:lvlText w:val="(%2)"/>
      <w:numFmt w:val="lowerLetter"/>
      <w:start w:val="61"/>
    </w:lvl>
    <w:lvl w:ilvl="2">
      <w:lvlJc w:val="left"/>
      <w:lvlText w:val="%3"/>
      <w:numFmt w:val="lowerRoman"/>
      <w:start w:val="1"/>
    </w:lvl>
  </w:abstractNum>
  <w:abstractNum w:abstractNumId="68">
    <w:nsid w:val="7FB7E0AA"/>
    <w:multiLevelType w:val="hybridMultilevel"/>
    <w:lvl w:ilvl="0">
      <w:lvlJc w:val="left"/>
      <w:lvlText w:val="%1."/>
      <w:numFmt w:val="decimal"/>
      <w:start w:val="12"/>
    </w:lvl>
    <w:lvl w:ilvl="1">
      <w:lvlJc w:val="left"/>
      <w:lvlText w:val="(%2)"/>
      <w:numFmt w:val="lowerLetter"/>
      <w:start w:val="2"/>
    </w:lvl>
    <w:lvl w:ilvl="2">
      <w:lvlJc w:val="left"/>
      <w:lvlText w:val="(%3)"/>
      <w:numFmt w:val="lowerRoman"/>
      <w:start w:val="1"/>
    </w:lvl>
  </w:abstractNum>
  <w:abstractNum w:abstractNumId="69">
    <w:nsid w:val="6EB5BD4"/>
    <w:multiLevelType w:val="hybridMultilevel"/>
    <w:lvl w:ilvl="0">
      <w:lvlJc w:val="left"/>
      <w:lvlText w:val="%1"/>
      <w:numFmt w:val="lowerLetter"/>
      <w:start w:val="1"/>
    </w:lvl>
    <w:lvl w:ilvl="1">
      <w:lvlJc w:val="left"/>
      <w:lvlText w:val="(%2)"/>
      <w:numFmt w:val="lowerLetter"/>
      <w:start w:val="61"/>
    </w:lvl>
  </w:abstractNum>
  <w:abstractNum w:abstractNumId="70">
    <w:nsid w:val="6F6DD9AC"/>
    <w:multiLevelType w:val="hybridMultilevel"/>
    <w:lvl w:ilvl="0">
      <w:lvlJc w:val="left"/>
      <w:lvlText w:val="(%1)"/>
      <w:numFmt w:val="lowerLetter"/>
      <w:start w:val="4"/>
    </w:lvl>
    <w:lvl w:ilvl="1">
      <w:lvlJc w:val="left"/>
      <w:lvlText w:val="%2"/>
      <w:numFmt w:val="lowerLetter"/>
      <w:start w:val="1"/>
    </w:lvl>
  </w:abstractNum>
  <w:abstractNum w:abstractNumId="71">
    <w:nsid w:val="94211F2"/>
    <w:multiLevelType w:val="hybridMultilevel"/>
    <w:lvl w:ilvl="0">
      <w:lvlJc w:val="left"/>
      <w:lvlText w:val="(%1)"/>
      <w:numFmt w:val="lowerLetter"/>
      <w:start w:val="5"/>
    </w:lvl>
  </w:abstractNum>
  <w:abstractNum w:abstractNumId="72">
    <w:nsid w:val="885E1B"/>
    <w:multiLevelType w:val="hybridMultilevel"/>
    <w:lvl w:ilvl="0">
      <w:lvlJc w:val="left"/>
      <w:lvlText w:val="%1."/>
      <w:numFmt w:val="decimal"/>
      <w:start w:val="13"/>
    </w:lvl>
  </w:abstractNum>
  <w:abstractNum w:abstractNumId="73">
    <w:nsid w:val="76272110"/>
    <w:multiLevelType w:val="hybridMultilevel"/>
    <w:lvl w:ilvl="0">
      <w:lvlJc w:val="left"/>
      <w:lvlText w:val="%1."/>
      <w:numFmt w:val="decimal"/>
      <w:start w:val="14"/>
    </w:lvl>
  </w:abstractNum>
  <w:abstractNum w:abstractNumId="74">
    <w:nsid w:val="4C04A8AF"/>
    <w:multiLevelType w:val="hybridMultilevel"/>
    <w:lvl w:ilvl="0">
      <w:lvlJc w:val="left"/>
      <w:lvlText w:val="%1."/>
      <w:numFmt w:val="decimal"/>
      <w:start w:val="20"/>
    </w:lvl>
  </w:abstractNum>
  <w:abstractNum w:abstractNumId="75">
    <w:nsid w:val="1716703B"/>
    <w:multiLevelType w:val="hybridMultilevel"/>
    <w:lvl w:ilvl="0">
      <w:lvlJc w:val="left"/>
      <w:lvlText w:val="%1."/>
      <w:numFmt w:val="decimal"/>
      <w:start w:val="26"/>
    </w:lvl>
  </w:abstractNum>
  <w:abstractNum w:abstractNumId="76">
    <w:nsid w:val="14E17E33"/>
    <w:multiLevelType w:val="hybridMultilevel"/>
    <w:lvl w:ilvl="0">
      <w:lvlJc w:val="left"/>
      <w:lvlText w:val="(%1)"/>
      <w:numFmt w:val="lowerRoman"/>
      <w:start w:val="2"/>
    </w:lvl>
  </w:abstractNum>
  <w:abstractNum w:abstractNumId="77">
    <w:nsid w:val="3222E7CD"/>
    <w:multiLevelType w:val="hybridMultilevel"/>
    <w:lvl w:ilvl="0">
      <w:lvlJc w:val="left"/>
      <w:lvlText w:val="%1."/>
      <w:numFmt w:val="decimal"/>
      <w:start w:val="1"/>
    </w:lvl>
    <w:lvl w:ilvl="1">
      <w:lvlJc w:val="left"/>
      <w:lvlText w:val="(%2)"/>
      <w:numFmt w:val="lowerLetter"/>
      <w:start w:val="1"/>
    </w:lvl>
  </w:abstractNum>
  <w:abstractNum w:abstractNumId="78">
    <w:nsid w:val="74DE0EE3"/>
    <w:multiLevelType w:val="hybridMultilevel"/>
    <w:lvl w:ilvl="0">
      <w:lvlJc w:val="left"/>
      <w:lvlText w:val="(%1)"/>
      <w:numFmt w:val="lowerLetter"/>
      <w:start w:val="3"/>
    </w:lvl>
    <w:lvl w:ilvl="1">
      <w:lvlJc w:val="left"/>
      <w:lvlText w:val="(%2)"/>
      <w:numFmt w:val="lowerRoman"/>
      <w:start w:val="1"/>
    </w:lvl>
  </w:abstractNum>
  <w:abstractNum w:abstractNumId="79">
    <w:nsid w:val="68EBC550"/>
    <w:multiLevelType w:val="hybridMultilevel"/>
    <w:lvl w:ilvl="0">
      <w:lvlJc w:val="left"/>
      <w:lvlText w:val="%1"/>
      <w:numFmt w:val="decimal"/>
      <w:start w:val="1"/>
    </w:lvl>
    <w:lvl w:ilvl="1">
      <w:lvlJc w:val="left"/>
      <w:lvlText w:val="(%2)"/>
      <w:numFmt w:val="lowerLetter"/>
      <w:start w:val="4"/>
    </w:lvl>
  </w:abstractNum>
  <w:abstractNum w:abstractNumId="80">
    <w:nsid w:val="2DF6D648"/>
    <w:multiLevelType w:val="hybridMultilevel"/>
    <w:lvl w:ilvl="0">
      <w:lvlJc w:val="left"/>
      <w:lvlText w:val="%1."/>
      <w:numFmt w:val="decimal"/>
      <w:start w:val="4"/>
    </w:lvl>
    <w:lvl w:ilvl="1">
      <w:lvlJc w:val="left"/>
      <w:lvlText w:val="%2"/>
      <w:numFmt w:val="lowerLetter"/>
      <w:start w:val="1"/>
    </w:lvl>
  </w:abstractNum>
  <w:abstractNum w:abstractNumId="81">
    <w:nsid w:val="46B7D447"/>
    <w:multiLevelType w:val="hybridMultilevel"/>
    <w:lvl w:ilvl="0">
      <w:lvlJc w:val="left"/>
      <w:lvlText w:val="%1."/>
      <w:numFmt w:val="decimal"/>
      <w:start w:val="5"/>
    </w:lvl>
  </w:abstractNum>
  <w:abstractNum w:abstractNumId="82">
    <w:nsid w:val="4A2AC315"/>
    <w:multiLevelType w:val="hybridMultilevel"/>
    <w:lvl w:ilvl="0">
      <w:lvlJc w:val="left"/>
      <w:lvlText w:val="%1."/>
      <w:numFmt w:val="decimal"/>
      <w:start w:val="8"/>
    </w:lvl>
  </w:abstractNum>
  <w:abstractNum w:abstractNumId="83">
    <w:nsid w:val="39EE015C"/>
    <w:multiLevelType w:val="hybridMultilevel"/>
    <w:lvl w:ilvl="0">
      <w:lvlJc w:val="left"/>
      <w:lvlText w:val="%1."/>
      <w:numFmt w:val="decimal"/>
      <w:start w:val="10"/>
    </w:lvl>
    <w:lvl w:ilvl="1">
      <w:lvlJc w:val="left"/>
      <w:lvlText w:val="(%2)"/>
      <w:numFmt w:val="lowerLetter"/>
      <w:start w:val="9"/>
    </w:lvl>
  </w:abstractNum>
  <w:abstractNum w:abstractNumId="84">
    <w:nsid w:val="57FC4FBB"/>
    <w:multiLevelType w:val="hybridMultilevel"/>
    <w:lvl w:ilvl="0">
      <w:lvlJc w:val="left"/>
      <w:lvlText w:val="(%1)"/>
      <w:numFmt w:val="lowerRoman"/>
      <w:start w:val="2"/>
    </w:lvl>
  </w:abstractNum>
  <w:abstractNum w:abstractNumId="85">
    <w:nsid w:val="CC1016F"/>
    <w:multiLevelType w:val="hybridMultilevel"/>
    <w:lvl w:ilvl="0">
      <w:lvlJc w:val="left"/>
      <w:lvlText w:val="(%1)"/>
      <w:numFmt w:val="lowerLetter"/>
      <w:start w:val="2"/>
    </w:lvl>
  </w:abstractNum>
  <w:abstractNum w:abstractNumId="86">
    <w:nsid w:val="43F18422"/>
    <w:multiLevelType w:val="hybridMultilevel"/>
    <w:lvl w:ilvl="0">
      <w:lvlJc w:val="left"/>
      <w:lvlText w:val="(%1)"/>
      <w:numFmt w:val="lowerLetter"/>
      <w:start w:val="3"/>
    </w:lvl>
  </w:abstractNum>
  <w:abstractNum w:abstractNumId="87">
    <w:nsid w:val="60EF0119"/>
    <w:multiLevelType w:val="hybridMultilevel"/>
    <w:lvl w:ilvl="0">
      <w:lvlJc w:val="left"/>
      <w:lvlText w:val="%1."/>
      <w:numFmt w:val="decimal"/>
      <w:start w:val="13"/>
    </w:lvl>
  </w:abstractNum>
  <w:abstractNum w:abstractNumId="88">
    <w:nsid w:val="26F324BA"/>
    <w:multiLevelType w:val="hybridMultilevel"/>
    <w:lvl w:ilvl="0">
      <w:lvlJc w:val="left"/>
      <w:lvlText w:val="%1."/>
      <w:numFmt w:val="decimal"/>
      <w:start w:val="14"/>
    </w:lvl>
  </w:abstractNum>
  <w:abstractNum w:abstractNumId="89">
    <w:nsid w:val="7F01579B"/>
    <w:multiLevelType w:val="hybridMultilevel"/>
    <w:lvl w:ilvl="0">
      <w:lvlJc w:val="left"/>
      <w:lvlText w:val="%1."/>
      <w:numFmt w:val="decimal"/>
      <w:start w:val="16"/>
    </w:lvl>
  </w:abstractNum>
  <w:abstractNum w:abstractNumId="90">
    <w:nsid w:val="49DA307D"/>
    <w:multiLevelType w:val="hybridMultilevel"/>
    <w:lvl w:ilvl="0">
      <w:lvlJc w:val="left"/>
      <w:lvlText w:val="%1."/>
      <w:numFmt w:val="decimal"/>
      <w:start w:val="22"/>
    </w:lvl>
  </w:abstractNum>
  <w:abstractNum w:abstractNumId="91">
    <w:nsid w:val="7055A5F5"/>
    <w:multiLevelType w:val="hybridMultilevel"/>
    <w:lvl w:ilvl="0">
      <w:lvlJc w:val="left"/>
      <w:lvlText w:val="%1."/>
      <w:numFmt w:val="decimal"/>
      <w:start w:val="26"/>
    </w:lvl>
  </w:abstractNum>
  <w:abstractNum w:abstractNumId="92">
    <w:nsid w:val="5FB8370B"/>
    <w:multiLevelType w:val="hybridMultilevel"/>
    <w:lvl w:ilvl="0">
      <w:lvlJc w:val="left"/>
      <w:lvlText w:val="(%1)"/>
      <w:numFmt w:val="lowerRoman"/>
      <w:start w:val="2"/>
    </w:lvl>
  </w:abstractNum>
  <w:abstractNum w:abstractNumId="93">
    <w:nsid w:val="50801EE1"/>
    <w:multiLevelType w:val="hybridMultilevel"/>
    <w:lvl w:ilvl="0">
      <w:lvlJc w:val="left"/>
      <w:lvlText w:val="(%1)"/>
      <w:numFmt w:val="lowerRoman"/>
      <w:start w:val="2"/>
    </w:lvl>
  </w:abstractNum>
  <w:abstractNum w:abstractNumId="94">
    <w:nsid w:val="488AC1A"/>
    <w:multiLevelType w:val="hybridMultilevel"/>
    <w:lvl w:ilvl="0">
      <w:lvlJc w:val="left"/>
      <w:lvlText w:val="•"/>
      <w:numFmt w:val="bullet"/>
      <w:start w:val="1"/>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1)"/>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lvl w:ilvl="1">
      <w:lvlJc w:val="left"/>
      <w:lvlText w:val="%2)"/>
      <w:numFmt w:val="lowerLetter"/>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jpeg"/><Relationship Id="rId127" Type="http://schemas.openxmlformats.org/officeDocument/2006/relationships/image" Target="media/image100.jpeg"/><Relationship Id="rId128" Type="http://schemas.openxmlformats.org/officeDocument/2006/relationships/image" Target="media/image101.jpeg"/><Relationship Id="rId129" Type="http://schemas.openxmlformats.org/officeDocument/2006/relationships/image" Target="media/image102.jpeg"/><Relationship Id="rId130" Type="http://schemas.openxmlformats.org/officeDocument/2006/relationships/image" Target="media/image103.jpeg"/><Relationship Id="rId131" Type="http://schemas.openxmlformats.org/officeDocument/2006/relationships/image" Target="media/image104.png"/><Relationship Id="rId132" Type="http://schemas.openxmlformats.org/officeDocument/2006/relationships/image" Target="media/image105.png"/><Relationship Id="rId43" Type="http://schemas.openxmlformats.org/officeDocument/2006/relationships/hyperlink" Target="http://www.sec.gov/Archives/edgar/data/749251/000095012305008192/y10586exv3w1.htm" TargetMode="External"/><Relationship Id="rId44" Type="http://schemas.openxmlformats.org/officeDocument/2006/relationships/hyperlink" Target="https://www.sec.gov/Archives/edgar/data/749251/000074925121000020/bylawsapril292021.htm" TargetMode="External"/><Relationship Id="rId45" Type="http://schemas.openxmlformats.org/officeDocument/2006/relationships/hyperlink" Target="https://www.sec.gov/Archives/edgar/data/0000749251/000119312520176014/d920501dex41.htm" TargetMode="External"/><Relationship Id="rId46" Type="http://schemas.openxmlformats.org/officeDocument/2006/relationships/hyperlink" Target="https://www.sec.gov/Archives/edgar/data/0000749251/000119312520256749/d75343dex41.htm" TargetMode="External"/><Relationship Id="rId47" Type="http://schemas.openxmlformats.org/officeDocument/2006/relationships/hyperlink" Target="https://www.sec.gov/Archives/edgar/data/0000749251/000119312520256749/d75343dex101.htm" TargetMode="External"/><Relationship Id="rId48" Type="http://schemas.openxmlformats.org/officeDocument/2006/relationships/hyperlink" Target="https://www.sec.gov/Archives/edgar/data/0000749251/000119312520256749/d75343dex102.htm" TargetMode="External"/><Relationship Id="rId49" Type="http://schemas.openxmlformats.org/officeDocument/2006/relationships/hyperlink" Target="https://www.sec.gov/Archives/edgar/data/0000749251/000119312521195111/d192521dex41.htm" TargetMode="External"/><Relationship Id="rId50" Type="http://schemas.openxmlformats.org/officeDocument/2006/relationships/hyperlink" Target="https://www.sec.gov/Archives/edgar/data/749251/000074925122000006/descriptionofcommonstock.htm" TargetMode="External"/><Relationship Id="rId51" Type="http://schemas.openxmlformats.org/officeDocument/2006/relationships/hyperlink" Target="https://www.sec.gov/Archives/edgar/data/749251/000119312521121269/d122411ddef14a.htm#toc122411_59" TargetMode="External"/><Relationship Id="rId52" Type="http://schemas.openxmlformats.org/officeDocument/2006/relationships/hyperlink" Target="https://www.sec.gov/ix?doc=/Archives/edgar/data/749251/000074925123000011/it-20230417.htm#i95579e80af2442b69f1e8c2270cee6c8_1352" TargetMode="External"/><Relationship Id="rId53" Type="http://schemas.openxmlformats.org/officeDocument/2006/relationships/hyperlink" Target="http://www.sec.gov/Archives/edgar/data/749251/000074925119000005/amendedemploymentagreement.htm" TargetMode="External"/><Relationship Id="rId54" Type="http://schemas.openxmlformats.org/officeDocument/2006/relationships/hyperlink" Target="https://www.sec.gov/Archives/edgar/data/0000749251/000074925121000020/employmentagreementamendme.htm" TargetMode="External"/><Relationship Id="rId55" Type="http://schemas.openxmlformats.org/officeDocument/2006/relationships/hyperlink" Target="http://www.sec.gov/Archives/edgar/data/749251/000095012309003157/y74719exv10w15.htm" TargetMode="External"/><Relationship Id="rId56" Type="http://schemas.openxmlformats.org/officeDocument/2006/relationships/hyperlink" Target="https://www.sec.gov/Archives/edgar/data/749251/000074925121000010/formofsaragreement2021ex10.htm" TargetMode="External"/><Relationship Id="rId57" Type="http://schemas.openxmlformats.org/officeDocument/2006/relationships/hyperlink" Target="https://www.sec.gov/Archives/edgar/data/749251/000074925121000010/formofpsuagreement2021ex10.htm" TargetMode="External"/><Relationship Id="rId58" Type="http://schemas.openxmlformats.org/officeDocument/2006/relationships/hyperlink" Target="https://www.sec.gov/Archives/edgar/data/749251/000074925122000006/formofsaragreement2022.htm" TargetMode="External"/><Relationship Id="rId59" Type="http://schemas.openxmlformats.org/officeDocument/2006/relationships/hyperlink" Target="https://www.sec.gov/Archives/edgar/data/749251/000074925122000006/formofpsuagreement2022.htm" TargetMode="External"/><Relationship Id="rId60" Type="http://schemas.openxmlformats.org/officeDocument/2006/relationships/hyperlink" Target="https://www.sec.gov/Archives/edgar/data/749251/000074925123000006/formofsaragreement2023.htm" TargetMode="External"/><Relationship Id="rId61" Type="http://schemas.openxmlformats.org/officeDocument/2006/relationships/hyperlink" Target="https://www.sec.gov/Archives/edgar/data/749251/000074925123000006/formofpsuagreement2023.htm" TargetMode="External"/><Relationship Id="rId62" Type="http://schemas.openxmlformats.org/officeDocument/2006/relationships/hyperlink" Target="http://www.sec.gov/Archives/edgar/data/749251/000074925118000013/a2016gartner_directorrsu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2024-02-15T15:57:36Z</dcterms:created>
  <dcterms:modified xsi:type="dcterms:W3CDTF">2024-02-15T15:57:36Z</dcterms:modified>
</cp:coreProperties>
</file>