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quarterly period ended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1-14443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Gartner,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309" w:type="dxa"/>
        <w:jc w:val="center"/>
        <w:tblInd w:w="0" w:type="dxa"/>
        <w:tblLayout w:type="fixed"/>
        <w:tblCellMar>
          <w:top w:w="28" w:type="dxa"/>
          <w:left w:w="28" w:type="dxa"/>
          <w:bottom w:w="28" w:type="dxa"/>
          <w:right w:w="28" w:type="dxa"/>
        </w:tblCellMar>
      </w:tblPr>
      <w:tblGrid>
        <w:gridCol w:w="409"/>
        <w:gridCol w:w="359"/>
        <w:gridCol w:w="359"/>
        <w:gridCol w:w="359"/>
        <w:gridCol w:w="359"/>
        <w:gridCol w:w="359"/>
        <w:gridCol w:w="359"/>
        <w:gridCol w:w="359"/>
        <w:gridCol w:w="378"/>
        <w:gridCol w:w="586"/>
        <w:gridCol w:w="586"/>
        <w:gridCol w:w="837"/>
      </w:tblGrid>
      <w:tr>
        <w:trPr/>
        <w:tc>
          <w:tcPr>
            <w:tcW w:w="4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04-3099750</w:t>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Number)</w:t>
            </w:r>
          </w:p>
        </w:tc>
      </w:tr>
      <w:tr>
        <w:trPr/>
        <w:tc>
          <w:tcPr>
            <w:tcW w:w="33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P.O. Box 10212</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06902-7700</w:t>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 Top Gallant Road</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Stamford,</w:t>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Connecticut</w:t>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(203) 964-0096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29" w:type="dxa"/>
        <w:jc w:val="left"/>
        <w:tblInd w:w="0" w:type="dxa"/>
        <w:tblLayout w:type="fixed"/>
        <w:tblCellMar>
          <w:top w:w="28" w:type="dxa"/>
          <w:left w:w="28" w:type="dxa"/>
          <w:bottom w:w="28" w:type="dxa"/>
          <w:right w:w="28" w:type="dxa"/>
        </w:tblCellMar>
      </w:tblPr>
      <w:tblGrid>
        <w:gridCol w:w="1304"/>
        <w:gridCol w:w="1141"/>
        <w:gridCol w:w="1155"/>
        <w:gridCol w:w="474"/>
        <w:gridCol w:w="474"/>
        <w:gridCol w:w="476"/>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$.0005 par value per share</w:t>
            </w:r>
          </w:p>
        </w:tc>
        <w:tc>
          <w:tcPr>
            <w:tcW w:w="142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0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00" w:after="283"/>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814"/>
        <w:gridCol w:w="716"/>
        <w:gridCol w:w="719"/>
        <w:gridCol w:w="160"/>
        <w:gridCol w:w="160"/>
        <w:gridCol w:w="160"/>
        <w:gridCol w:w="160"/>
        <w:gridCol w:w="160"/>
        <w:gridCol w:w="160"/>
        <w:gridCol w:w="857"/>
        <w:gridCol w:w="857"/>
        <w:gridCol w:w="860"/>
        <w:gridCol w:w="160"/>
        <w:gridCol w:w="160"/>
        <w:gridCol w:w="160"/>
        <w:gridCol w:w="160"/>
        <w:gridCol w:w="160"/>
        <w:gridCol w:w="160"/>
        <w:gridCol w:w="940"/>
        <w:gridCol w:w="940"/>
        <w:gridCol w:w="943"/>
        <w:gridCol w:w="160"/>
        <w:gridCol w:w="160"/>
        <w:gridCol w:w="160"/>
        <w:gridCol w:w="159"/>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Large accelerated filer </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9" w:type="dxa"/>
            <w:tcBorders/>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Smaller reporting company </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24"/>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24"/>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erif" w:hAnsi="Times New Roman;serif"/>
          <w:b w:val="false"/>
          <w:color w:val="000000"/>
          <w:sz w:val="20"/>
        </w:rPr>
        <w:t xml:space="preserve">Indicate by check mark whether the registrant is a shell company (as defined in Rule 12b-2 of the Exchange Act). Yes ☐ No </w:t>
      </w:r>
      <w:r>
        <w:rPr>
          <w:color w:val="000000"/>
        </w:rPr>
        <w: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As of July 31, 2026, 63,148,976 shares of the registrant’s common shares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before="0" w:after="0"/>
        <w:jc w:val="left"/>
        <w:rPr/>
      </w:pPr>
      <w:r>
        <w:rPr/>
      </w:r>
    </w:p>
    <w:tbl>
      <w:tblPr>
        <w:tblW w:w="10205" w:type="dxa"/>
        <w:jc w:val="right"/>
        <w:tblInd w:w="0" w:type="dxa"/>
        <w:tblLayout w:type="fixed"/>
        <w:tblCellMar>
          <w:top w:w="28" w:type="dxa"/>
          <w:left w:w="28" w:type="dxa"/>
          <w:bottom w:w="28" w:type="dxa"/>
          <w:right w:w="28" w:type="dxa"/>
        </w:tblCellMar>
      </w:tblPr>
      <w:tblGrid>
        <w:gridCol w:w="3509"/>
        <w:gridCol w:w="3055"/>
        <w:gridCol w:w="3069"/>
        <w:gridCol w:w="167"/>
        <w:gridCol w:w="167"/>
        <w:gridCol w:w="238"/>
      </w:tblGrid>
      <w:tr>
        <w:trPr/>
        <w:tc>
          <w:tcPr>
            <w:tcW w:w="3509" w:type="dxa"/>
            <w:tcBorders/>
            <w:vAlign w:val="center"/>
          </w:tcPr>
          <w:p>
            <w:pPr>
              <w:pStyle w:val="TableContents"/>
              <w:bidi w:val="0"/>
              <w:spacing w:before="0" w:after="283"/>
              <w:jc w:val="left"/>
              <w:rPr>
                <w:sz w:val="4"/>
                <w:szCs w:val="4"/>
              </w:rPr>
            </w:pPr>
            <w:r>
              <w:rPr>
                <w:sz w:val="4"/>
                <w:szCs w:val="4"/>
              </w:rPr>
            </w:r>
          </w:p>
        </w:tc>
        <w:tc>
          <w:tcPr>
            <w:tcW w:w="3055" w:type="dxa"/>
            <w:tcBorders/>
            <w:vAlign w:val="center"/>
          </w:tcPr>
          <w:p>
            <w:pPr>
              <w:pStyle w:val="TableContents"/>
              <w:bidi w:val="0"/>
              <w:spacing w:before="0" w:after="283"/>
              <w:jc w:val="left"/>
              <w:rPr>
                <w:sz w:val="4"/>
                <w:szCs w:val="4"/>
              </w:rPr>
            </w:pPr>
            <w:r>
              <w:rPr>
                <w:sz w:val="4"/>
                <w:szCs w:val="4"/>
              </w:rPr>
            </w:r>
          </w:p>
        </w:tc>
        <w:tc>
          <w:tcPr>
            <w:tcW w:w="30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Page</w:t>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9015cc8b864db291f6cea1702a6fb8_10">
              <w:r>
                <w:rPr>
                  <w:rStyle w:val="InternetLink"/>
                  <w:rFonts w:ascii="Times New Roman;serif" w:hAnsi="Times New Roman;serif"/>
                  <w:b/>
                  <w:color w:val="0000FF"/>
                  <w:sz w:val="20"/>
                  <w:u w:val="single"/>
                </w:rPr>
                <w:t>PART I. FINANCIAL INFORMATION</w:t>
              </w:r>
            </w:hyperlink>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9015cc8b864db291f6cea1702a6fb8_13">
              <w:r>
                <w:rPr>
                  <w:rStyle w:val="InternetLink"/>
                  <w:rFonts w:ascii="Times New Roman;serif" w:hAnsi="Times New Roman;serif"/>
                  <w:b w:val="false"/>
                  <w:color w:val="0000FF"/>
                  <w:sz w:val="20"/>
                  <w:u w:val="single"/>
                </w:rPr>
                <w:t>ITEM 1. FINANCIAL STATEMENTS (Unaudited)</w:t>
              </w:r>
            </w:hyperlink>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9015cc8b864db291f6cea1702a6fb8_16">
              <w:r>
                <w:rPr>
                  <w:rStyle w:val="InternetLink"/>
                  <w:rFonts w:ascii="Times New Roman;serif" w:hAnsi="Times New Roman;serif"/>
                  <w:b w:val="false"/>
                  <w:color w:val="0000FF"/>
                  <w:sz w:val="20"/>
                  <w:u w:val="single"/>
                </w:rPr>
                <w:t>Condensed Consolidated Balance Sheets at June 30, 2026 and December 31, 2025</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9015cc8b864db291f6cea1702a6fb8_16">
              <w:r>
                <w:rPr>
                  <w:rStyle w:val="InternetLink"/>
                  <w:rFonts w:ascii="Times New Roman;serif" w:hAnsi="Times New Roman;serif"/>
                  <w:b w:val="false"/>
                  <w:color w:val="0000FF"/>
                  <w:sz w:val="20"/>
                  <w:u w:val="single"/>
                </w:rPr>
                <w:t>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9015cc8b864db291f6cea1702a6fb8_22">
              <w:r>
                <w:rPr>
                  <w:rStyle w:val="InternetLink"/>
                  <w:rFonts w:ascii="Times New Roman;serif" w:hAnsi="Times New Roman;serif"/>
                  <w:b w:val="false"/>
                  <w:color w:val="0000FF"/>
                  <w:sz w:val="20"/>
                  <w:u w:val="single"/>
                </w:rPr>
                <w:t>Condensed Consolidated Statements of Operations for the Three and Six Months Ended June 30, 2026 and 2025</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9015cc8b864db291f6cea1702a6fb8_22">
              <w:r>
                <w:rPr>
                  <w:rStyle w:val="InternetLink"/>
                  <w:rFonts w:ascii="Times New Roman;serif" w:hAnsi="Times New Roman;serif"/>
                  <w:b w:val="false"/>
                  <w:color w:val="0000FF"/>
                  <w:sz w:val="20"/>
                  <w:u w:val="single"/>
                </w:rPr>
                <w:t>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9015cc8b864db291f6cea1702a6fb8_28">
              <w:r>
                <w:rPr>
                  <w:rStyle w:val="InternetLink"/>
                  <w:rFonts w:ascii="Times New Roman;serif" w:hAnsi="Times New Roman;serif"/>
                  <w:b w:val="false"/>
                  <w:color w:val="0000FF"/>
                  <w:sz w:val="20"/>
                  <w:u w:val="single"/>
                </w:rPr>
                <w:t>Condensed Consolidated Statements of Comprehensive Income for the Three and Six Months Ended June 30, 2026 and 2025</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9015cc8b864db291f6cea1702a6fb8_28">
              <w:r>
                <w:rPr>
                  <w:rStyle w:val="InternetLink"/>
                  <w:rFonts w:ascii="Times New Roman;serif" w:hAnsi="Times New Roman;serif"/>
                  <w:b w:val="false"/>
                  <w:color w:val="0000FF"/>
                  <w:sz w:val="20"/>
                  <w:u w:val="single"/>
                </w:rPr>
                <w:t>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9015cc8b864db291f6cea1702a6fb8_31">
              <w:r>
                <w:rPr>
                  <w:rStyle w:val="InternetLink"/>
                  <w:rFonts w:ascii="Times New Roman;serif" w:hAnsi="Times New Roman;serif"/>
                  <w:b w:val="false"/>
                  <w:color w:val="000080"/>
                  <w:sz w:val="20"/>
                  <w:u w:val="single"/>
                </w:rPr>
                <w:t>Condensed Consolidated Statements of Changes in Stockholders’</w:t>
              </w:r>
            </w:hyperlink>
            <w:hyperlink w:anchor="i3d9015cc8b864db291f6cea1702a6fb8_31">
              <w:r>
                <w:rPr>
                  <w:rStyle w:val="InternetLink"/>
                  <w:rFonts w:ascii="Times New Roman;serif" w:hAnsi="Times New Roman;serif"/>
                  <w:b w:val="false"/>
                  <w:color w:val="000080"/>
                  <w:sz w:val="20"/>
                  <w:u w:val="single"/>
                </w:rPr>
                <w:t xml:space="preserve"> </w:t>
              </w:r>
            </w:hyperlink>
            <w:hyperlink w:anchor="i3d9015cc8b864db291f6cea1702a6fb8_31">
              <w:r>
                <w:rPr>
                  <w:rStyle w:val="InternetLink"/>
                  <w:rFonts w:ascii="Times New Roman;serif" w:hAnsi="Times New Roman;serif"/>
                  <w:b w:val="false"/>
                  <w:color w:val="000080"/>
                  <w:sz w:val="20"/>
                  <w:u w:val="single"/>
                </w:rPr>
                <w:t>(Deficit)</w:t>
              </w:r>
            </w:hyperlink>
            <w:hyperlink w:anchor="i3d9015cc8b864db291f6cea1702a6fb8_31">
              <w:r>
                <w:rPr>
                  <w:rStyle w:val="InternetLink"/>
                  <w:rFonts w:ascii="Times New Roman;serif" w:hAnsi="Times New Roman;serif"/>
                  <w:b w:val="false"/>
                  <w:color w:val="000080"/>
                  <w:sz w:val="20"/>
                  <w:u w:val="single"/>
                </w:rPr>
                <w:t xml:space="preserve"> Equity for the Three and Six Months Ended June 30, 2026 and 2025</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9015cc8b864db291f6cea1702a6fb8_31">
              <w:r>
                <w:rPr>
                  <w:rStyle w:val="InternetLink"/>
                  <w:rFonts w:ascii="Times New Roman;serif" w:hAnsi="Times New Roman;serif"/>
                  <w:b w:val="false"/>
                  <w:color w:val="0000FF"/>
                  <w:sz w:val="20"/>
                  <w:u w:val="single"/>
                </w:rPr>
                <w:t>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9015cc8b864db291f6cea1702a6fb8_34">
              <w:r>
                <w:rPr>
                  <w:rStyle w:val="InternetLink"/>
                  <w:rFonts w:ascii="Times New Roman;serif" w:hAnsi="Times New Roman;serif"/>
                  <w:b w:val="false"/>
                  <w:color w:val="0000FF"/>
                  <w:sz w:val="20"/>
                  <w:u w:val="single"/>
                </w:rPr>
                <w:t>Condensed Consolidated Statements of Cash Flows for the Six Months Ended June 30, 2026 and 2025</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9015cc8b864db291f6cea1702a6fb8_34">
              <w:r>
                <w:rPr>
                  <w:rStyle w:val="InternetLink"/>
                  <w:rFonts w:ascii="Times New Roman;serif" w:hAnsi="Times New Roman;serif"/>
                  <w:b w:val="false"/>
                  <w:color w:val="0000FF"/>
                  <w:sz w:val="20"/>
                  <w:u w:val="single"/>
                </w:rPr>
                <w:t>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9015cc8b864db291f6cea1702a6fb8_37">
              <w:r>
                <w:rPr>
                  <w:rStyle w:val="InternetLink"/>
                  <w:rFonts w:ascii="Times New Roman;serif" w:hAnsi="Times New Roman;serif"/>
                  <w:b w:val="false"/>
                  <w:color w:val="0000FF"/>
                  <w:sz w:val="20"/>
                  <w:u w:val="single"/>
                </w:rPr>
                <w:t>Notes to Condensed Consolidated Financial Statements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9015cc8b864db291f6cea1702a6fb8_37">
              <w:r>
                <w:rPr>
                  <w:rStyle w:val="InternetLink"/>
                  <w:rFonts w:ascii="Times New Roman;serif" w:hAnsi="Times New Roman;serif"/>
                  <w:b w:val="false"/>
                  <w:color w:val="0000FF"/>
                  <w:sz w:val="20"/>
                  <w:u w:val="single"/>
                </w:rPr>
                <w:t>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9015cc8b864db291f6cea1702a6fb8_103">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9015cc8b864db291f6cea1702a6fb8_103">
              <w:r>
                <w:rPr>
                  <w:rStyle w:val="InternetLink"/>
                  <w:rFonts w:ascii="Times New Roman;serif" w:hAnsi="Times New Roman;serif"/>
                  <w:b w:val="false"/>
                  <w:color w:val="0000FF"/>
                  <w:sz w:val="20"/>
                  <w:u w:val="single"/>
                </w:rPr>
                <w:t>25</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9015cc8b864db291f6cea1702a6fb8_133">
              <w:r>
                <w:rPr>
                  <w:rStyle w:val="InternetLink"/>
                  <w:rFonts w:ascii="Times New Roman;serif" w:hAnsi="Times New Roman;serif"/>
                  <w:b w:val="false"/>
                  <w:color w:val="0000FF"/>
                  <w:sz w:val="20"/>
                  <w:u w:val="single"/>
                </w:rPr>
                <w:t>ITEM 3. QUANTITATIVE AND QUALITATIVE DISCLOSURES ABOUT MARKET RISK</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9015cc8b864db291f6cea1702a6fb8_133">
              <w:r>
                <w:rPr>
                  <w:rStyle w:val="InternetLink"/>
                  <w:rFonts w:ascii="Times New Roman;serif" w:hAnsi="Times New Roman;serif"/>
                  <w:b w:val="false"/>
                  <w:color w:val="0000FF"/>
                  <w:sz w:val="20"/>
                  <w:u w:val="single"/>
                </w:rPr>
                <w:t>37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9015cc8b864db291f6cea1702a6fb8_136">
              <w:r>
                <w:rPr>
                  <w:rStyle w:val="InternetLink"/>
                  <w:rFonts w:ascii="Times New Roman;serif" w:hAnsi="Times New Roman;serif"/>
                  <w:b w:val="false"/>
                  <w:color w:val="0000FF"/>
                  <w:sz w:val="20"/>
                  <w:u w:val="single"/>
                </w:rPr>
                <w:t>ITEM 4. CONTROLS AND PROCEDURES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9015cc8b864db291f6cea1702a6fb8_136">
              <w:r>
                <w:rPr>
                  <w:rStyle w:val="InternetLink"/>
                  <w:rFonts w:ascii="Times New Roman;serif" w:hAnsi="Times New Roman;serif"/>
                  <w:b w:val="false"/>
                  <w:color w:val="0000FF"/>
                  <w:sz w:val="20"/>
                  <w:u w:val="single"/>
                </w:rPr>
                <w:t>37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FF"/>
                <w:sz w:val="20"/>
                <w:u w:val="single"/>
              </w:rPr>
            </w:pPr>
            <w:r>
              <w:rPr>
                <w:rFonts w:ascii="Times New Roman;serif" w:hAnsi="Times New Roman;serif"/>
                <w:b/>
                <w:color w:val="0000FF"/>
                <w:sz w:val="20"/>
                <w:u w:val="single"/>
              </w:rPr>
              <w:t>PART II. OTHER INFORMATION</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9015cc8b864db291f6cea1702a6fb8_142">
              <w:r>
                <w:rPr>
                  <w:rStyle w:val="InternetLink"/>
                  <w:rFonts w:ascii="Times New Roman;serif" w:hAnsi="Times New Roman;serif"/>
                  <w:b w:val="false"/>
                  <w:color w:val="0000FF"/>
                  <w:sz w:val="20"/>
                  <w:u w:val="single"/>
                </w:rPr>
                <w:t>ITEM 1. LEGAL PROCEEDINGS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9015cc8b864db291f6cea1702a6fb8_142">
              <w:r>
                <w:rPr>
                  <w:rStyle w:val="InternetLink"/>
                  <w:rFonts w:ascii="Times New Roman;serif" w:hAnsi="Times New Roman;serif"/>
                  <w:b w:val="false"/>
                  <w:color w:val="0000FF"/>
                  <w:sz w:val="20"/>
                  <w:u w:val="single"/>
                </w:rPr>
                <w:t>38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9015cc8b864db291f6cea1702a6fb8_145">
              <w:r>
                <w:rPr>
                  <w:rStyle w:val="InternetLink"/>
                  <w:rFonts w:ascii="Times New Roman;serif" w:hAnsi="Times New Roman;serif"/>
                  <w:b w:val="false"/>
                  <w:color w:val="0000FF"/>
                  <w:sz w:val="20"/>
                  <w:u w:val="single"/>
                </w:rPr>
                <w:t>ITEM 1A. RISK FACTORS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9015cc8b864db291f6cea1702a6fb8_145">
              <w:r>
                <w:rPr>
                  <w:rStyle w:val="InternetLink"/>
                  <w:rFonts w:ascii="Times New Roman;serif" w:hAnsi="Times New Roman;serif"/>
                  <w:b w:val="false"/>
                  <w:color w:val="0000FF"/>
                  <w:sz w:val="20"/>
                  <w:u w:val="single"/>
                </w:rPr>
                <w:t>38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9015cc8b864db291f6cea1702a6fb8_148">
              <w:r>
                <w:rPr>
                  <w:rStyle w:val="InternetLink"/>
                  <w:rFonts w:ascii="Times New Roman;serif" w:hAnsi="Times New Roman;serif"/>
                  <w:b w:val="false"/>
                  <w:color w:val="0000FF"/>
                  <w:sz w:val="20"/>
                  <w:u w:val="single"/>
                </w:rPr>
                <w:t>ITEM 2. UNREGISTERED SALES OF EQUITY SECURITIES AND USE OF PROCEEDS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9015cc8b864db291f6cea1702a6fb8_148">
              <w:r>
                <w:rPr>
                  <w:rStyle w:val="InternetLink"/>
                  <w:rFonts w:ascii="Times New Roman;serif" w:hAnsi="Times New Roman;serif"/>
                  <w:b w:val="false"/>
                  <w:color w:val="0000FF"/>
                  <w:sz w:val="20"/>
                  <w:u w:val="single"/>
                </w:rPr>
                <w:t>38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9015cc8b864db291f6cea1702a6fb8_151">
              <w:r>
                <w:rPr>
                  <w:rStyle w:val="InternetLink"/>
                  <w:rFonts w:ascii="Times New Roman;serif" w:hAnsi="Times New Roman;serif"/>
                  <w:b w:val="false"/>
                  <w:color w:val="0000FF"/>
                  <w:sz w:val="20"/>
                  <w:u w:val="single"/>
                </w:rPr>
                <w:t>ITEM 5. OTHER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9015cc8b864db291f6cea1702a6fb8_151">
              <w:r>
                <w:rPr>
                  <w:rStyle w:val="InternetLink"/>
                  <w:rFonts w:ascii="Times New Roman;serif" w:hAnsi="Times New Roman;serif"/>
                  <w:b w:val="false"/>
                  <w:color w:val="0000FF"/>
                  <w:sz w:val="20"/>
                  <w:u w:val="single"/>
                </w:rPr>
                <w:t>38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9015cc8b864db291f6cea1702a6fb8_154">
              <w:r>
                <w:rPr>
                  <w:rStyle w:val="InternetLink"/>
                  <w:rFonts w:ascii="Times New Roman;serif" w:hAnsi="Times New Roman;serif"/>
                  <w:b w:val="false"/>
                  <w:color w:val="0000FF"/>
                  <w:sz w:val="20"/>
                  <w:u w:val="single"/>
                </w:rPr>
                <w:t>ITEM 6. EXHIBITS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9015cc8b864db291f6cea1702a6fb8_154">
              <w:r>
                <w:rPr>
                  <w:rStyle w:val="InternetLink"/>
                  <w:rFonts w:ascii="Times New Roman;serif" w:hAnsi="Times New Roman;serif"/>
                  <w:b w:val="false"/>
                  <w:color w:val="0000FF"/>
                  <w:sz w:val="20"/>
                  <w:u w:val="single"/>
                </w:rPr>
                <w:t>39</w:t>
              </w:r>
            </w:hyperlink>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GARTNER,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(Unaudited; in thousands, except share data)</w:t>
      </w:r>
    </w:p>
    <w:tbl>
      <w:tblPr>
        <w:tblW w:w="10205" w:type="dxa"/>
        <w:jc w:val="left"/>
        <w:tblInd w:w="0" w:type="dxa"/>
        <w:tblLayout w:type="fixed"/>
        <w:tblCellMar>
          <w:top w:w="28" w:type="dxa"/>
          <w:left w:w="28" w:type="dxa"/>
          <w:bottom w:w="28" w:type="dxa"/>
          <w:right w:w="28" w:type="dxa"/>
        </w:tblCellMar>
      </w:tblPr>
      <w:tblGrid>
        <w:gridCol w:w="2672"/>
        <w:gridCol w:w="2284"/>
        <w:gridCol w:w="2284"/>
        <w:gridCol w:w="211"/>
        <w:gridCol w:w="976"/>
        <w:gridCol w:w="109"/>
        <w:gridCol w:w="109"/>
        <w:gridCol w:w="109"/>
        <w:gridCol w:w="109"/>
        <w:gridCol w:w="211"/>
        <w:gridCol w:w="976"/>
        <w:gridCol w:w="155"/>
      </w:tblGrid>
      <w:tr>
        <w:trPr/>
        <w:tc>
          <w:tcPr>
            <w:tcW w:w="2672"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1,722,521 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Fees receivable, net of allowances of $4,500 and $5,000,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1,684,522 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held-for-sale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3,224,328 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4,066,337 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leasehold improvements,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2,740,802 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7,193,674 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8,085,400 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Liabilities and Stockholders’ (Deficit) Equity </w:t>
            </w:r>
          </w:p>
        </w:tc>
        <w:tc>
          <w:tcPr>
            <w:tcW w:w="129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1,236,533 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2,810,056 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held-for-sale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3,663,304 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4,072,092 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debt, net of deferred financing fees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2,976,674 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7,361,019 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7,765,492 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Stockholders’ (Deficit) Equity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5,000,000 shares authorized; none issued or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$0.0005 par value, 250,000,000 shares authorized; 163,602,067 shares issued for both periods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2,679,101 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7,220,080 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6,722,238 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99,197,399 and 92,752,769 common shares,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(10,109,643)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(9,040,498)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Stockholders’ (Deficit) Equity </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319,908 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Liabilities and Stockholders’ (Deficit) Equity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7,193,674 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8,085,400 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GARTNER,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(Unaudited; in thousands, except per share data)</w:t>
      </w:r>
    </w:p>
    <w:tbl>
      <w:tblPr>
        <w:tblW w:w="9735" w:type="dxa"/>
        <w:jc w:val="center"/>
        <w:tblInd w:w="0" w:type="dxa"/>
        <w:tblLayout w:type="fixed"/>
        <w:tblCellMar>
          <w:top w:w="28" w:type="dxa"/>
          <w:left w:w="28" w:type="dxa"/>
          <w:bottom w:w="28" w:type="dxa"/>
          <w:right w:w="28" w:type="dxa"/>
        </w:tblCellMar>
      </w:tblPr>
      <w:tblGrid>
        <w:gridCol w:w="1277"/>
        <w:gridCol w:w="1117"/>
        <w:gridCol w:w="113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Insights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Conferences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1,686,454 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3,186,984 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3,220,584 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from sale of divested operation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1,297,423 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1,359,358 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2,492,372 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2,615,456 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605,128 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584,801 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66,581 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77,359 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68,288 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77,606 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GARTNER, INC</w:t>
      </w:r>
      <w:r>
        <w:rPr>
          <w:rFonts w:ascii="Times New Roman;serif" w:hAnsi="Times New Roman;serif"/>
          <w:b w:val="false"/>
          <w:color w:val="000000"/>
          <w:sz w:val="20"/>
        </w:rPr>
        <w:t xml:space="preserve">. </w:t>
      </w:r>
      <w:r>
        <w:rPr>
          <w:rFonts w:ascii="Times New Roman;serif" w:hAnsi="Times New Roman;serif"/>
          <w:b/>
          <w:color w:val="000000"/>
          <w:sz w:val="20"/>
        </w:rPr>
        <w:t>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(Unaudited; in thousands)</w:t>
      </w:r>
    </w:p>
    <w:tbl>
      <w:tblPr>
        <w:tblW w:w="10170" w:type="dxa"/>
        <w:jc w:val="center"/>
        <w:tblInd w:w="0" w:type="dxa"/>
        <w:tblLayout w:type="fixed"/>
        <w:tblCellMar>
          <w:top w:w="28" w:type="dxa"/>
          <w:left w:w="28" w:type="dxa"/>
          <w:bottom w:w="28" w:type="dxa"/>
          <w:right w:w="28" w:type="dxa"/>
        </w:tblCellMar>
      </w:tblPr>
      <w:tblGrid>
        <w:gridCol w:w="1651"/>
        <w:gridCol w:w="1447"/>
        <w:gridCol w:w="146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651"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 net change in deferred gain or loss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plans – net change in deferred actuarial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41,718 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486,438 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493,440 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GARTNER,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(Deficit) Equity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(Unaudited; in thousands)</w:t>
      </w:r>
    </w:p>
    <w:p>
      <w:pPr>
        <w:pStyle w:val="TextBody"/>
        <w:bidi w:val="0"/>
        <w:spacing w:before="0" w:after="0"/>
        <w:jc w:val="left"/>
        <w:rPr/>
      </w:pPr>
      <w:r>
        <w:rPr/>
      </w:r>
    </w:p>
    <w:p>
      <w:pPr>
        <w:pStyle w:val="TextBody"/>
        <w:bidi w:val="0"/>
        <w:spacing w:before="0" w:after="0"/>
        <w:jc w:val="both"/>
        <w:rPr/>
      </w:pPr>
      <w:r>
        <w:rPr/>
      </w:r>
    </w:p>
    <w:tbl>
      <w:tblPr>
        <w:tblW w:w="10512" w:type="dxa"/>
        <w:jc w:val="left"/>
        <w:tblInd w:w="0" w:type="dxa"/>
        <w:tblLayout w:type="fixed"/>
        <w:tblCellMar>
          <w:top w:w="28" w:type="dxa"/>
          <w:left w:w="28" w:type="dxa"/>
          <w:bottom w:w="28" w:type="dxa"/>
          <w:right w:w="28" w:type="dxa"/>
        </w:tblCellMar>
      </w:tblPr>
      <w:tblGrid>
        <w:gridCol w:w="757"/>
        <w:gridCol w:w="296"/>
        <w:gridCol w:w="298"/>
        <w:gridCol w:w="274"/>
        <w:gridCol w:w="469"/>
        <w:gridCol w:w="143"/>
        <w:gridCol w:w="109"/>
        <w:gridCol w:w="109"/>
        <w:gridCol w:w="109"/>
        <w:gridCol w:w="211"/>
        <w:gridCol w:w="976"/>
        <w:gridCol w:w="109"/>
        <w:gridCol w:w="109"/>
        <w:gridCol w:w="109"/>
        <w:gridCol w:w="109"/>
        <w:gridCol w:w="284"/>
        <w:gridCol w:w="993"/>
        <w:gridCol w:w="149"/>
        <w:gridCol w:w="109"/>
        <w:gridCol w:w="109"/>
        <w:gridCol w:w="109"/>
        <w:gridCol w:w="211"/>
        <w:gridCol w:w="976"/>
        <w:gridCol w:w="109"/>
        <w:gridCol w:w="109"/>
        <w:gridCol w:w="109"/>
        <w:gridCol w:w="109"/>
        <w:gridCol w:w="211"/>
        <w:gridCol w:w="1096"/>
        <w:gridCol w:w="109"/>
        <w:gridCol w:w="109"/>
        <w:gridCol w:w="109"/>
        <w:gridCol w:w="109"/>
        <w:gridCol w:w="211"/>
        <w:gridCol w:w="841"/>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2" w:type="dxa"/>
            <w:gridSpan w:val="3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Three and Six Months Ended June 30, 2026</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2,679,101 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(41,015)</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6,722,238 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(9,040,498)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319,908 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under stock plans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 repurchases (including excise tax)</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2,729,386 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(45,055)</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6,944,582 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(9,565,611)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under stock plans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 repurchases (including excise tax)</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2,774,555 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(52,419)</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7,220,080 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(10,109,643)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(167,345)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542" w:type="dxa"/>
        <w:jc w:val="left"/>
        <w:tblInd w:w="0" w:type="dxa"/>
        <w:tblLayout w:type="fixed"/>
        <w:tblCellMar>
          <w:top w:w="28" w:type="dxa"/>
          <w:left w:w="28" w:type="dxa"/>
          <w:bottom w:w="28" w:type="dxa"/>
          <w:right w:w="28" w:type="dxa"/>
        </w:tblCellMar>
      </w:tblPr>
      <w:tblGrid>
        <w:gridCol w:w="757"/>
        <w:gridCol w:w="296"/>
        <w:gridCol w:w="298"/>
        <w:gridCol w:w="274"/>
        <w:gridCol w:w="469"/>
        <w:gridCol w:w="143"/>
        <w:gridCol w:w="109"/>
        <w:gridCol w:w="109"/>
        <w:gridCol w:w="109"/>
        <w:gridCol w:w="211"/>
        <w:gridCol w:w="976"/>
        <w:gridCol w:w="109"/>
        <w:gridCol w:w="109"/>
        <w:gridCol w:w="109"/>
        <w:gridCol w:w="109"/>
        <w:gridCol w:w="284"/>
        <w:gridCol w:w="993"/>
        <w:gridCol w:w="149"/>
        <w:gridCol w:w="109"/>
        <w:gridCol w:w="109"/>
        <w:gridCol w:w="109"/>
        <w:gridCol w:w="211"/>
        <w:gridCol w:w="976"/>
        <w:gridCol w:w="109"/>
        <w:gridCol w:w="109"/>
        <w:gridCol w:w="109"/>
        <w:gridCol w:w="109"/>
        <w:gridCol w:w="211"/>
        <w:gridCol w:w="991"/>
        <w:gridCol w:w="109"/>
        <w:gridCol w:w="109"/>
        <w:gridCol w:w="109"/>
        <w:gridCol w:w="109"/>
        <w:gridCol w:w="211"/>
        <w:gridCol w:w="976"/>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42"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and Six Months Ended June 30, 2025</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(88,333)</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5,993,007 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(7,042,717)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1,359,169 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under stock plans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 repurchases (including excise tax)</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(67,849)</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6,203,946 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(7,191,495)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1,497,854 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under stock plans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 repurchases (including excise tax)</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2,602,976 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(46,615)</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6,444,729 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(7,468,546)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1,532,626 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GARTNER, INC. AND SUBSIDIARIES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(Unaudited; in thousands)</w:t>
      </w:r>
    </w:p>
    <w:tbl>
      <w:tblPr>
        <w:tblW w:w="9384" w:type="dxa"/>
        <w:jc w:val="center"/>
        <w:tblInd w:w="0" w:type="dxa"/>
        <w:tblLayout w:type="fixed"/>
        <w:tblCellMar>
          <w:top w:w="28" w:type="dxa"/>
          <w:left w:w="28" w:type="dxa"/>
          <w:bottom w:w="28" w:type="dxa"/>
          <w:right w:w="28" w:type="dxa"/>
        </w:tblCellMar>
      </w:tblPr>
      <w:tblGrid>
        <w:gridCol w:w="2325"/>
        <w:gridCol w:w="2040"/>
        <w:gridCol w:w="2055"/>
        <w:gridCol w:w="211"/>
        <w:gridCol w:w="976"/>
        <w:gridCol w:w="109"/>
        <w:gridCol w:w="109"/>
        <w:gridCol w:w="109"/>
        <w:gridCol w:w="109"/>
        <w:gridCol w:w="211"/>
        <w:gridCol w:w="976"/>
        <w:gridCol w:w="154"/>
      </w:tblGrid>
      <w:tr>
        <w:trPr/>
        <w:tc>
          <w:tcPr>
            <w:tcW w:w="2325"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6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6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cash provided by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from sale of divested operation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impairment of lease related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in the carrying amount of 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and write-off of deferred financing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de-designated swaps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acquisitions and divestitures: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and 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789,327 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697,077 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equipment and leasehold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divested operation, net of cash transferred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 investing activities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deferred financing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 on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treasury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(1,073,465)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(419,688)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215,572 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rates on cash and cash equivalents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beginning of period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end of period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1,488,706 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2,197,536 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GARTNER, INC.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1 — Business and Basis of Presentation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Business.</w:t>
      </w:r>
      <w:r>
        <w:rPr>
          <w:color w:val="000000"/>
        </w:rPr>
        <w:t xml:space="preserve"> </w:t>
      </w:r>
      <w:r>
        <w:rPr>
          <w:rFonts w:ascii="Times New Roman;serif" w:hAnsi="Times New Roman;serif"/>
          <w:b w:val="false"/>
          <w:color w:val="000000"/>
          <w:sz w:val="20"/>
          <w:shd w:fill="FFFFFF" w:val="clear"/>
        </w:rPr>
        <w:t>Gartner, Inc. (NYSE: IT)</w:t>
      </w:r>
      <w:r>
        <w:rPr>
          <w:color w:val="000000"/>
        </w:rPr>
        <w:t xml:space="preserve"> </w:t>
      </w:r>
      <w:r>
        <w:rPr>
          <w:rFonts w:ascii="Times New Roman;serif" w:hAnsi="Times New Roman;serif"/>
          <w:b w:val="false"/>
          <w:color w:val="000000"/>
          <w:sz w:val="20"/>
        </w:rPr>
        <w:t xml:space="preserve">delivers actionable, objective business and technology insights that drive smarter decisions and stronger performance on an organization’s mission-critical priorities.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Segments</w:t>
      </w:r>
      <w:r>
        <w:rPr>
          <w:rFonts w:ascii="Times New Roman;serif" w:hAnsi="Times New Roman;serif"/>
          <w:b w:val="false"/>
          <w:color w:val="000000"/>
          <w:sz w:val="20"/>
        </w:rPr>
        <w:t xml:space="preserve">. Gartner delivers its products and services globally through three reportable segments: Business and Technology Insights (or “Insights”), Conferences and Consulting. Revenues and other financial information for the Company’s segments are discussed in Note 7 — Segment Information.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Basis of presentation</w:t>
      </w:r>
      <w:r>
        <w:rPr>
          <w:rFonts w:ascii="Times New Roman;serif" w:hAnsi="Times New Roman;serif"/>
          <w:b w:val="false"/>
          <w:color w:val="000000"/>
          <w:sz w:val="20"/>
        </w:rPr>
        <w:t>. The accompanying interim Condensed Consolidated Financial Statements have been prepared in accordance with generally accepted accounting principles in the United States of America (“U.S. GAAP”), as defined in Financial Accounting Standards Board (“FASB”) Accounting Standards Codification (“ASC”) Topic 270 for interim financial information and with the applicable instructions of U.S. Securities and Exchange Commission (“SEC”) Rule 10-01 of Regulation S-X on Form 10-Q, and should be read in conjunction with the consolidated financial statements and related notes of the Company in its Annual Report on Form 10-K for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fiscal year of Gartner is the twelve-month period from January 1 through December 31. In the opinion of management, all normal recurring accruals and adjustments considered necessary for a fair presentation of financial position, results of operations and cash flows at the dates and for the periods presented herein have been included. The results of operations for the three and six months ended June 30, 2026 may not be indicative of the results of operations for the remainder of 2026 or beyond. When used in these notes, the terms “Gartner,” the “Company,” “we,” “us,” or “our” refer to Gartner, Inc. and its consolidated subsidiaries.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Principles of consolidation</w:t>
      </w:r>
      <w:r>
        <w:rPr>
          <w:rFonts w:ascii="Times New Roman;serif" w:hAnsi="Times New Roman;serif"/>
          <w:b w:val="false"/>
          <w:color w:val="000000"/>
          <w:sz w:val="20"/>
        </w:rPr>
        <w:t>. The accompanying interim Condensed Consolidated Financial Statements include the accounts of the Company and its wholly-owned subsidiaries. All intercompany transactions and balances have been eliminated.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Use of estimates</w:t>
      </w:r>
      <w:r>
        <w:rPr>
          <w:rFonts w:ascii="Times New Roman;serif" w:hAnsi="Times New Roman;serif"/>
          <w:b w:val="false"/>
          <w:color w:val="000000"/>
          <w:sz w:val="20"/>
        </w:rPr>
        <w:t>. The preparation of the accompanying interim Condensed Consolidated Financial Statements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fees receivable, goodwill, intangible assets, deferred tax assets and other long-lived assets, as well as tax accruals and other liabilities. In addition, estimates are used in revenue recognition, income tax expense or benefit, performance-based compensation charges, depreciation and amortization. Management believes its use of estimates in the accompanying Condensed Consolidated Financial Statements to be reasonable.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continually evaluates and revises its estimates using historical experience and other factors, including the general economic environment and actions it may take in the future. Management adjusts these estimates when facts and circumstances dictate. However, these estimates may involve significant uncertainties and judgments and cannot be determined with precision. In addition, these estimates are based on management’s best judgment at a point in time. As a result, differences between estimates and actual results could be material and would be reflected in the Company’s consolidated financial statements in future periods.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Revenue recognition. </w:t>
      </w:r>
      <w:r>
        <w:rPr>
          <w:rFonts w:ascii="Times New Roman;serif" w:hAnsi="Times New Roman;serif"/>
          <w:b w:val="false"/>
          <w:color w:val="000000"/>
          <w:sz w:val="20"/>
        </w:rPr>
        <w:t xml:space="preserve">Revenue is recognized in accordance with the requirements of FASB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Topic 606”). Revenue is only recognized when all of the required criteria for revenue recognition have been met. The accompanying Condensed Consolidated Statements of Operations present revenue net of any sales or value-added taxes that we collect from customers and remit to government authorities. ASC Topic 270 requires certain disclosures in interim financial statements around the nature, amount, timing and uncertainty of revenue and cash flows arising from contracts with customers. Note 4 — Revenue and Related Matters provides additional information regarding the Company’s revenues.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Adoption of new accounting standard</w:t>
      </w:r>
      <w:r>
        <w:rPr>
          <w:rFonts w:ascii="Times New Roman;serif" w:hAnsi="Times New Roman;serif"/>
          <w:b w:val="false"/>
          <w:color w:val="000000"/>
          <w:sz w:val="20"/>
        </w:rPr>
        <w:t>. The Company adopted the accounting standard described below during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Credit Losses</w:t>
      </w:r>
      <w:r>
        <w:rPr>
          <w:color w:val="000000"/>
        </w:rPr>
        <w:t xml:space="preserve">— </w:t>
      </w:r>
      <w:r>
        <w:rPr>
          <w:rFonts w:ascii="Times New Roman;serif" w:hAnsi="Times New Roman;serif"/>
          <w:b w:val="false"/>
          <w:color w:val="000000"/>
          <w:sz w:val="20"/>
        </w:rPr>
        <w:t>In July 2025, the FASB issued ASU 2025-05</w:t>
      </w:r>
      <w:r>
        <w:rPr>
          <w:rFonts w:ascii="Times New Roman;serif" w:hAnsi="Times New Roman;serif"/>
          <w:b w:val="false"/>
          <w:i/>
          <w:color w:val="000000"/>
          <w:sz w:val="20"/>
        </w:rPr>
        <w:t xml:space="preserve">, Financial Instruments – Credit Losses (Topic 326) </w:t>
      </w:r>
      <w:r>
        <w:rPr>
          <w:rFonts w:ascii="Times New Roman;serif" w:hAnsi="Times New Roman;serif"/>
          <w:b w:val="false"/>
          <w:color w:val="000000"/>
          <w:sz w:val="20"/>
        </w:rPr>
        <w:t>(“ASU 2025-05”). The amendments in this ASU introduce a practical expedient for all entities related to applying Subtopic 326-20 to current accounts receivable and current contract assets arising from transactions accounted for under Topic 606. In developing reasonable and supportable forecasts as part of estimating expected credit losses, all entities may elect a practical expedient that assumes that current conditions as of the balance sheet date do not change for the remaining life of the asset. The amendments are expected to provide decision-useful information to investors and other financial statement users while reducing the time and effort necessary to analyze and estimate credit losses for current accounts receivable and current contract assets. The amendments were effective for annual reporting periods beginning after December 15, 2025, and interim reporting periods within those annual reporting periods. Early adoption was permitted in both interim and annual reporting periods in which financial statements have not yet been issued or made available for issuance. The Company adopted ASU 2025-05 effective in 2026 and the adoption had no impacts to the Company's results of operations, cash flows, or financial condition.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Accounting standards issued but not yet adopted. </w:t>
      </w:r>
      <w:r>
        <w:rPr>
          <w:rFonts w:ascii="Times New Roman;serif" w:hAnsi="Times New Roman;serif"/>
          <w:b w:val="false"/>
          <w:color w:val="000000"/>
          <w:sz w:val="20"/>
        </w:rPr>
        <w:t>The FASB has issued accounting standards that have not yet become effective as of June 30, 2026 and may impact the Company’s Consolidated Financial Statements or related disclosures in future periods. The standards and their potential impacts are discussed below.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Income Statement</w:t>
      </w:r>
      <w:r>
        <w:rPr>
          <w:color w:val="000000"/>
        </w:rPr>
        <w:t xml:space="preserve">— </w:t>
      </w: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Statement-Reporting Comprehensive Income- Expense Disaggregation Disclosures </w:t>
      </w:r>
      <w:r>
        <w:rPr>
          <w:rFonts w:ascii="Times New Roman;serif" w:hAnsi="Times New Roman;serif"/>
          <w:b w:val="false"/>
          <w:color w:val="000000"/>
          <w:sz w:val="20"/>
        </w:rPr>
        <w:t>(“ASU 2024-03”). The amendments in this ASU are expected to improve the disclosures about a public business entity’s expenses and address requests from investors for more detailed information about the types of expenses (including employee compensation, depreciation and amortization) in commonly presented expense captions (such as cost of sales, SG&amp;A and research and development). ASU 2024-03 will require a quantitative disclosure of the components of each income statement line item (e.g., cost of services and product development and selling, general and administrative expenses). It will also require entities to disclose the total amount of selling expenses, and, on an annual basis, an entity’s definition of selling expenses. The amendments are effective for annual reporting periods with fiscal years beginning after December 15, 2026, and interim reporting periods in fiscal years beginning after December 15, 2027. The Company expects this ASU to only impact its disclosures with no impacts to the Company's results of operations, cash flows, or financial condition.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Internal-use Software</w:t>
      </w:r>
      <w:r>
        <w:rPr>
          <w:color w:val="000000"/>
        </w:rPr>
        <w:t xml:space="preserve">— </w:t>
      </w:r>
      <w:r>
        <w:rPr>
          <w:rFonts w:ascii="Times New Roman;serif" w:hAnsi="Times New Roman;serif"/>
          <w:b w:val="false"/>
          <w:color w:val="000000"/>
          <w:sz w:val="20"/>
        </w:rPr>
        <w:t xml:space="preserve">In September 2025, the FASB issued </w:t>
      </w:r>
      <w:r>
        <w:rPr>
          <w:rFonts w:ascii="Times New Roman;serif" w:hAnsi="Times New Roman;serif"/>
          <w:b w:val="false"/>
          <w:i/>
          <w:color w:val="000000"/>
          <w:sz w:val="20"/>
        </w:rPr>
        <w:t>ASU 2025-06, Intangibles-Goodwill and Other-Internal Use Software (Subtopic 350-40)</w:t>
      </w:r>
      <w:r>
        <w:rPr>
          <w:rFonts w:ascii="Times New Roman;serif" w:hAnsi="Times New Roman;serif"/>
          <w:b w:val="false"/>
          <w:color w:val="000000"/>
          <w:sz w:val="20"/>
        </w:rPr>
        <w:t>. The amendments in this ASU remove all references to project stages, and requires entities to start capitalizing software costs when (1) management has authorized and committed to funding the software project and (2) it is probable that the project will be completed and the software will be used to perform the function intended. The amendments are effective for annual reporting periods with fiscal years beginning after December 15, 2027, and interim reporting periods within those annual reporting periods. The Company expects this ASU will not have a material impact to the Company's results of operations, cash flows, or financial condition.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Note 2 — Divestiture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the Company completed the sale of its Digital Markets business, for approximately $104.8 million net of cash transferred, subject to post-close adjustments. The Company recorded a pre-tax gain of $5.4 million on the sale, which is included in Gain from sale of divested operation in the Consolidated Statement of Operations during the six months ended June 30, 2026. The Digital Markets business was included in the Company’s Other segment.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3 — Goodwill and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of acquired businesses over the estimated fair values of the tangible and identifiable intangible net assets acquired. Evaluations of the recoverability of goodwill are performed in accordance with FASB ASC Topic 350, which requires an annual assessment of potential goodwill impairment at the reporting unit level and whenever events or changes in circumstances indicate that the carrying value of goodwill may not be recoverable.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When performing the annual assessment of the recoverability of goodwill, the Company initially performs a qualitative analysis evaluating whether any events or circumstances occurred or exist that provide evidence that it is more likely than not that the fair value of any of the Company’s reporting units is less than the related carrying amount. If the Company does not believe that it is more likely than not that the fair value of any of the Company’s reporting units is less than the related carrying amount, then no quantitative impairment test is performed. However, if the results of the qualitative assessment indicate that it is more likely than not that the fair value of a reporting unit is less than its respective carrying amount, then a quantitative impairment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test is performed. Evaluating the recoverability of goodwill requires judgments and assumptions regarding future trends and events. As a result, both the precision and reliability of the estimates are subject to uncertainty.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most recent annual impairment test of goodwill was a quantitative analysis conducted during the quarter ended September 30, 2025 that indicated an impairment of the Company’s Digital Markets reporting unit. During the three months ended September 30, 2025, ongoing weakness in the market as well as changes in the Company’s internal organization structure prompted a revision to the long-term earnings forecast for the Digital Markets business. During the three months ended September 30, 2025, a goodwill impairment loss of $150.0 million was recognized in the Digital Markets reporting unit. Subsequent to completing the 2025 annual impairment test, there were no events or changes in circumstances noted that required an interim impairment test.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changes to the carrying amount of goodwill by segment during the six months ended June 30, 2026 (in thousands).</w:t>
      </w:r>
    </w:p>
    <w:tbl>
      <w:tblPr>
        <w:tblW w:w="9083" w:type="dxa"/>
        <w:jc w:val="left"/>
        <w:tblInd w:w="0" w:type="dxa"/>
        <w:tblLayout w:type="fixed"/>
        <w:tblCellMar>
          <w:top w:w="28" w:type="dxa"/>
          <w:left w:w="28" w:type="dxa"/>
          <w:bottom w:w="28" w:type="dxa"/>
          <w:right w:w="28" w:type="dxa"/>
        </w:tblCellMar>
      </w:tblPr>
      <w:tblGrid>
        <w:gridCol w:w="1107"/>
        <w:gridCol w:w="973"/>
        <w:gridCol w:w="980"/>
        <w:gridCol w:w="211"/>
        <w:gridCol w:w="976"/>
        <w:gridCol w:w="109"/>
        <w:gridCol w:w="109"/>
        <w:gridCol w:w="109"/>
        <w:gridCol w:w="109"/>
        <w:gridCol w:w="211"/>
        <w:gridCol w:w="826"/>
        <w:gridCol w:w="109"/>
        <w:gridCol w:w="109"/>
        <w:gridCol w:w="109"/>
        <w:gridCol w:w="109"/>
        <w:gridCol w:w="211"/>
        <w:gridCol w:w="721"/>
        <w:gridCol w:w="109"/>
        <w:gridCol w:w="109"/>
        <w:gridCol w:w="109"/>
        <w:gridCol w:w="109"/>
        <w:gridCol w:w="109"/>
        <w:gridCol w:w="109"/>
        <w:gridCol w:w="211"/>
        <w:gridCol w:w="976"/>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at December 31, 2025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2,460,315 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2,740,802 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impact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at June 30, 2026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2,458,482 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2,738,631 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Finite-Lived Intangible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tables below present reconciliations of the carrying amounts of the Company’s finite-lived intangible assets as of the dates indicated (in thousands).</w:t>
      </w:r>
    </w:p>
    <w:tbl>
      <w:tblPr>
        <w:tblW w:w="7718" w:type="dxa"/>
        <w:jc w:val="left"/>
        <w:tblInd w:w="0" w:type="dxa"/>
        <w:tblLayout w:type="fixed"/>
        <w:tblCellMar>
          <w:top w:w="28" w:type="dxa"/>
          <w:left w:w="28" w:type="dxa"/>
          <w:bottom w:w="28" w:type="dxa"/>
          <w:right w:w="28" w:type="dxa"/>
        </w:tblCellMar>
      </w:tblPr>
      <w:tblGrid>
        <w:gridCol w:w="1106"/>
        <w:gridCol w:w="971"/>
        <w:gridCol w:w="982"/>
        <w:gridCol w:w="109"/>
        <w:gridCol w:w="109"/>
        <w:gridCol w:w="109"/>
        <w:gridCol w:w="211"/>
        <w:gridCol w:w="976"/>
        <w:gridCol w:w="109"/>
        <w:gridCol w:w="109"/>
        <w:gridCol w:w="109"/>
        <w:gridCol w:w="109"/>
        <w:gridCol w:w="211"/>
        <w:gridCol w:w="721"/>
        <w:gridCol w:w="109"/>
        <w:gridCol w:w="109"/>
        <w:gridCol w:w="109"/>
        <w:gridCol w:w="109"/>
        <w:gridCol w:w="211"/>
        <w:gridCol w:w="976"/>
        <w:gridCol w:w="154"/>
      </w:tblGrid>
      <w:tr>
        <w:trPr/>
        <w:tc>
          <w:tcPr>
            <w:tcW w:w="110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Customer</w:t>
              <w:br/>
              <w:t>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cost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1,021,757 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1,031,957 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impact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1,015,630 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1,025,830 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(731,396)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294,434 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72"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211"/>
        <w:gridCol w:w="976"/>
        <w:gridCol w:w="109"/>
        <w:gridCol w:w="109"/>
        <w:gridCol w:w="109"/>
        <w:gridCol w:w="109"/>
        <w:gridCol w:w="109"/>
        <w:gridCol w:w="109"/>
        <w:gridCol w:w="211"/>
        <w:gridCol w:w="721"/>
        <w:gridCol w:w="109"/>
        <w:gridCol w:w="109"/>
        <w:gridCol w:w="109"/>
        <w:gridCol w:w="109"/>
        <w:gridCol w:w="211"/>
        <w:gridCol w:w="97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Customer</w:t>
              <w:br/>
              <w:t>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Other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cost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1,021,757 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1,031,957 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(695,654)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336,303 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Finite-lived intangible assets are amortized using the straight-line method over the following periods: Customer relationships—6 to 13 years and Other—11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related to finite-lived intangible assets was $20.0 million and $20.2 million during the three months ended June 30, 2026 and 2025, and $40.1 million and $42.1 million during the six months ended June 30, 2026 and 2025, respectively. The estimated future amortization expense by year for finite-lived intangible assets is presented in the table below (in thousands).</w:t>
      </w:r>
    </w:p>
    <w:p>
      <w:pPr>
        <w:pStyle w:val="TextBody"/>
        <w:bidi w:val="0"/>
        <w:spacing w:before="0" w:after="0"/>
        <w:jc w:val="both"/>
        <w:rPr/>
      </w:pPr>
      <w:r>
        <w:rPr/>
      </w:r>
    </w:p>
    <w:tbl>
      <w:tblPr>
        <w:tblW w:w="3650" w:type="dxa"/>
        <w:jc w:val="left"/>
        <w:tblInd w:w="0" w:type="dxa"/>
        <w:tblLayout w:type="fixed"/>
        <w:tblCellMar>
          <w:top w:w="28" w:type="dxa"/>
          <w:left w:w="28" w:type="dxa"/>
          <w:bottom w:w="28" w:type="dxa"/>
          <w:right w:w="28" w:type="dxa"/>
        </w:tblCellMar>
      </w:tblPr>
      <w:tblGrid>
        <w:gridCol w:w="890"/>
        <w:gridCol w:w="782"/>
        <w:gridCol w:w="787"/>
        <w:gridCol w:w="211"/>
        <w:gridCol w:w="826"/>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294,434 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4 — Revenue and Related Matters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Disaggregated Revenue</w:t>
      </w:r>
      <w:r>
        <w:rPr>
          <w:color w:val="000000"/>
        </w:rPr>
        <w:t xml:space="preserve"> — </w:t>
      </w:r>
      <w:r>
        <w:rPr>
          <w:rFonts w:ascii="Times New Roman;serif" w:hAnsi="Times New Roman;serif"/>
          <w:b w:val="false"/>
          <w:color w:val="000000"/>
          <w:sz w:val="20"/>
        </w:rPr>
        <w:t xml:space="preserve">The Company’s disaggregated revenue by reportable segment is presented in the tables below for the periods indicated (in thousands). </w:t>
      </w:r>
    </w:p>
    <w:p>
      <w:pPr>
        <w:pStyle w:val="TextBody"/>
        <w:bidi w:val="0"/>
        <w:spacing w:before="0" w:after="0"/>
        <w:jc w:val="both"/>
        <w:rPr/>
      </w:pPr>
      <w:r>
        <w:rPr/>
      </w:r>
    </w:p>
    <w:tbl>
      <w:tblPr>
        <w:tblW w:w="9360" w:type="dxa"/>
        <w:jc w:val="left"/>
        <w:tblInd w:w="0" w:type="dxa"/>
        <w:tblLayout w:type="fixed"/>
        <w:tblCellMar>
          <w:top w:w="28" w:type="dxa"/>
          <w:left w:w="28" w:type="dxa"/>
          <w:bottom w:w="28" w:type="dxa"/>
          <w:right w:w="28" w:type="dxa"/>
        </w:tblCellMar>
      </w:tblPr>
      <w:tblGrid>
        <w:gridCol w:w="1136"/>
        <w:gridCol w:w="997"/>
        <w:gridCol w:w="1002"/>
        <w:gridCol w:w="211"/>
        <w:gridCol w:w="976"/>
        <w:gridCol w:w="109"/>
        <w:gridCol w:w="211"/>
        <w:gridCol w:w="976"/>
        <w:gridCol w:w="109"/>
        <w:gridCol w:w="211"/>
        <w:gridCol w:w="826"/>
        <w:gridCol w:w="109"/>
        <w:gridCol w:w="211"/>
        <w:gridCol w:w="826"/>
        <w:gridCol w:w="109"/>
        <w:gridCol w:w="211"/>
        <w:gridCol w:w="976"/>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By Primary Geographic Market (1)</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Primary Geographic Market</w:t>
            </w:r>
          </w:p>
        </w:tc>
        <w:tc>
          <w:tcPr>
            <w:tcW w:w="12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4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and Canada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769,525 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1,024,251 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1,289,870 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1,675,943 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Primary Geographic Market</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1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and Canada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780,245 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1,056,422 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1,263,505 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1,686,454 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Primary Geographic Market</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1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and Canada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1,540,893 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1,948,556 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2,584,065 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3,186,984 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Primary Geographic Market</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1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United States and Canada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1,572,078 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2,050,251 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2,519,074 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3,220,584 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(1)Revenue is reported based on where the sale is fulfilled.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revenues are generated primarily through direct sales to clients by domestic and international sales forces and several independent international sales agents.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By Timing of Revenue Recognition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both"/>
        <w:rPr/>
      </w:pPr>
      <w:r>
        <w:rPr/>
      </w:r>
    </w:p>
    <w:tbl>
      <w:tblPr>
        <w:tblW w:w="9329" w:type="dxa"/>
        <w:jc w:val="left"/>
        <w:tblInd w:w="0" w:type="dxa"/>
        <w:tblLayout w:type="fixed"/>
        <w:tblCellMar>
          <w:top w:w="28" w:type="dxa"/>
          <w:left w:w="28" w:type="dxa"/>
          <w:bottom w:w="28" w:type="dxa"/>
          <w:right w:w="28" w:type="dxa"/>
        </w:tblCellMar>
      </w:tblPr>
      <w:tblGrid>
        <w:gridCol w:w="1124"/>
        <w:gridCol w:w="988"/>
        <w:gridCol w:w="992"/>
        <w:gridCol w:w="211"/>
        <w:gridCol w:w="976"/>
        <w:gridCol w:w="109"/>
        <w:gridCol w:w="211"/>
        <w:gridCol w:w="976"/>
        <w:gridCol w:w="109"/>
        <w:gridCol w:w="211"/>
        <w:gridCol w:w="826"/>
        <w:gridCol w:w="109"/>
        <w:gridCol w:w="211"/>
        <w:gridCol w:w="826"/>
        <w:gridCol w:w="109"/>
        <w:gridCol w:w="211"/>
        <w:gridCol w:w="976"/>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Timing of Revenue Recognition</w:t>
            </w:r>
          </w:p>
        </w:tc>
        <w:tc>
          <w:tcPr>
            <w:tcW w:w="12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40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 (1)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1,287,650 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1,383,450 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 in time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1,289,870 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1,675,943 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Timing of Revenue Recognition</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1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 (1)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1,260,549 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1,370,793 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 in time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1,263,505 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1,686,454 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940" w:type="dxa"/>
        <w:jc w:val="left"/>
        <w:tblInd w:w="0" w:type="dxa"/>
        <w:tblLayout w:type="fixed"/>
        <w:tblCellMar>
          <w:top w:w="28" w:type="dxa"/>
          <w:left w:w="28" w:type="dxa"/>
          <w:bottom w:w="28" w:type="dxa"/>
          <w:right w:w="28" w:type="dxa"/>
        </w:tblCellMar>
      </w:tblPr>
      <w:tblGrid>
        <w:gridCol w:w="1038"/>
        <w:gridCol w:w="912"/>
        <w:gridCol w:w="915"/>
        <w:gridCol w:w="211"/>
        <w:gridCol w:w="976"/>
        <w:gridCol w:w="109"/>
        <w:gridCol w:w="211"/>
        <w:gridCol w:w="826"/>
        <w:gridCol w:w="109"/>
        <w:gridCol w:w="211"/>
        <w:gridCol w:w="826"/>
        <w:gridCol w:w="109"/>
        <w:gridCol w:w="211"/>
        <w:gridCol w:w="826"/>
        <w:gridCol w:w="109"/>
        <w:gridCol w:w="211"/>
        <w:gridCol w:w="976"/>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Timing of Revenue Recognition</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 (1)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2,579,903 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2,765,936 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 in time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2,584,065 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3,186,984 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Timing of Revenue Recognition</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 (1)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2,512,737 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2,727,533 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 in time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2,519,074 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3,220,584 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(1)Insights revenues in this category are recognized in connection with performance obligations that are satisfied over time using a time-elapsed output method to measure progress. Consulting revenues in this category are recognized over time using costs incurred to date relative to total estimated costs at completion.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revenues in this category are recognized in connection with performance obligations that are satisfied at the point in time that the contractual deliverables are provided to the customer.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Performance Obligations</w:t>
      </w:r>
      <w:r>
        <w:rPr>
          <w:color w:val="000000"/>
        </w:rPr>
        <w:t xml:space="preserve"> — </w:t>
      </w:r>
      <w:r>
        <w:rPr>
          <w:rFonts w:ascii="Times New Roman;serif" w:hAnsi="Times New Roman;serif"/>
          <w:b w:val="false"/>
          <w:color w:val="000000"/>
          <w:sz w:val="20"/>
        </w:rPr>
        <w:t>For customer contracts that are greater than one year in duration, the aggregate amount of the transaction price allocated to performance obligations that were unsatisfied (or partially unsatisfied) as of June 30, 2026 was approximately $6.5 billion. The Company expects to recognize $2.3 billion, $3.0 billion and $1.2 billion of this revenue (most of which pertains to Insights) during the remainder of 2026, the year ending December 31, 2027 and thereafter, respectively. The Company applies a practical expedient that is permitted under ASC Topic 606 and, accordingly, it does not disclose such performance obligation information for customer contracts that have original durations of one year or less. The Company’s performance obligations for contracts meeting this ASC Topic 606 disclosure exclusion primarily include: (i) stand-ready services under Insights subscription contracts; (ii) holding conferences and meetings where attendees and exhibitors can participate; and (iii) providing customized Consulting solutions for clients under fixed fee and time and materials engagements. The remaining duration of these performance obligations is generally less than one year, which aligns with the period that the parties have enforceable rights and obligations under the affected contracts.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Customer Contract Assets and Liabilities</w:t>
      </w:r>
      <w:r>
        <w:rPr>
          <w:color w:val="000000"/>
        </w:rPr>
        <w:t xml:space="preserve"> — </w:t>
      </w:r>
      <w:r>
        <w:rPr>
          <w:rFonts w:ascii="Times New Roman;serif" w:hAnsi="Times New Roman;serif"/>
          <w:b w:val="false"/>
          <w:color w:val="000000"/>
          <w:sz w:val="20"/>
        </w:rPr>
        <w:t>The timing of the recognition of revenue and the amount and timing of the Company’s billings and cash collections, including upfront customer payments, result in the recognition of both assets and liabilities on the Company’s Condensed Consolidated Balance Sheets. The table below provides information regarding certain of the Company’s balance sheet accounts that pertain to its contracts with customers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both"/>
        <w:rPr/>
      </w:pPr>
      <w:r>
        <w:rPr/>
      </w:r>
    </w:p>
    <w:tbl>
      <w:tblPr>
        <w:tblW w:w="8903" w:type="dxa"/>
        <w:jc w:val="center"/>
        <w:tblInd w:w="0" w:type="dxa"/>
        <w:tblLayout w:type="fixed"/>
        <w:tblCellMar>
          <w:top w:w="28" w:type="dxa"/>
          <w:left w:w="28" w:type="dxa"/>
          <w:bottom w:w="28" w:type="dxa"/>
          <w:right w:w="28" w:type="dxa"/>
        </w:tblCellMar>
      </w:tblPr>
      <w:tblGrid>
        <w:gridCol w:w="2143"/>
        <w:gridCol w:w="1888"/>
        <w:gridCol w:w="1908"/>
        <w:gridCol w:w="211"/>
        <w:gridCol w:w="976"/>
        <w:gridCol w:w="109"/>
        <w:gridCol w:w="109"/>
        <w:gridCol w:w="109"/>
        <w:gridCol w:w="109"/>
        <w:gridCol w:w="211"/>
        <w:gridCol w:w="976"/>
        <w:gridCol w:w="154"/>
      </w:tblGrid>
      <w:tr>
        <w:trPr/>
        <w:tc>
          <w:tcPr>
            <w:tcW w:w="2143"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Assets: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Fees receivable, gross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recorded in Prepaid expenses and other current assets (2)</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40,534 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Contract liabilities: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 (current liability) (3)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revenues recorded in Other liabilities (3)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2,784,546 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2,841,625 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(1)Fees receivable represent an unconditional right to payment from the Company’s customers and include both billed and unbilled amounts.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(2)Contract assets represent recognized revenue for which the Company does not have an unconditional right to payment as of the balance sheet date because the project may be subject to a progress billing milestone or some other billing restrictions.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(3)Deferred revenues represent amounts (i) for which the Company has received an upfront customer payment or (ii) that pertain to recognized fees receivable. Both situations occur before the completion of the Company’s performance obligation(s).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recognized revenue of $1.3 billion and $1.2 billion during the three months ended June 30, 2026 and 2025, and $1.9 billion and $1.8 billion during the six months ended June 30, 2026 and 2025, respectively, that was attributable to deferred revenues that were recorded at the beginning of each such period. Those amounts primarily consisted of Insights revenues that were recognized ratably as control of the goods or services passed to the customer during the reporting periods. During each of the </w:t>
      </w:r>
      <w:r>
        <w:rPr>
          <w:rFonts w:ascii="Times New Roman;serif" w:hAnsi="Times New Roman;serif"/>
          <w:b w:val="false"/>
          <w:color w:val="000000"/>
          <w:sz w:val="20"/>
          <w:shd w:fill="FFFFFF" w:val="clear"/>
        </w:rPr>
        <w:t xml:space="preserve">three </w:t>
      </w:r>
      <w:r>
        <w:rPr>
          <w:rFonts w:ascii="Times New Roman;serif" w:hAnsi="Times New Roman;serif"/>
          <w:b w:val="false"/>
          <w:color w:val="000000"/>
          <w:sz w:val="20"/>
        </w:rPr>
        <w:t xml:space="preserve">months ended June 30, 2026 and 2025, the Company did not record any material impairments related to its contract assets.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5 — Computation of Earnings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per share (“EPS”) is computed by dividing net income by the weighted average number of shares of common stock, par value $0.0005 per share, (the “Common Stock”) outstanding during the period. Diluted EPS reflects the potential dilution of securities that could share in earnings. Potential shares of common stock are excluded from the computation of diluted earnings per share when their effect would be anti-dilutive.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the calculation of basic and diluted income per share for the periods indicated (in thousands, except per share data).</w:t>
      </w:r>
    </w:p>
    <w:tbl>
      <w:tblPr>
        <w:tblW w:w="10205" w:type="dxa"/>
        <w:jc w:val="left"/>
        <w:tblInd w:w="0" w:type="dxa"/>
        <w:tblLayout w:type="fixed"/>
        <w:tblCellMar>
          <w:top w:w="28" w:type="dxa"/>
          <w:left w:w="28" w:type="dxa"/>
          <w:bottom w:w="28" w:type="dxa"/>
          <w:right w:w="28" w:type="dxa"/>
        </w:tblCellMar>
      </w:tblPr>
      <w:tblGrid>
        <w:gridCol w:w="1613"/>
        <w:gridCol w:w="1323"/>
        <w:gridCol w:w="133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1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used for calculating basic and diluted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451,722 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common shares used in the calculation of basic income per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77,257</w:t>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outstanding awards associated with stock-based compensation plans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used in the calculation of diluted income per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77,606</w:t>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income per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55"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sans-serif" w:hAnsi="sans-serif"/>
          <w:b w:val="false"/>
          <w:color w:val="000000"/>
          <w:sz w:val="22"/>
        </w:rPr>
        <w:t>(1)</w:t>
      </w:r>
      <w:r>
        <w:rPr>
          <w:rFonts w:ascii="Times New Roman;serif" w:hAnsi="Times New Roman;serif"/>
          <w:b w:val="false"/>
          <w:color w:val="000000"/>
          <w:sz w:val="20"/>
        </w:rPr>
        <w:t>Certain outstanding awards associated with stock-based compensation plans were not included in the computation of diluted income per share because the effect would have been anti-dilutive. These anti-dilutive outstanding awards associated with stock-based compensation plans was 1.0 million and 0.4 million for the three months ended June 30, 2026 and 2025, respectively, and 0.9 million and 0.3 million for the six months ended June 30, 2026 and 2025,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6 — Stock-Based Compensation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grants stock-based compensation awards as an incentive for employees and directors to contribute to the Company’s long-term success. The Company currently awards stock-settled stock appreciation rights, service-based and performance-based restricted stock units, and common stock equivalents. As of June 30, 2026, the Company had 3.9 million shares of its Common Stock available for stock-based compensation awards under the Gartner, Inc. Long-Term Incentive Plan as amended and restated in June 2023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tables below summarize the Company’s stock-based compensation expense by award type and expense category line item during the periods indicated (in millions).</w:t>
      </w:r>
    </w:p>
    <w:tbl>
      <w:tblPr>
        <w:tblW w:w="7017" w:type="dxa"/>
        <w:jc w:val="left"/>
        <w:tblInd w:w="0" w:type="dxa"/>
        <w:tblLayout w:type="fixed"/>
        <w:tblCellMar>
          <w:top w:w="28" w:type="dxa"/>
          <w:left w:w="28" w:type="dxa"/>
          <w:bottom w:w="28" w:type="dxa"/>
          <w:right w:w="28" w:type="dxa"/>
        </w:tblCellMar>
      </w:tblPr>
      <w:tblGrid>
        <w:gridCol w:w="845"/>
        <w:gridCol w:w="744"/>
        <w:gridCol w:w="751"/>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84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Award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appreciation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(1)</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201" w:type="dxa"/>
        <w:jc w:val="left"/>
        <w:tblInd w:w="0" w:type="dxa"/>
        <w:tblLayout w:type="fixed"/>
        <w:tblCellMar>
          <w:top w:w="28" w:type="dxa"/>
          <w:left w:w="28" w:type="dxa"/>
          <w:bottom w:w="28" w:type="dxa"/>
          <w:right w:w="28" w:type="dxa"/>
        </w:tblCellMar>
      </w:tblPr>
      <w:tblGrid>
        <w:gridCol w:w="1275"/>
        <w:gridCol w:w="1120"/>
        <w:gridCol w:w="112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 category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22"/>
        </w:rPr>
        <w:t>(1)</w:t>
      </w:r>
      <w:r>
        <w:rPr>
          <w:rFonts w:ascii="Times New Roman;serif" w:hAnsi="Times New Roman;serif"/>
          <w:b w:val="false"/>
          <w:color w:val="000000"/>
          <w:sz w:val="20"/>
        </w:rPr>
        <w:t>Includes costs of $17.8 million and $19.0 million during the three months ended June 30, 2026 and 2025, and $41.3 million and $47.0 million during the six months ended June 30, 2026 and 2025, respectively, for awards to retirement-eligible employees. Those awards are expensed on an accelerated basis.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 7 — Segment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products and services are delivered through three reportable segments – Business and Technology Insights, or “Insights”, Conferences and Consulting, as described below.</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Insights</w:t>
      </w:r>
      <w:r>
        <w:rPr>
          <w:color w:val="000000"/>
        </w:rPr>
        <w:t xml:space="preserve"> </w:t>
      </w:r>
      <w:r>
        <w:rPr>
          <w:rFonts w:ascii="Times New Roman;serif" w:hAnsi="Times New Roman;serif"/>
          <w:b w:val="false"/>
          <w:color w:val="000000"/>
          <w:sz w:val="20"/>
        </w:rPr>
        <w:t>equips executives and their teams from every function and across all industries with actionable, objective business and technology insights, guidance and tools. Our experienced experts deliver all this value informed by an unmatched combination of practitioner-sourced and data-driven research to help our clients address their mission critical priorities.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Conferences</w:t>
      </w:r>
      <w:r>
        <w:rPr>
          <w:color w:val="000000"/>
        </w:rPr>
        <w:t xml:space="preserve"> </w:t>
      </w:r>
      <w:r>
        <w:rPr>
          <w:rFonts w:ascii="Times New Roman;serif" w:hAnsi="Times New Roman;serif"/>
          <w:b w:val="false"/>
          <w:color w:val="000000"/>
          <w:sz w:val="20"/>
        </w:rPr>
        <w:t>provides executives and teams across an organization the opportunity to learn, share and network. From industry-leading conferences to peer-driven communities – each focused on the mission-critical priorities of specific business roles – our offerings enable attendees to experience the best of Gartner insights and guidance.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Consulting</w:t>
      </w:r>
      <w:r>
        <w:rPr>
          <w:color w:val="000000"/>
        </w:rPr>
        <w:t xml:space="preserve"> </w:t>
      </w:r>
      <w:r>
        <w:rPr>
          <w:rFonts w:ascii="Times New Roman;serif" w:hAnsi="Times New Roman;serif"/>
          <w:b w:val="false"/>
          <w:color w:val="000000"/>
          <w:sz w:val="20"/>
        </w:rPr>
        <w:t>serves senior executives leading technology-driven strategic initiatives leveraging the power of Gartner’s actionable, objective insights. Through custom analysis and on-the-ground support we enable optimized technology investments and stronger performance on our clients’ mission critical priorities.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Chief Executive Officer is its chief operating decision maker (CODM). The CODM evaluates segment performance and allocates resources based on gross contribution. Gross contribution, as presented in the tables below, is defined as operating income or loss excluding certain Cost of services and product development expenses, Selling, general and administrative expenses, Depreciation, Amortization of intangibles and Gain from sale of divested operation. Certain bonus and fringe benefit costs included in consolidated Cost of services and product development are not allocated to segment expense. The CODM uses gross contribution to allocate resources (including financial resources and employees) for each segment primarily in the Company's annual budgeting process. The CODM then monitors budgeted versus actual results regularly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assess segment operating performance, identify business trends, and modify resource allocations as needed. The accounting policies used by the reportable segments are the same as those used by the Company. There are no intersegment revenues. The Company does not identify or allocate assets, including capital expenditures, by reportable segment. Accordingly, assets are not reported by segment because the information is not available by segment and is not reviewed in the evaluation of segment performance or in making decisions regarding the allocation of resources.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tables below present information about the Company’s reportable segments for the periods indicated (in thousands).</w:t>
      </w:r>
    </w:p>
    <w:p>
      <w:pPr>
        <w:pStyle w:val="TextBody"/>
        <w:bidi w:val="0"/>
        <w:spacing w:before="0" w:after="0"/>
        <w:jc w:val="left"/>
        <w:rPr/>
      </w:pPr>
      <w:r>
        <w:rPr/>
      </w:r>
    </w:p>
    <w:tbl>
      <w:tblPr>
        <w:tblW w:w="9943" w:type="dxa"/>
        <w:jc w:val="left"/>
        <w:tblInd w:w="0" w:type="dxa"/>
        <w:tblLayout w:type="fixed"/>
        <w:tblCellMar>
          <w:top w:w="28" w:type="dxa"/>
          <w:left w:w="28" w:type="dxa"/>
          <w:bottom w:w="28" w:type="dxa"/>
          <w:right w:w="28" w:type="dxa"/>
        </w:tblCellMar>
      </w:tblPr>
      <w:tblGrid>
        <w:gridCol w:w="1777"/>
        <w:gridCol w:w="1561"/>
        <w:gridCol w:w="1567"/>
        <w:gridCol w:w="211"/>
        <w:gridCol w:w="976"/>
        <w:gridCol w:w="109"/>
        <w:gridCol w:w="211"/>
        <w:gridCol w:w="826"/>
        <w:gridCol w:w="109"/>
        <w:gridCol w:w="211"/>
        <w:gridCol w:w="826"/>
        <w:gridCol w:w="109"/>
        <w:gridCol w:w="109"/>
        <w:gridCol w:w="211"/>
        <w:gridCol w:w="976"/>
        <w:gridCol w:w="154"/>
      </w:tblGrid>
      <w:tr>
        <w:trPr/>
        <w:tc>
          <w:tcPr>
            <w:tcW w:w="1777"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1,289,870 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1,675,943 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content delivery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contribution</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999,372 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1,198,364 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 development - unallocated (2)</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from sale of divested operation</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expenses and other, net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354,623 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98"/>
        <w:gridCol w:w="1315"/>
        <w:gridCol w:w="1320"/>
        <w:gridCol w:w="211"/>
        <w:gridCol w:w="976"/>
        <w:gridCol w:w="109"/>
        <w:gridCol w:w="211"/>
        <w:gridCol w:w="826"/>
        <w:gridCol w:w="109"/>
        <w:gridCol w:w="211"/>
        <w:gridCol w:w="826"/>
        <w:gridCol w:w="109"/>
        <w:gridCol w:w="211"/>
        <w:gridCol w:w="721"/>
        <w:gridCol w:w="109"/>
        <w:gridCol w:w="211"/>
        <w:gridCol w:w="976"/>
        <w:gridCol w:w="156"/>
      </w:tblGrid>
      <w:tr>
        <w:trPr/>
        <w:tc>
          <w:tcPr>
            <w:tcW w:w="159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(3)</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1,263,505 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1,686,454 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content delivery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contribution</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960,732 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1,157,618 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 development - unallocated (2)</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776,888 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3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expenses and other, net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317,793 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98"/>
        <w:gridCol w:w="1316"/>
        <w:gridCol w:w="1320"/>
        <w:gridCol w:w="211"/>
        <w:gridCol w:w="976"/>
        <w:gridCol w:w="109"/>
        <w:gridCol w:w="211"/>
        <w:gridCol w:w="826"/>
        <w:gridCol w:w="109"/>
        <w:gridCol w:w="211"/>
        <w:gridCol w:w="826"/>
        <w:gridCol w:w="109"/>
        <w:gridCol w:w="211"/>
        <w:gridCol w:w="721"/>
        <w:gridCol w:w="109"/>
        <w:gridCol w:w="211"/>
        <w:gridCol w:w="976"/>
        <w:gridCol w:w="155"/>
      </w:tblGrid>
      <w:tr>
        <w:trPr/>
        <w:tc>
          <w:tcPr>
            <w:tcW w:w="159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(3)</w:t>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2,584,065 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3,186,984 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743,539 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content delivery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contribution</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2,010,889 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2,284,672 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 development - unallocated (2)</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1,490,941 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from sale of divested operation</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expenses and other, net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647,035 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70"/>
        <w:gridCol w:w="1277"/>
        <w:gridCol w:w="1281"/>
        <w:gridCol w:w="211"/>
        <w:gridCol w:w="976"/>
        <w:gridCol w:w="109"/>
        <w:gridCol w:w="211"/>
        <w:gridCol w:w="826"/>
        <w:gridCol w:w="109"/>
        <w:gridCol w:w="211"/>
        <w:gridCol w:w="826"/>
        <w:gridCol w:w="109"/>
        <w:gridCol w:w="211"/>
        <w:gridCol w:w="826"/>
        <w:gridCol w:w="109"/>
        <w:gridCol w:w="211"/>
        <w:gridCol w:w="976"/>
        <w:gridCol w:w="156"/>
      </w:tblGrid>
      <w:tr>
        <w:trPr/>
        <w:tc>
          <w:tcPr>
            <w:tcW w:w="157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(3)</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2,519,074 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3,220,584 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791,116 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content delivery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contribution</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1,926,680 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2,222,915 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 development - unallocated (2)</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1,507,196 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12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12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expenses and other, net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584,801 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(1)Other expenses consists primarily of travel and entertainment and workplace expenses.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unallocated amounts consist of certain bonus and fringe costs recorded in consolidated Cost of services and product development that are not allocated to segment expense. The Company’s policy is to allocate bonuses to segments at 100% of a segment employee’s target bonus. Amounts above or below 100% are absorbed by corporate.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(3)Other includes the Company's Digital Markets operating segment, which was divested during the three months ended March 31, 2026. See Note 2 — Divestiture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8 —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total outstanding borrowings are summarized in the table below (in thousands).</w:t>
      </w:r>
    </w:p>
    <w:tbl>
      <w:tblPr>
        <w:tblW w:w="8256" w:type="dxa"/>
        <w:jc w:val="left"/>
        <w:tblInd w:w="0" w:type="dxa"/>
        <w:tblLayout w:type="fixed"/>
        <w:tblCellMar>
          <w:top w:w="28" w:type="dxa"/>
          <w:left w:w="28" w:type="dxa"/>
          <w:bottom w:w="28" w:type="dxa"/>
          <w:right w:w="28" w:type="dxa"/>
        </w:tblCellMar>
      </w:tblPr>
      <w:tblGrid>
        <w:gridCol w:w="1799"/>
        <w:gridCol w:w="1581"/>
        <w:gridCol w:w="1585"/>
        <w:gridCol w:w="109"/>
        <w:gridCol w:w="109"/>
        <w:gridCol w:w="109"/>
        <w:gridCol w:w="211"/>
        <w:gridCol w:w="976"/>
        <w:gridCol w:w="109"/>
        <w:gridCol w:w="109"/>
        <w:gridCol w:w="109"/>
        <w:gridCol w:w="109"/>
        <w:gridCol w:w="211"/>
        <w:gridCol w:w="976"/>
        <w:gridCol w:w="154"/>
      </w:tblGrid>
      <w:tr>
        <w:trPr/>
        <w:tc>
          <w:tcPr>
            <w:tcW w:w="179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Credit Agreement - Revolving credit facility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4.50% Senior Notes due 2028 (“2028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3.63% Senior Notes due 2029 (“2029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3.75% Senior Notes due 2030 (“2030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4.95% Senior Notes due 2031 (“2031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5.60% Senior Notes due 2035 (“2035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 outstanding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3,005,000 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Deferred financing fees and unamortized discounts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sheet carrying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2,979,281 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2,981,674 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 had approximately $1.0 billion of available borrowing capacity on the 2024 Credit Agreement revolver (not including the expansion feature) as of June 30,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(2)Consists of a State of Connecticut economic development loan originated in 2019 with a 10-year maturity and bore interest at a fixed rate of 1.75%. The Company repaid the loan in April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weighted average annual effective rate on the Company’s outstanding debt for the three and six months ended June 30, 2026, was 4.31% and 4.32%, respectively.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(4)Deferred financing fees and unamortized discounts are being amortized to Interest expense, net over the term of the related debt obligation.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2024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26, 2024, the Company entered into a Credit Agreement (the “2024 Credit Agreement”) among the Company, as borrower, the lenders party thereto and JPMorgan Chase Bank, N.A., as administrative agent.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2024 Credit Agreement provides for a $1.0 billion senior unsecured five-year revolving facility. The facility may be increased, at the Company’s option and under certain conditions, by up to an additional $750 million in the aggregate. The facility may be used for revolving loans, and up to $75.0 million may be used for letters of credit. The revolving loans may be borrowed, repaid and re-borrowed until March 26, 2029, at which time all amounts borrowed must be repaid, subject to customary extension mechanics. The 2024 Credit Agreement contains certain customary restrictive loan covenants, including, among others, a financial covenant requiring a maximum leverage ratio and covenants limiting the Company’s ability to grant liens, make acquisitions, be acquired and the ability of the Company’s subsidiaries to incur indebtedness. The Company was in compliance with all financial covenants as of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under the revolving facility accrues, at a variable rate, based on, at our option, (i) the Term Secured Overnight Funding Rate (“SOFR”) plus a credit spread adjustment of 0.10% or (ii) an alternate base rate (“Base Rate”) plus, in each case, an applicable margin, and is payable monthly. The applicable margin ranges between 1.125% and 1.75%, depending on the lower rate determined by either the Company’s leverage ratio or the credit rating of the Company’s senior unsecured debt. At June 30, 2026, the applicable all-in margin on the revolving facility was 1.48% (including the credit spread adjustment). The contractual annualized interest rate as of June 30, 2026 on the 2024 Credit Agreement was 5.23%, which consisted of SOFR of 3.75% plus a margin of 1.48%. The commitment fee payable on the unused portion of the facility is equal to between 0.125% and 0.25% based on utilization of the facility. The Company has also agreed to pay customary letter of credit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2031 and 2035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20, 2025, the Company completed the public offering and issuance of $350.0 million aggregate principal amount of its 4.950% Senior Notes due 2031 and $450.0 million aggregate principal amount of its 5.600% Senior Notes due 2035 (together, the “Notes”). The 2031 Notes were issued at an issue price of 99.970% and the 2035 Notes were issued at an issue price of 99.992%. The Notes were offered and sold pursuant to Gartner’s automatic shelf registration statement on Form S-3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(File No. 333-291447) and the prospectus included therein, filed with the Securities and Exchange Commission on November 12, 2025, and supplemented by the prospectus supplement dated November 13,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received approximately $799.9 million in net proceeds, after discounts and before underwriting fees and offering expenses, from the sale of the Notes. The Company used a portion of the net proceeds from the offering of the Notes to repay the $274.4 million then outstanding under the 2024 Credit Agreement and to pay related fees and expenses, with remaining amounts to be used for general corporate purposes, which may include, without limitation, potential repurchases of its Common Stock.</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2029 Notes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18, 2021, the Company issued $600.0 million aggregate principal amount of 3.625% Senior Notes due 2029. The 2029 Notes were issued at an issue price of 100.0% and bear interest at a rate of 3.625% per annum. Interest on the 2029 Notes is payable on June 15 and December 15 of each year, beginning on December 15, 2021. The 2029 Notes will mature on June 15, 2029. The Company may redeem some or all of the 2029 Notes at any time on or after June 15, 2024 for cash at the redemption prices set forth in the 2029 Notes Indenture, plus accrued and unpaid interest to, but excluding, the redemption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2030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28, 2020, the Company issued $800.0 million aggregate principal amount of 3.75% Senior Notes due 2030. The 2030 Notes were issued at an issue price of 100.0% and bear interest at a rate of 3.75% per annum. Interest on the 2030 Notes is payable on April 1 and October 1 of each year, beginning on April 1, 2021. The 2030 Notes will mature on October 1, 2030.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redeem some or all of the 2030 Notes at any time on or after October 1, 2025 for cash at the redemption prices set forth in the 2030 Note Indenture, plus accrued and unpaid interest to, but excluding, the redemption date. Prior to October 1, 2025, the Company may redeem up to 40% of the aggregate principal amount of the 2030 Notes in connection with certain equity offerings, or some or all of the 2030 Notes with a “make-whole” premium, in each case subject to the terms set forth in the 2030 Note Indenture.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2028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22, 2020, the Company issued $800.0 million aggregate principal amount of 4.50% Senior Notes due 2028. The 2028 Notes were issued at an issue price of 100.0% and bear interest at a rate of 4.50% per annum. Interest on the 2028 Notes is payable on January 1 and July 1 of each year, beginning on January 1, 2021. The 2028 Notes will mature on July 1, 2028.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redeem some or all of the 2028 Notes at any time on or after July 1, 2023 for cash at the redemption prices set forth in the 2028 Note Indenture, plus accrued and unpaid interest to, but excluding, the redemption date.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 9 —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Share Repurchase Authorization</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2015, the Company’s Board of Directors (the “Board”) authorized a share repurchase program to repurchase up to $1.2 billion of the Company’s Common Stock. The Board authorized incremental share repurchases of up to an aggregate additional $6.9 billion of the Company’s Common Stock from February 2021 to April 2026. As of June 30, 2026, $0.8 billion remained available under the share repurchase program.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share repurchase activity is presented in the table below for the periods indicated.</w:t>
      </w:r>
    </w:p>
    <w:tbl>
      <w:tblPr>
        <w:tblW w:w="10205" w:type="dxa"/>
        <w:jc w:val="left"/>
        <w:tblInd w:w="0" w:type="dxa"/>
        <w:tblLayout w:type="fixed"/>
        <w:tblCellMar>
          <w:top w:w="28" w:type="dxa"/>
          <w:left w:w="28" w:type="dxa"/>
          <w:bottom w:w="28" w:type="dxa"/>
          <w:right w:w="28" w:type="dxa"/>
        </w:tblCellMar>
      </w:tblPr>
      <w:tblGrid>
        <w:gridCol w:w="1491"/>
        <w:gridCol w:w="1310"/>
        <w:gridCol w:w="1315"/>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6"/>
      </w:tblGrid>
      <w:tr>
        <w:trPr/>
        <w:tc>
          <w:tcPr>
            <w:tcW w:w="1491"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Number of shares repurchased (1)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3,630,175 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659,883 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6,940,428 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960,628 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repurchased shares (in thousands)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average purchase price for repurchased shares was $148.93 and $417.99 for the three months ended June 30, 2026 and 2025, respectively, and $153.49 and $446.06 for the six months ended June 30, 2026 and 2025, respectively. The repurchased shares during the three and six months ended June 30, 2026 and 2025 included purchases for both open market purchases and stock-based compensation award settlements.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cash paid for repurchased shares during the six months ended June 30, 2026 excluded excise tax accrued and included $10.0 million of open market purchases with trade dates in December 2025 that settled in January 2026. The cash paid for repurchased shares during the three months ended June 30, 2026 excluded $11.3 million of open market purchases with trade dates in June 2026 that settled in July 2026 and excise tax accrued. The cash paid for repurchased shares during the six months ended June 30, 2025 included $10.0 million of open market purchases with trade dates in December 2024 that settled in January 2025. The cash paid for repurchased shares during the three months ended June 30, 2025 excluded $6.0 million of open market purchases with trade dates in June 2025 that settled in July 2025 and excise tax accrued.</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Accumulated Other Comprehensive Loss, net (“AOCL”)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tables below provide information about the changes in AOCL by component and the related amounts reclassified out of AOCL to income during the periods indicated (net of tax, in thousands) (1).</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Three Months Ended June 30, 2026</w:t>
      </w:r>
    </w:p>
    <w:tbl>
      <w:tblPr>
        <w:tblW w:w="9458" w:type="dxa"/>
        <w:jc w:val="left"/>
        <w:tblInd w:w="0" w:type="dxa"/>
        <w:tblLayout w:type="fixed"/>
        <w:tblCellMar>
          <w:top w:w="28" w:type="dxa"/>
          <w:left w:w="28" w:type="dxa"/>
          <w:bottom w:w="28" w:type="dxa"/>
          <w:right w:w="28" w:type="dxa"/>
        </w:tblCellMar>
      </w:tblPr>
      <w:tblGrid>
        <w:gridCol w:w="1866"/>
        <w:gridCol w:w="1641"/>
        <w:gridCol w:w="1652"/>
        <w:gridCol w:w="266"/>
        <w:gridCol w:w="872"/>
        <w:gridCol w:w="137"/>
        <w:gridCol w:w="109"/>
        <w:gridCol w:w="109"/>
        <w:gridCol w:w="109"/>
        <w:gridCol w:w="227"/>
        <w:gridCol w:w="796"/>
        <w:gridCol w:w="119"/>
        <w:gridCol w:w="109"/>
        <w:gridCol w:w="109"/>
        <w:gridCol w:w="109"/>
        <w:gridCol w:w="211"/>
        <w:gridCol w:w="796"/>
        <w:gridCol w:w="221"/>
      </w:tblGrid>
      <w:tr>
        <w:trPr/>
        <w:tc>
          <w:tcPr>
            <w:tcW w:w="1866"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Defined</w:t>
              <w:br/>
              <w:t>Benefit</w:t>
              <w:br/>
              <w:t>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March 31, 2026</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(38,924)</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(45,055)</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activity during the period:</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Change in AOCL before reclassifications to income</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(7,892)</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 from AOCL to income (2), (3)</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w:t>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(7,481)</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(7,364)</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June 30, 2026</w:t>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(6,014)</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(46,405)</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(52,419)</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Three Months Ended June 30, 2025</w:t>
      </w:r>
    </w:p>
    <w:tbl>
      <w:tblPr>
        <w:tblW w:w="10205" w:type="dxa"/>
        <w:jc w:val="left"/>
        <w:tblInd w:w="0" w:type="dxa"/>
        <w:tblLayout w:type="fixed"/>
        <w:tblCellMar>
          <w:top w:w="28" w:type="dxa"/>
          <w:left w:w="28" w:type="dxa"/>
          <w:bottom w:w="28" w:type="dxa"/>
          <w:right w:w="28" w:type="dxa"/>
        </w:tblCellMar>
      </w:tblPr>
      <w:tblGrid>
        <w:gridCol w:w="1640"/>
        <w:gridCol w:w="1291"/>
        <w:gridCol w:w="1294"/>
        <w:gridCol w:w="109"/>
        <w:gridCol w:w="109"/>
        <w:gridCol w:w="109"/>
        <w:gridCol w:w="237"/>
        <w:gridCol w:w="764"/>
        <w:gridCol w:w="122"/>
        <w:gridCol w:w="109"/>
        <w:gridCol w:w="109"/>
        <w:gridCol w:w="109"/>
        <w:gridCol w:w="251"/>
        <w:gridCol w:w="810"/>
        <w:gridCol w:w="129"/>
        <w:gridCol w:w="109"/>
        <w:gridCol w:w="109"/>
        <w:gridCol w:w="109"/>
        <w:gridCol w:w="227"/>
        <w:gridCol w:w="795"/>
        <w:gridCol w:w="119"/>
        <w:gridCol w:w="109"/>
        <w:gridCol w:w="109"/>
        <w:gridCol w:w="109"/>
        <w:gridCol w:w="211"/>
        <w:gridCol w:w="780"/>
        <w:gridCol w:w="227"/>
      </w:tblGrid>
      <w:tr>
        <w:trPr/>
        <w:tc>
          <w:tcPr>
            <w:tcW w:w="164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4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w:t>
              <w:br/>
              <w:t xml:space="preserve">Swaps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Defined</w:t>
              <w:br/>
              <w:t>Benefit</w:t>
              <w:br/>
              <w:t>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(56,273)</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(67,849)</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activity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Change in AOCL before reclassifications to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17,789 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 from AOCL to income (2),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17,789 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21,234 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(5,115)</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(38,484)</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(46,615)</w:t>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both"/>
        <w:rPr/>
      </w:pPr>
      <w:r>
        <w:rPr/>
      </w:r>
    </w:p>
    <w:tbl>
      <w:tblPr>
        <w:tblW w:w="10045" w:type="dxa"/>
        <w:jc w:val="left"/>
        <w:tblInd w:w="0" w:type="dxa"/>
        <w:tblLayout w:type="fixed"/>
        <w:tblCellMar>
          <w:top w:w="28" w:type="dxa"/>
          <w:left w:w="28" w:type="dxa"/>
          <w:bottom w:w="28" w:type="dxa"/>
          <w:right w:w="28" w:type="dxa"/>
        </w:tblCellMar>
      </w:tblPr>
      <w:tblGrid>
        <w:gridCol w:w="1869"/>
        <w:gridCol w:w="1642"/>
        <w:gridCol w:w="1648"/>
        <w:gridCol w:w="109"/>
        <w:gridCol w:w="109"/>
        <w:gridCol w:w="109"/>
        <w:gridCol w:w="109"/>
        <w:gridCol w:w="109"/>
        <w:gridCol w:w="109"/>
        <w:gridCol w:w="266"/>
        <w:gridCol w:w="872"/>
        <w:gridCol w:w="137"/>
        <w:gridCol w:w="109"/>
        <w:gridCol w:w="109"/>
        <w:gridCol w:w="109"/>
        <w:gridCol w:w="227"/>
        <w:gridCol w:w="796"/>
        <w:gridCol w:w="119"/>
        <w:gridCol w:w="109"/>
        <w:gridCol w:w="109"/>
        <w:gridCol w:w="109"/>
        <w:gridCol w:w="211"/>
        <w:gridCol w:w="796"/>
        <w:gridCol w:w="154"/>
      </w:tblGrid>
      <w:tr>
        <w:trPr/>
        <w:tc>
          <w:tcPr>
            <w:tcW w:w="1869"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Defined</w:t>
              <w:br/>
              <w:t>Benefit</w:t>
              <w:br/>
              <w:t>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51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(35,071)</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(41,015)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activity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Change in AOCL before reclassifications to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Reclassifications from AOCL to income (2),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(11,334)</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(6,014)</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(46,405)</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55"/>
        <w:gridCol w:w="1282"/>
        <w:gridCol w:w="1287"/>
        <w:gridCol w:w="109"/>
        <w:gridCol w:w="109"/>
        <w:gridCol w:w="109"/>
        <w:gridCol w:w="237"/>
        <w:gridCol w:w="764"/>
        <w:gridCol w:w="122"/>
        <w:gridCol w:w="109"/>
        <w:gridCol w:w="109"/>
        <w:gridCol w:w="109"/>
        <w:gridCol w:w="251"/>
        <w:gridCol w:w="810"/>
        <w:gridCol w:w="129"/>
        <w:gridCol w:w="109"/>
        <w:gridCol w:w="109"/>
        <w:gridCol w:w="109"/>
        <w:gridCol w:w="227"/>
        <w:gridCol w:w="795"/>
        <w:gridCol w:w="119"/>
        <w:gridCol w:w="109"/>
        <w:gridCol w:w="109"/>
        <w:gridCol w:w="109"/>
        <w:gridCol w:w="211"/>
        <w:gridCol w:w="780"/>
        <w:gridCol w:w="228"/>
      </w:tblGrid>
      <w:tr>
        <w:trPr/>
        <w:tc>
          <w:tcPr>
            <w:tcW w:w="1655"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w:t>
              <w:br/>
              <w:t>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Defined</w:t>
              <w:br/>
              <w:t>Benefit</w:t>
              <w:br/>
              <w:t>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2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(73,319)</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(88,333)</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activity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Change in AOCL before reclassifications to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34,835 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 from AOCL to income (2),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6,784 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34,835 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41,718 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(5,115)</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(38,484)</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(46,615)</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(1)Amounts in parentheses represent debits (deferred losses).</w:t>
      </w:r>
    </w:p>
    <w:p>
      <w:pPr>
        <w:pStyle w:val="TextBody"/>
        <w:bidi w:val="0"/>
        <w:spacing w:lineRule="auto" w:line="288" w:before="60" w:after="283"/>
        <w:ind w:left="0" w:right="0" w:hanging="360"/>
        <w:jc w:val="both"/>
        <w:rPr/>
      </w:pPr>
      <w:r>
        <w:rPr>
          <w:rFonts w:ascii="Times New Roman;serif" w:hAnsi="Times New Roman;serif"/>
          <w:b w:val="false"/>
          <w:color w:val="000000"/>
          <w:sz w:val="20"/>
          <w:shd w:fill="FFFFFF" w:val="clear"/>
        </w:rPr>
        <w:t>(2)</w:t>
      </w:r>
      <w:r>
        <w:rPr>
          <w:rFonts w:ascii="Times New Roman;serif" w:hAnsi="Times New Roman;serif"/>
          <w:b w:val="false"/>
          <w:color w:val="000000"/>
          <w:sz w:val="20"/>
        </w:rPr>
        <w:t xml:space="preserve">The reclassifications related to defined benefit pension plans were recorded in Other (expense) income, net.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reclassification related to foreign currency translation adjustments was recorded to Gain from sale of divested operation.</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(4)$4.5 million and $8.9 million of the reclassifications related to interest rate swaps (cash flow hedges) were recorded in Interest expense, net, for the three and six months ended June 30, 2025, respectively. The swap contract matured in September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10 —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was $79.1 million and $77.0 million for the three months ended June 30, 2026 and 2025, respectively. The effective income tax rate was 22.3% and 24.2% for the three months ended June 30, 2026, and 2025, respectively. The decrease in the effective income tax rate in the current period was primarily attributable to a favorable change in the forecasted geographic mix of earnings compared to the same period in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was $149.2 million and $133.1 million for the six months ended June 30, 2026 and 2025, respectively. The effective income tax rate was 23.1% and 22.8% for the six months ended June 30, 2026 and 2025, respectively. The increase in the effective income tax rate in the current period was primarily due to the unfavorable impact of stock-based compensation, partially offset by the favorable release of reserves upon the resolution of the related inquiries as well as a favorable change in the forecasted geographic mix of earnings compared to the same period in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gross unrecognized tax benefits of $297.7 million on June 30, 2026 and $301.6 million on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Recent legislative developments in the U.S. and internationally have introduced significant changes to tax frameworks, including modifications impacting business provisions, international taxation, and global minimum tax requirements. These changes have various effective dates, with some provisions already in effect and others to be implemented over the coming years. While these evolving legislative measures have not had a material impact on the Company’s consolidated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results in the current period, the Company is actively monitoring and assessing their potential effects. The Company will continue to evaluate and reflect the impact of these legislative changes in its future financial statements as appropriate.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11 — Derivatives and Hedging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enters into a limited number of derivative contracts to mitigate the cash flow risk associated with changes in interest rates on variable-rate debt and changes in foreign exchange rates on forecasted foreign currency transactions. The Company accounts for its outstanding derivative contracts in accordance with FASB ASC Topic 815, which requires all derivatives, including derivatives designated as accounting hedges, to be recorded on the balance sheet at fair value. The tables below provide information regarding the Company’s outstanding derivative contracts as of the dates indicated (in thousands, except for number of contracts).</w:t>
      </w:r>
    </w:p>
    <w:p>
      <w:pPr>
        <w:pStyle w:val="TextBody"/>
        <w:bidi w:val="0"/>
        <w:spacing w:before="0" w:after="0"/>
        <w:jc w:val="both"/>
        <w:rPr/>
      </w:pPr>
      <w:r>
        <w:rPr/>
      </w:r>
    </w:p>
    <w:tbl>
      <w:tblPr>
        <w:tblW w:w="9479" w:type="dxa"/>
        <w:jc w:val="left"/>
        <w:tblInd w:w="0" w:type="dxa"/>
        <w:tblLayout w:type="fixed"/>
        <w:tblCellMar>
          <w:top w:w="28" w:type="dxa"/>
          <w:left w:w="28" w:type="dxa"/>
          <w:bottom w:w="28" w:type="dxa"/>
          <w:right w:w="28" w:type="dxa"/>
        </w:tblCellMar>
      </w:tblPr>
      <w:tblGrid>
        <w:gridCol w:w="906"/>
        <w:gridCol w:w="794"/>
        <w:gridCol w:w="804"/>
        <w:gridCol w:w="109"/>
        <w:gridCol w:w="109"/>
        <w:gridCol w:w="109"/>
        <w:gridCol w:w="334"/>
        <w:gridCol w:w="334"/>
        <w:gridCol w:w="336"/>
        <w:gridCol w:w="109"/>
        <w:gridCol w:w="109"/>
        <w:gridCol w:w="109"/>
        <w:gridCol w:w="211"/>
        <w:gridCol w:w="721"/>
        <w:gridCol w:w="109"/>
        <w:gridCol w:w="109"/>
        <w:gridCol w:w="109"/>
        <w:gridCol w:w="109"/>
        <w:gridCol w:w="426"/>
        <w:gridCol w:w="973"/>
        <w:gridCol w:w="220"/>
        <w:gridCol w:w="109"/>
        <w:gridCol w:w="109"/>
        <w:gridCol w:w="109"/>
        <w:gridCol w:w="579"/>
        <w:gridCol w:w="579"/>
        <w:gridCol w:w="582"/>
        <w:gridCol w:w="109"/>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Contract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w:t>
              <w:b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br/>
              <w:t>Asset</w:t>
              <w:br/>
              <w:t>(Liability), Net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w:t>
              <w:br/>
              <w:t>Sheet</w:t>
              <w:br/>
              <w:t>Line Item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forwards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assets/</w:t>
              <w:br/>
              <w:t>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01"/>
        <w:gridCol w:w="794"/>
        <w:gridCol w:w="797"/>
        <w:gridCol w:w="109"/>
        <w:gridCol w:w="109"/>
        <w:gridCol w:w="109"/>
        <w:gridCol w:w="621"/>
        <w:gridCol w:w="621"/>
        <w:gridCol w:w="623"/>
        <w:gridCol w:w="109"/>
        <w:gridCol w:w="109"/>
        <w:gridCol w:w="109"/>
        <w:gridCol w:w="211"/>
        <w:gridCol w:w="826"/>
        <w:gridCol w:w="109"/>
        <w:gridCol w:w="109"/>
        <w:gridCol w:w="109"/>
        <w:gridCol w:w="109"/>
        <w:gridCol w:w="433"/>
        <w:gridCol w:w="955"/>
        <w:gridCol w:w="224"/>
        <w:gridCol w:w="109"/>
        <w:gridCol w:w="109"/>
        <w:gridCol w:w="109"/>
        <w:gridCol w:w="520"/>
        <w:gridCol w:w="520"/>
        <w:gridCol w:w="742"/>
      </w:tblGrid>
      <w:tr>
        <w:trPr/>
        <w:tc>
          <w:tcPr>
            <w:tcW w:w="90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2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Contract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w:t>
              <w:b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br/>
              <w:t>Asset</w:t>
              <w:br/>
              <w:t>(Liability), Net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w:t>
              <w:br/>
              <w:t>Sheet</w:t>
              <w:br/>
              <w:t>Line Item</w:t>
            </w:r>
          </w:p>
        </w:tc>
      </w:tr>
      <w:tr>
        <w:trPr/>
        <w:tc>
          <w:tcPr>
            <w:tcW w:w="24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forwards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assets/</w:t>
              <w:br/>
              <w:t>accrued liabilities</w:t>
            </w:r>
          </w:p>
        </w:tc>
      </w:tr>
      <w:tr>
        <w:trPr/>
        <w:tc>
          <w:tcPr>
            <w:tcW w:w="2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20"/>
          <w:shd w:fill="FFFFFF" w:val="clear"/>
        </w:rPr>
        <w:t>(1)</w:t>
      </w:r>
      <w:r>
        <w:rPr>
          <w:rFonts w:ascii="Times New Roman;serif" w:hAnsi="Times New Roman;serif"/>
          <w:b w:val="false"/>
          <w:color w:val="000000"/>
          <w:sz w:val="20"/>
        </w:rPr>
        <w:t>The Company has foreign exchange transaction risk because it typically enters into transactions in the normal course of business that are denominated in foreign currencies that differ from the local functional currency. The Company enters into short-term foreign currency forward exchange contracts to mitigate the cash flow risk associated with changes in foreign currency rates on forecasted foreign currency transactions. These contracts are accounted for at fair value with realized and unrealized gains and losses recognized in Other (expense) income, net because the Company does not designate these contracts as hedges for accounting purposes. All of the outstanding foreign currency forward exchange contracts at June 30, 2026 matured before July 31, 2026.</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(2)See Note 12 — Fair Value Disclosures for the determination of the fair values of these instruments.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2026, all of the Company’s derivative counterparties were investment grade financial institutions. The Company did not have any collateral arrangements with its derivative counterparties and none of the derivative contracts contained credit-risk related contingent features. The table below provides information regarding amounts recognized in the accompanying Condensed Consolidated Statements of Operations for derivative contracts for the periods indicated (in thousands).</w:t>
      </w:r>
    </w:p>
    <w:p>
      <w:pPr>
        <w:pStyle w:val="TextBody"/>
        <w:bidi w:val="0"/>
        <w:spacing w:before="0" w:after="0"/>
        <w:jc w:val="both"/>
        <w:rPr/>
      </w:pPr>
      <w:r>
        <w:rPr/>
      </w:r>
    </w:p>
    <w:tbl>
      <w:tblPr>
        <w:tblW w:w="7751" w:type="dxa"/>
        <w:jc w:val="left"/>
        <w:tblInd w:w="0" w:type="dxa"/>
        <w:tblLayout w:type="fixed"/>
        <w:tblCellMar>
          <w:top w:w="28" w:type="dxa"/>
          <w:left w:w="28" w:type="dxa"/>
          <w:bottom w:w="28" w:type="dxa"/>
          <w:right w:w="28" w:type="dxa"/>
        </w:tblCellMar>
      </w:tblPr>
      <w:tblGrid>
        <w:gridCol w:w="962"/>
        <w:gridCol w:w="844"/>
        <w:gridCol w:w="848"/>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 recorded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(1)Consists of interest expense from interest rate swap contracts.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(2)Consists of net realized and unrealized gains and losses on foreign currency forward contracts and in 2025 also included a gain on a de-designated interest rate swap.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12 — Fair Value Disclosures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financial instruments include cash equivalents, fees receivable from customers, accounts payable and accrued liabilities, all of which are normally short-term in nature. The Company believes that the carrying amounts of these financial instruments reasonably approximate their fair values due to their short-term nature. The Company’s financial instruments also include its outstanding variable-rate borrowings under the 2024 Credit Agreement. The Company believes that the carrying amounts of its variable-rate borrowings reasonably approximate their fair values because the rates of interest on those borrowings reflect current market rates of interest for similar instruments with comparable maturities.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enters into a limited number of derivatives transactions but does not enter into repurchase agreements, securities lending transactions or master netting arrangements. Receivables or payables that result from derivatives transactions are recorded gross in the Company’s Condensed Consolidated Balance Sheets.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FASB ASC Topic 820 provides a framework for the measurement of fair value and a valuation hierarchy based on the transparency of inputs used in the valuation of assets and liabilities. Classification within the valuation hierarchy is based on the lowest level of input that is significant to the resulting fair value measurement. The valuation hierarchy contains three levels. Level 1 measurements consist of quoted prices in active markets for identical assets or liabilities. Level 2 measurements include significant other observable inputs such as quoted prices for similar assets or liabilities in active markets; identical assets or liabilities in inactive markets; observable inputs such as interest rates and yield curves; and other market-corroborated inputs. Level 3 measurements include significant unobservable inputs such as internally-created valuation models. Generally, the Company does not utilize Level 3 valuation inputs to remeasure any of its assets or liabilities. However, Level 3 inputs may be used by the Company when certain long-lived assets, including identifiable intangible assets, goodwill, and right-of-use assets are measured at fair value on a nonrecurring basis when there are indicators of impairment. Additionally, Level 3 inputs may be used by the Company in its required annual impairment review of goodwill. Information regarding the periodic assessment of the Company’s goodwill is included in Note 3 — Goodwill and Intangible Assets. The Company does not typically transfer assets or liabilities between different levels of the valuation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fair values of certain financial assets and liabilities that are measured at fair value on a recurring basis in the Company's financial statements (in thousands).</w:t>
      </w:r>
    </w:p>
    <w:tbl>
      <w:tblPr>
        <w:tblW w:w="6643" w:type="dxa"/>
        <w:jc w:val="left"/>
        <w:tblInd w:w="0" w:type="dxa"/>
        <w:tblLayout w:type="fixed"/>
        <w:tblCellMar>
          <w:top w:w="28" w:type="dxa"/>
          <w:left w:w="28" w:type="dxa"/>
          <w:bottom w:w="28" w:type="dxa"/>
          <w:right w:w="28" w:type="dxa"/>
        </w:tblCellMar>
      </w:tblPr>
      <w:tblGrid>
        <w:gridCol w:w="1283"/>
        <w:gridCol w:w="1127"/>
        <w:gridCol w:w="1129"/>
        <w:gridCol w:w="109"/>
        <w:gridCol w:w="109"/>
        <w:gridCol w:w="109"/>
        <w:gridCol w:w="211"/>
        <w:gridCol w:w="826"/>
        <w:gridCol w:w="109"/>
        <w:gridCol w:w="109"/>
        <w:gridCol w:w="109"/>
        <w:gridCol w:w="109"/>
        <w:gridCol w:w="231"/>
        <w:gridCol w:w="905"/>
        <w:gridCol w:w="168"/>
      </w:tblGrid>
      <w:tr>
        <w:trPr/>
        <w:tc>
          <w:tcPr>
            <w:tcW w:w="128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5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Values based on Level 1 inputs: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1 inputs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19,188 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Values based on Level 2 inputs: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155,949 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2 inputs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157,118 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176,306 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Values based on Level 2 inputs: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compensation plan liabilities (1)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178,331 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2 inputs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179,270 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179,270 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 has a deferred compensation plan for the benefit of certain highly compensated officers, managers and other key employees. The assets consist of investments in money market funds, mutual funds and company-owned life insurance contracts, which are valued based on Level 1 or Level 2 inputs. The related deferred compensation plan liabilities are recorded at fair value, or the estimated amount needed to settle the liability, which the Company considers to be a Level 2 input.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Company enters into foreign currency forward exchange contracts to hedge the effects of adverse fluctuations in foreign currency exchange rates (see Note 11 — Derivatives and Hedging). Valuation of these contracts is based on observable foreign currency exchange rates in active markets, which the Company considers to be a Level 2 input.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the carrying amounts (net of deferred financing costs) and fair values of financial instruments that are not recorded at fair value in the Company’s Condensed Consolidated Balance Sheets (in thousands). The estimated fair value of the financial instruments was derived from quoted market prices provided by an independent dealer, which the Company considers to be a Level 2 input. </w:t>
      </w:r>
    </w:p>
    <w:tbl>
      <w:tblPr>
        <w:tblW w:w="7633" w:type="dxa"/>
        <w:jc w:val="left"/>
        <w:tblInd w:w="0" w:type="dxa"/>
        <w:tblLayout w:type="fixed"/>
        <w:tblCellMar>
          <w:top w:w="28" w:type="dxa"/>
          <w:left w:w="28" w:type="dxa"/>
          <w:bottom w:w="28" w:type="dxa"/>
          <w:right w:w="28" w:type="dxa"/>
        </w:tblCellMar>
      </w:tblPr>
      <w:tblGrid>
        <w:gridCol w:w="397"/>
        <w:gridCol w:w="349"/>
        <w:gridCol w:w="350"/>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787,488 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2,982,212 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2,980,140 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2,853,135 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2,938,590 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 13 — Contingencies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Legal Matters.</w:t>
      </w:r>
      <w:r>
        <w:rPr>
          <w:color w:val="000000"/>
        </w:rPr>
        <w:t xml:space="preserve"> </w:t>
      </w:r>
      <w:r>
        <w:rPr>
          <w:rFonts w:ascii="Times New Roman;serif" w:hAnsi="Times New Roman;serif"/>
          <w:b w:val="false"/>
          <w:color w:val="000000"/>
          <w:sz w:val="20"/>
        </w:rPr>
        <w:t>The Company is involved in legal proceedings, claims and compliance matters arising in the ordinary course of business. The Company records a provision in its consolidated financial statements when it is determined that an unfavorable outcome in one of these matters is probable and the amount of the loss can be reasonably estimated. The Company believes that the potential liability, if any, in excess of amounts already accrued for these contingencies will not have a material effect on its financial position, cash flows or results of operations when resolved in a future period.</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Indemnifications.</w:t>
      </w:r>
      <w:r>
        <w:rPr>
          <w:color w:val="000000"/>
        </w:rPr>
        <w:t xml:space="preserve"> </w:t>
      </w:r>
      <w:r>
        <w:rPr>
          <w:rFonts w:ascii="Times New Roman;serif" w:hAnsi="Times New Roman;serif"/>
          <w:b w:val="false"/>
          <w:color w:val="000000"/>
          <w:sz w:val="20"/>
        </w:rPr>
        <w:t>The Company has various agreements that may obligate it to indemnify the other party with respect to certain matters. Generally, these indemnification clauses are included in contracts arising in the normal course of business under which the Company customarily agrees to hold the other party harmless against losses arising from a breach of representations related to matters such as title to assets sold and licensed or certain intellectual property rights. It is not possible to predict the maximum potential amount of future payments under these indemnification agreements due to the conditional nature of the Company’s obligations and the unique facts of each particular agreement. Historically, payments made by the Company under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agreements have not been material. As of June 30, 2026, the Company did not have any material payment obligations under any such indemnification agreements.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 14 —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leasing activities are primarily for facilities under cancelable and non-cancelable lease agreements expiring during 2026 and through 2038. These facilities support our executive and administrative activities, sales, systems support, operations, and other functions. The Company also has leases for office equipment and other assets, which are not significant. Certain of these lease agreements include (i) renewal options to extend the lease term for up to fifteen years and/or (ii) options to terminate the agreement within one year. Additionally, certain of the Company’s lease agreements provide standard recurring escalations of lease payments for, among other things, increases in a lessor’s maintenance costs and taxes. Under some lease agreements, the Company may be entitled to allowances, free rent, lessor-financed tenant improvements and other incentives. The Company’s lease agreements do not contain any material residual value guarantees or material restrictive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subleases certain office space that it does not intend to occupy. Such sublease arrangements expire during 2027 and through 2032 and primarily relate to facilities in Arlington, Virginia. Certain of the Company’s sublease agreements: (i) include renewal and termination options; (ii) provide for customary escalations of lease payments in the normal course of business; and (iii) grant the subtenant certain allowances, free rent, Gartner-financed tenant improvements and other incentives.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of the Company’s leasing and subleasing activity is recognized in Selling, general and administrative expense in the accompanying Condensed Consolidated Statements of Operations. The table below presents the Company’s net lease cost and certain other information related to the Company’s leasing activities as of and for the periods indicated (dollars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721"/>
        <w:gridCol w:w="1481"/>
        <w:gridCol w:w="1485"/>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72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w:t>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47,644 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cost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 net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67,037 </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receipts from sublease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15,119 </w:t>
            </w:r>
          </w:p>
        </w:tc>
        <w:tc>
          <w:tcPr>
            <w:tcW w:w="1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(1)Included in operating lease cost was $8.0 million and $8.4 million for the three months ended June 30, 2026 and 2025, respectively, and $16.0 million and $16.9 million for the six months ended June 30, 2026 and 2025, respectively, for costs related to subleasing activities.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(2)These amounts are primarily variable lease and non-lease costs that are not fixed at the lease commencement date or are dependent on something other than an index or a rate.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Company did not capitalize any operating lease costs during any of the periods presented.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indicates where the discounted operating lease payments from the above table are classified in the accompanying Condensed Consolidated Balance Sheets (in thousands).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2575"/>
        <w:gridCol w:w="2261"/>
        <w:gridCol w:w="2267"/>
        <w:gridCol w:w="109"/>
        <w:gridCol w:w="109"/>
        <w:gridCol w:w="109"/>
        <w:gridCol w:w="211"/>
        <w:gridCol w:w="826"/>
        <w:gridCol w:w="109"/>
        <w:gridCol w:w="109"/>
        <w:gridCol w:w="109"/>
        <w:gridCol w:w="109"/>
        <w:gridCol w:w="230"/>
        <w:gridCol w:w="902"/>
        <w:gridCol w:w="170"/>
      </w:tblGrid>
      <w:tr>
        <w:trPr/>
        <w:tc>
          <w:tcPr>
            <w:tcW w:w="2575"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1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96,076 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270,200 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 included in the Condensed Consolidated Balance Sheets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366,276 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 15 — Subsequent Event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30, 2026, the Company’s Board of Directors authorized incremental share repurchases of up to an additional $500.0 million of Gartner’s Common Stock. This authorization is in addition to the previously authorized repurchases of up to $8.1 billion, which, as of the end of July 2026, had approximately $640.0 million remaining.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purpose </w:t>
      </w:r>
      <w:r>
        <w:rPr>
          <w:rFonts w:ascii="Times New Roman;serif" w:hAnsi="Times New Roman;serif"/>
          <w:b w:val="false"/>
          <w:color w:val="000000"/>
          <w:sz w:val="20"/>
        </w:rPr>
        <w:t>of this Management’s Discussion and Analysis (“MD&amp;A”) is to facilitate an understanding of significant factors influencing the quarterly operating results, financial condition and cash flows of Gartner, Inc. Additionally, the MD&amp;A conveys our expectations of the potential impact of known trends, events or uncertainties that may impact future results. You should read this discussion in conjunction with our Condensed Consolidated Financial Statements and related notes included in this Quarterly Report on Form 10-Q and our Annual Report on Form 10-K for the year ended December 31, 2025 (the “2025 Form 10-K”). Historical results and percentage relationships are not necessarily indicative of operating results for future periods. References to “Gartner,” the “Company,” “we,” “our” and “us” in this MD&amp;A are to Gartner, Inc. and its consolidated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In addition to historical inf</w:t>
      </w:r>
      <w:r>
        <w:rPr>
          <w:rFonts w:ascii="Times New Roman;serif" w:hAnsi="Times New Roman;serif"/>
          <w:b w:val="false"/>
          <w:color w:val="000000"/>
          <w:sz w:val="20"/>
        </w:rPr>
        <w:t>ormation, this Quarterly Report on Form 10-Q contains certain forward-looking statements within the meaning of Section 27A of the Securities Act of 1933, as amended, and Section 21E of the Securities Exchange Act of 1934, as amended. Forward-looking statements are any statements other than statements of historical fact, including statements regarding our expectations, beliefs, hopes, intentions, projections or strategies regarding the future. In some cases, forward-looking statements can be identified by the use of words such as “may,” “will,” “expect,” “should,” “could,” “believe,” “plan,” “anticipate,” “estimate,” “predict,” “potential,” “continue” or other words of similar meaning.</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We operate i</w:t>
      </w:r>
      <w:r>
        <w:rPr>
          <w:rFonts w:ascii="Times New Roman;serif" w:hAnsi="Times New Roman;serif"/>
          <w:b w:val="false"/>
          <w:color w:val="000000"/>
          <w:sz w:val="20"/>
        </w:rPr>
        <w:t>n a very competitive and rapidly changing environment that involves numerous known and unknown risks and uncertainties, some of which are beyond our control. Although we believe that the expectations reflected in any of our forward-looking statements are reasonable, actual results could differ materially from those projected or assumed in any of our forward-looking statements. Our future quarterly and annual revenues, operating income, results of operations and cash flows, as well as any forward-looking statement, are subject to change and to inherent risks and uncertainties, such as those disclosed or incorporated by reference in our filings with the Securities and Exchange Commission. Important factors that could cause our actual results, performance and achievements, or industry results to differ materially from estimates or projections contained in our forward-looking statements include, among others, the following: our ability to maintain and expand our products and services; our ability to keep pace with technological and industry developments in artificial intelligence (“AI”) and comply with evolving AI regulations; our ability to achieve continued customer renewals and achieve new contract value, backlog and deferred revenue growth in light of competitive pressures; our ability to grow or sustain revenue from individual customers; our ability to expand or retain our customer base; our ability to carry out our strategic initiatives and manage associated costs; the timing of conferences and meetings, in particular our Gartner Symposium/Xpo series; our ability to achieve and effectively manage growth, including our ability to integrate our acquisitions and consummate and integrate future acquisitions; our ability to attract and retain a professional staff of analysts and consultants as well as experienced sales personnel upon whom we are dependent, especially in light of labor competition; our ability to successfully compete with existing competitors and potential new competitors; our ability to enforce and protect our intellectual property rights; the impact of cybersecurity incidents or other disruptions to our information systems; our ability to pay our debt obligations; the impact of global economic and geopolitical conditions, including inflation (and related monetary policy by governments in response to inflation) and recession; uncertain effects, both direct and indirect, of changes and volatility in tariffs and trade policies; risks associated with the creditworthiness, budget cuts, priorities and shutdown of governments and agencies; additional risks associated with international operations, including foreign currency fluctuations; the impact on our business resulting from changes in international conditions, including those resulting from tensions in the Middle East, the war in Ukraine and current and future sanctions imposed by governments or other authorities; the impact of restructuring and other charges on our businesses and operations; our ability to meet sustainability commitments and comply with applicable regulatory requirements, as well as potential reactions by customers to these commitments; the impact of changes in tax policy (including global minimum tax legislation) and heightened scrutiny from various taxing authorities globally; changes to laws and regulations; and other risks and uncertainties. The potential fluctuations in our operating income could cause period-to-period comparisons of operating results not to be meaningful and could provide an unreliable indication of future operating results. A description of the risk factors associated with our business is included under “Risk Factors” in Item 1A. of the 2025 Form 10-K, which is incorporated herein by reference.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Forward-looking</w:t>
      </w:r>
      <w:r>
        <w:rPr>
          <w:color w:val="000000"/>
        </w:rPr>
        <w:t xml:space="preserve"> </w:t>
      </w:r>
      <w:r>
        <w:rPr>
          <w:rFonts w:ascii="Times New Roman;serif" w:hAnsi="Times New Roman;serif"/>
          <w:b w:val="false"/>
          <w:color w:val="000000"/>
          <w:sz w:val="20"/>
        </w:rPr>
        <w:t>statements are subject to risks, estimates and uncertainties that could cause actual results to differ materially from those discussed in, or implied by, the forward-looking statements. Factors that might cause such a difference include, but are not limited to, those listed above or described under “Risk Factors” in Item 1A of the 2025 Form 10-K. Readers should not place undue reliance on these forward-looking statements, which reflect management’s opinion only as of the date on which they were made. Forward-looking statements in this Quarterly Report on Form 10-Q speak only as of the date hereof, and forward-looking statements in documents attached that are incorporated by reference speak only as of the date of those documents. Except as required by law, we disclaim any obligation to revise or update these forward-looking statements to reflect events or circumstances as they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Gartner, Inc. (NYSE: IT)</w:t>
      </w:r>
      <w:r>
        <w:rPr>
          <w:color w:val="000000"/>
        </w:rPr>
        <w:t xml:space="preserve"> </w:t>
      </w:r>
      <w:r>
        <w:rPr>
          <w:rFonts w:ascii="Times New Roman;serif" w:hAnsi="Times New Roman;serif"/>
          <w:b w:val="false"/>
          <w:color w:val="000000"/>
          <w:sz w:val="20"/>
        </w:rPr>
        <w:t xml:space="preserve">delivers actionable, objective business and technology insights that drive smarter decisions and stronger performance on an organization’s mission-critical priorities.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deliver our products and services globally through three reportable segments – Business and Technology Insights (“Insights”), Conferences and Consulting, as described below.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Insights</w:t>
      </w:r>
      <w:r>
        <w:rPr>
          <w:color w:val="000000"/>
        </w:rPr>
        <w:t xml:space="preserve"> </w:t>
      </w:r>
      <w:r>
        <w:rPr>
          <w:rFonts w:ascii="Times New Roman;serif" w:hAnsi="Times New Roman;serif"/>
          <w:b w:val="false"/>
          <w:color w:val="000000"/>
          <w:sz w:val="20"/>
        </w:rPr>
        <w:t>equips executives and their teams from every function and across all industries with actionable, objective business and technology insights, guidance and tools. Our experienced experts deliver all this value informed by an unmatched combination of practitioner-sourced and data-driven research to help our clients address their mission critical priorities.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Conferences</w:t>
      </w:r>
      <w:r>
        <w:rPr>
          <w:color w:val="000000"/>
        </w:rPr>
        <w:t xml:space="preserve"> </w:t>
      </w:r>
      <w:r>
        <w:rPr>
          <w:rFonts w:ascii="Times New Roman;serif" w:hAnsi="Times New Roman;serif"/>
          <w:b w:val="false"/>
          <w:color w:val="000000"/>
          <w:sz w:val="20"/>
        </w:rPr>
        <w:t>provides executives and teams across an organization the opportunity to learn, share and network. From industry-leading conferences to peer-driven communities – each focused on the mission-critical priorities of specific business roles – our offerings enable attendees to experience the best of Gartner insights and guidance.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Consulting</w:t>
      </w:r>
      <w:r>
        <w:rPr>
          <w:color w:val="000000"/>
        </w:rPr>
        <w:t xml:space="preserve"> </w:t>
      </w:r>
      <w:r>
        <w:rPr>
          <w:rFonts w:ascii="Times New Roman;serif" w:hAnsi="Times New Roman;serif"/>
          <w:b w:val="false"/>
          <w:color w:val="000000"/>
          <w:sz w:val="20"/>
        </w:rPr>
        <w:t>serves senior executives leading technology-driven strategic initiatives leveraging the power of Gartner’s actionable, objective insights. Through custom analysis and on-the-ground support we enable optimized technology investments and stronger performance on our clients’ mission critical priorities.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we had 19,285 employees globally, a decrease of 8% from June 30, 2025. The largest decreases in headcount were in our Insights segment and the Digital Markets business, primarily in the second half of 2025 and the first quarter of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we completed the sale of the Digital Markets business, for approximately $104.8 million net of cash transferred, subject to post-close adjustments. We recorded a pre-tax gain of $5.4 million on the sale, which is included in Gain from sale of divested operation in the Consolidated Statement of Operations during the six months ended June 30, 2026. The Digital Markets business represented the entirety of our Other segment.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BUSINESS MEASUREMENTS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We believe t</w:t>
      </w:r>
      <w:r>
        <w:rPr>
          <w:rFonts w:ascii="Times New Roman;serif" w:hAnsi="Times New Roman;serif"/>
          <w:b w:val="false"/>
          <w:color w:val="000000"/>
          <w:sz w:val="20"/>
        </w:rPr>
        <w:t xml:space="preserve">hat the following business measurements are important performance indicators for our reportable business segments: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56"/>
        <w:gridCol w:w="377"/>
        <w:gridCol w:w="378"/>
        <w:gridCol w:w="109"/>
        <w:gridCol w:w="109"/>
        <w:gridCol w:w="109"/>
        <w:gridCol w:w="2582"/>
        <w:gridCol w:w="2514"/>
        <w:gridCol w:w="3571"/>
      </w:tblGrid>
      <w:tr>
        <w:trPr/>
        <w:tc>
          <w:tcPr>
            <w:tcW w:w="45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MEASUREMENT</w:t>
            </w:r>
          </w:p>
        </w:tc>
      </w:tr>
      <w:tr>
        <w:trPr/>
        <w:tc>
          <w:tcPr>
            <w:tcW w:w="1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Insights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shd w:fill="FFFFFF" w:val="clear"/>
              </w:rPr>
              <w:t>Contract value</w:t>
            </w:r>
            <w:r>
              <w:rPr>
                <w:color w:val="000000"/>
                <w:shd w:fill="FFFFFF" w:val="clear"/>
              </w:rPr>
              <w:t xml:space="preserve"> </w:t>
            </w:r>
            <w:r>
              <w:rPr>
                <w:rFonts w:ascii="Times New Roman;serif" w:hAnsi="Times New Roman;serif"/>
                <w:b w:val="false"/>
                <w:color w:val="000000"/>
                <w:sz w:val="20"/>
              </w:rPr>
              <w:t xml:space="preserve">represents the dollar value attributable to all of our subscription-related contracts. It is calculated as the annualized value of all contracts in effect at a specific point in time, without regard to the duration of the contract. Contract value primarily includes Insights deliverables for which revenue is recognized on a ratable basis, as well as other deliverables (primarily Conferences tickets) for which revenue is recognized when the deliverable is utilized. Comparing contract value year-over-year not only measures the short-term growth of our business, but also signals the long-term health of our Insights subscription business since it measures revenue that is highly likely to recur over a multi-year period. Our contract value consists of </w:t>
            </w:r>
            <w:r>
              <w:rPr>
                <w:rFonts w:ascii="Times New Roman;serif" w:hAnsi="Times New Roman;serif"/>
                <w:b/>
                <w:color w:val="000000"/>
                <w:sz w:val="20"/>
              </w:rPr>
              <w:t>Global Technology Sales</w:t>
            </w:r>
            <w:r>
              <w:rPr>
                <w:color w:val="000000"/>
              </w:rPr>
              <w:t xml:space="preserve"> </w:t>
            </w:r>
            <w:r>
              <w:rPr>
                <w:rFonts w:ascii="Times New Roman;serif" w:hAnsi="Times New Roman;serif"/>
                <w:b w:val="false"/>
                <w:color w:val="000000"/>
                <w:sz w:val="20"/>
              </w:rPr>
              <w:t xml:space="preserve">contract value, which includes sales to users and providers of technology, and </w:t>
            </w:r>
            <w:r>
              <w:rPr>
                <w:rFonts w:ascii="Times New Roman;serif" w:hAnsi="Times New Roman;serif"/>
                <w:b/>
                <w:color w:val="000000"/>
                <w:sz w:val="20"/>
              </w:rPr>
              <w:t>Global Business Sales</w:t>
            </w:r>
            <w:r>
              <w:rPr>
                <w:color w:val="000000"/>
              </w:rPr>
              <w:t xml:space="preserve"> </w:t>
            </w:r>
            <w:r>
              <w:rPr>
                <w:rFonts w:ascii="Times New Roman;serif" w:hAnsi="Times New Roman;serif"/>
                <w:b w:val="false"/>
                <w:color w:val="000000"/>
                <w:sz w:val="20"/>
              </w:rPr>
              <w:t>contract value, which includes sales to all other functional leaders.</w:t>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shd w:fill="FFFFFF" w:val="clear"/>
              </w:rPr>
              <w:t>Client retention rate</w:t>
            </w:r>
            <w:r>
              <w:rPr>
                <w:color w:val="000000"/>
                <w:shd w:fill="FFFFFF" w:val="clear"/>
              </w:rPr>
              <w:t xml:space="preserve"> </w:t>
            </w:r>
            <w:r>
              <w:rPr>
                <w:rFonts w:ascii="Times New Roman;serif" w:hAnsi="Times New Roman;serif"/>
                <w:b w:val="false"/>
                <w:color w:val="000000"/>
                <w:sz w:val="20"/>
              </w:rPr>
              <w:t>represents a measure of client satisfaction and renewed business relationships at a specific point in time. Client retention is calculated on a percentage basis by dividing our current clients, who were also clients a year ago, by all clients from a year ago. Client retention is calculated at an enterprise level, which represents a single company or customer.</w:t>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shd w:fill="FFFFFF" w:val="clear"/>
              </w:rPr>
              <w:t>Wallet retention rate</w:t>
            </w:r>
            <w:r>
              <w:rPr>
                <w:color w:val="000000"/>
              </w:rPr>
              <w:t xml:space="preserve"> </w:t>
            </w:r>
            <w:r>
              <w:rPr>
                <w:rFonts w:ascii="Times New Roman;serif" w:hAnsi="Times New Roman;serif"/>
                <w:b w:val="false"/>
                <w:color w:val="000000"/>
                <w:sz w:val="20"/>
              </w:rPr>
              <w:t>represents a measure of the amount of contract value we have retained with clients over a twelve-month period. Wallet retention is calculated on a percentage basis by dividing the contract value of our current clients, who were also clients a year ago, by the contract value from a year ago, excluding the impact of foreign currency exchange. When wallet retention exceeds client retention, it is an indication of retention of higher-spending clients, or increased spending by retained clients, or both. Wallet retention is calculated at an enterprise level, which represents a single company or customer.</w:t>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Conferences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shd w:fill="FFFFFF" w:val="clear"/>
              </w:rPr>
              <w:t>Number of destination conferences</w:t>
            </w:r>
            <w:r>
              <w:rPr>
                <w:color w:val="000000"/>
              </w:rPr>
              <w:t xml:space="preserve"> </w:t>
            </w:r>
            <w:r>
              <w:rPr>
                <w:rFonts w:ascii="Times New Roman;serif" w:hAnsi="Times New Roman;serif"/>
                <w:b w:val="false"/>
                <w:color w:val="000000"/>
                <w:sz w:val="20"/>
              </w:rPr>
              <w:t>represents the total number of hosted in-person conferences completed during the period. Single day, local meetings are excluded.</w:t>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shd w:fill="FFFFFF" w:val="clear"/>
              </w:rPr>
              <w:t>Number of destination conferences</w:t>
            </w:r>
            <w:r>
              <w:rPr>
                <w:color w:val="000000"/>
              </w:rPr>
              <w:t xml:space="preserve"> </w:t>
            </w:r>
            <w:r>
              <w:rPr>
                <w:rFonts w:ascii="Times New Roman;serif" w:hAnsi="Times New Roman;serif"/>
                <w:b/>
                <w:color w:val="000000"/>
                <w:sz w:val="20"/>
              </w:rPr>
              <w:t>attendees</w:t>
            </w:r>
            <w:r>
              <w:rPr>
                <w:color w:val="000000"/>
              </w:rPr>
              <w:t xml:space="preserve"> </w:t>
            </w:r>
            <w:r>
              <w:rPr>
                <w:rFonts w:ascii="Times New Roman;serif" w:hAnsi="Times New Roman;serif"/>
                <w:b w:val="false"/>
                <w:color w:val="000000"/>
                <w:sz w:val="20"/>
              </w:rPr>
              <w:t>represents the total number of people who attend in-person conferences. Single day, local meetings are excluded.</w:t>
            </w:r>
          </w:p>
        </w:tc>
      </w:tr>
      <w:tr>
        <w:trPr/>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7" w:type="dxa"/>
            <w:gridSpan w:val="3"/>
            <w:tcBorders/>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Consulting backlog</w:t>
            </w:r>
            <w:r>
              <w:rPr>
                <w:color w:val="000000"/>
              </w:rPr>
              <w:t xml:space="preserve"> </w:t>
            </w:r>
            <w:r>
              <w:rPr>
                <w:rFonts w:ascii="Times New Roman;serif" w:hAnsi="Times New Roman;serif"/>
                <w:b w:val="false"/>
                <w:color w:val="000000"/>
                <w:sz w:val="20"/>
              </w:rPr>
              <w:t>represents future revenue to be derived from in-process consulting and benchmark analytics engagements.</w:t>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shd w:fill="FFFFFF" w:val="clear"/>
              </w:rPr>
              <w:t>Utilization rate</w:t>
            </w:r>
            <w:r>
              <w:rPr>
                <w:color w:val="000000"/>
              </w:rPr>
              <w:t xml:space="preserve"> </w:t>
            </w:r>
            <w:r>
              <w:rPr>
                <w:rFonts w:ascii="Times New Roman;serif" w:hAnsi="Times New Roman;serif"/>
                <w:b w:val="false"/>
                <w:color w:val="000000"/>
                <w:sz w:val="20"/>
              </w:rPr>
              <w:t>represents a measure of productivity of our consultants. Utilization rates are calculated for billable headcount on a percentage basis by dividing total hours billed by total hours available to bill.</w:t>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EXECUTIVE SUMMARY OF OPERATIONS AND FINANCIAL POSITION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fundamentals of our strategy include a focus on creating actionable business and technology insights for executives and their teams, delivering innovative and highly differentiated product offerings, building a strong sales capability, providing world class client service with a focus on client engagement and retention, and continuously improving our operational effectiveness.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had total revenues of $1.7 billion during the second quarter of 2026, a decrease of 1% compared to the second quarter of 2025. The decrease was primarily due to the sale of the Digital Markets business in February 2026. During the second quarter of 2026, compared to the second quarter of 2025, Insights revenues increased by 2%, Conferences revenues increased by 15%, and Consulting revenues decreased by 9%. For a more complete discussion of our results by segment, see Segment Results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second quarter of 2026 and 2025, we had net income of $275.5 million and $240.8 million, respectively, and diluted net income per share of $4.14 and $3.11, respectively. Cash provided by operating activities was $789.3 million and $697.1 million during the six months ended June 30, 2026 and 2025, respectively. As of June 30, 2026, we had $1.5 billion of cash and cash equivalents and approximately $1.0 billion of available borrowing capacity on our revolving credit facility. For a more complete discussion of our cash flows and financial position, see the Liquidity and Capital Resources section 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information regarding our critical accounting policies and estimates, please refer to Part II, Item 7, “Critical Accounting Policies and Estimates” contained in our Annual Report on Form 10-K for the fiscal year ended December 31, 2025. There have been no material changes to the critical accounting policies previously disclosed in that report.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FASB has issued accounting standards that have not yet become effective and that may impact the Company’s consolidated financial statements or its disclosures in future periods. Note 1 — Business and Basis of Presentation in the Notes to Condensed Consolidated Financial Statements provides information regarding those accounting standards.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Consolidated Results</w:t>
      </w:r>
    </w:p>
    <w:p>
      <w:pPr>
        <w:pStyle w:val="TextBody"/>
        <w:bidi w:val="0"/>
        <w:spacing w:lineRule="auto" w:line="288" w:before="100" w:after="200"/>
        <w:jc w:val="both"/>
        <w:rPr>
          <w:rFonts w:ascii="Times New Roman;serif" w:hAnsi="Times New Roman;serif"/>
          <w:b w:val="false"/>
          <w:color w:val="000000"/>
          <w:sz w:val="20"/>
        </w:rPr>
      </w:pPr>
      <w:r>
        <w:rPr>
          <w:rFonts w:ascii="Times New Roman;serif" w:hAnsi="Times New Roman;serif"/>
          <w:b w:val="false"/>
          <w:color w:val="000000"/>
          <w:sz w:val="20"/>
        </w:rPr>
        <w:t>The table below presents an analysis of selected line items and period-over-period changes in our interim Condensed Consolidated Statements of Operations for the periods indicated (in thousands).</w:t>
      </w:r>
    </w:p>
    <w:tbl>
      <w:tblPr>
        <w:tblW w:w="10205" w:type="dxa"/>
        <w:jc w:val="left"/>
        <w:tblInd w:w="0" w:type="dxa"/>
        <w:tblLayout w:type="fixed"/>
        <w:tblCellMar>
          <w:top w:w="28" w:type="dxa"/>
          <w:left w:w="28" w:type="dxa"/>
          <w:bottom w:w="28" w:type="dxa"/>
          <w:right w:w="28" w:type="dxa"/>
        </w:tblCellMar>
      </w:tblPr>
      <w:tblGrid>
        <w:gridCol w:w="914"/>
        <w:gridCol w:w="725"/>
        <w:gridCol w:w="734"/>
        <w:gridCol w:w="352"/>
        <w:gridCol w:w="1630"/>
        <w:gridCol w:w="181"/>
        <w:gridCol w:w="109"/>
        <w:gridCol w:w="109"/>
        <w:gridCol w:w="109"/>
        <w:gridCol w:w="352"/>
        <w:gridCol w:w="1630"/>
        <w:gridCol w:w="181"/>
        <w:gridCol w:w="109"/>
        <w:gridCol w:w="109"/>
        <w:gridCol w:w="109"/>
        <w:gridCol w:w="287"/>
        <w:gridCol w:w="980"/>
        <w:gridCol w:w="148"/>
        <w:gridCol w:w="109"/>
        <w:gridCol w:w="109"/>
        <w:gridCol w:w="109"/>
        <w:gridCol w:w="254"/>
        <w:gridCol w:w="255"/>
        <w:gridCol w:w="601"/>
      </w:tblGrid>
      <w:tr>
        <w:trPr/>
        <w:tc>
          <w:tcPr>
            <w:tcW w:w="91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w:t>
              <w:br/>
              <w:t>(Decrease)</w:t>
              <w:br/>
              <w:t>%</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Insights</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1,289,870 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1,263,505 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Conferences</w:t>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244,157 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211,407 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w:t>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141,916 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155,594 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9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1,675,943 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1,686,454 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(10,511)</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2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 development</w:t>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486,909 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531,731 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764,592 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776,888 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from sale of divested operation</w:t>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9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378,520 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327,096 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51,424 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Provision for income taxes</w:t>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275,498 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240,783 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34,715 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c>
        <w:tc>
          <w:tcPr>
            <w:tcW w:w="2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44"/>
        <w:gridCol w:w="757"/>
        <w:gridCol w:w="766"/>
        <w:gridCol w:w="344"/>
        <w:gridCol w:w="1593"/>
        <w:gridCol w:w="177"/>
        <w:gridCol w:w="109"/>
        <w:gridCol w:w="109"/>
        <w:gridCol w:w="109"/>
        <w:gridCol w:w="344"/>
        <w:gridCol w:w="1593"/>
        <w:gridCol w:w="177"/>
        <w:gridCol w:w="109"/>
        <w:gridCol w:w="109"/>
        <w:gridCol w:w="109"/>
        <w:gridCol w:w="286"/>
        <w:gridCol w:w="981"/>
        <w:gridCol w:w="148"/>
        <w:gridCol w:w="109"/>
        <w:gridCol w:w="109"/>
        <w:gridCol w:w="109"/>
        <w:gridCol w:w="255"/>
        <w:gridCol w:w="256"/>
        <w:gridCol w:w="603"/>
      </w:tblGrid>
      <w:tr>
        <w:trPr/>
        <w:tc>
          <w:tcPr>
            <w:tcW w:w="94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2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w:t>
              <w:br/>
              <w:t>(Decrease)</w:t>
              <w:br/>
              <w:t>%</w:t>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Insights</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2,584,065 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2,519,074 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64,991 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Conferences</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322,482 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284,004 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261,045 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122,206 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(102,814)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9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3,186,984 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3,220,584 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(33,600)</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 development</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916,216 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1,006,761 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(90,545)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1,490,941 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1,507,196 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59,401 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46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from sale of divested operation</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9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694,612 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605,128 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89,484 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9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(43,314)</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(25,214)</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18,100 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46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Provision for income taxes</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149,193 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133,079 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497,842 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451,722 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46,120 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c>
        <w:tc>
          <w:tcPr>
            <w:tcW w:w="21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GAAP results, we provide foreign currency neutral dollar amounts and percentages for our revenues, certain expenses, contract values and other metrics. These foreign currency neutral dollar amounts and percentages eliminate the effects of exchange rate fluctuations and thus provide a more accurate and meaningful trend in the underlying business performance being measured. We calculate foreign currency neutral dollar amounts by converting the underlying amounts in local currency for different periods into U.S. dollars by applying the same foreign exchange rates to all periods presented.</w:t>
      </w:r>
    </w:p>
    <w:p>
      <w:pPr>
        <w:pStyle w:val="TextBody"/>
        <w:bidi w:val="0"/>
        <w:spacing w:before="60" w:after="283"/>
        <w:jc w:val="both"/>
        <w:rPr/>
      </w:pPr>
      <w:r>
        <w:rPr/>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Total revenues for the three months ended June 30, 2026 were $1.7 billion, a decrease of $10.5 million, or 1% compared to the same period in 2025 on a reported basis and 2% excluding the foreign currency impact. Total revenues for the six months ended June 30, 2026 were $3.2 billion, a decrease of $33.6 million, or 1% compared to the same period in 2025 on a reported basis and 3% excluding the foreign currency impact. The decrease was primarily due to the sale of the Digital Markets business in February 2026. Refer to the section of this MD&amp;A below entitled “Segment Results” for a discussion of revenues and results by reportable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Cost of services and product development was $486.9 million during the three months ended June 30, 2026, a decrease of $44.8 million compared to the same period in 2025, or 8% on a reported basis and 9% excluding the foreign currency impact. The decrease in Cost of services and product development during the three months ended June 30, 2026 was primarily due to a $22.8 million decrease in product and content delivery expenses principally as a result of the sale of the Digital Markets business in February 2026, in addition to a $22.8 million decrease in personnel expenses due to lower headcount. Cost of services and product development as a percent of revenues was 29% and 32% for the three months ended June 30, 2026 and 2025, respectively. Cost of services and product development was $916.2 million during the six months ended June 30, 2026, a decrease of $90.5 million compared to the same period in 2025, or 9% on a reported basis and 10% excluding the foreign currency impact. The decrease in Cost of services and product development during the six months ended June 30, 2026 was primarily due to the same factors that caused the year-over-year quarterly decrease, with a $48.7 million decrease in product and content delivery expenses, in addition to a $42.8 million decrease in personnel expenses. Cost of services and product development as a percent of revenues was 29% and 31% for the six months ended June 30, 2026 and 2025,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(“SG&amp;A”) expense was $764.6 million during the three months ended June 30, 2026, a decrease of $12.3 million compared to the same period in 2025, or 2% on both a reported basis and excluding the foreign currency impact. The decrease in SG&amp;A expense during the three months ended June 30, 2026 was primarily due to reduced severance expenses. SG&amp;A expense was $1.5 billion during the six months ended June 30, 2026, a decrease of $16.3 million compared to the same period in 2025, or 1% on a reported basis and 3% excluding the foreign currency impact. The decrease in SG&amp;A expense during the six months ended June 30, 2026 was primarily due to the same factor that caused the year-over-year quarterly decrease. The number of quota-bearing sales associates in Global Technology Sales decreased by 3% to 3,581 and in Global Business Sales, decreased by 3% to 1,293 compared to June 30, 2025. On a combined basis, the total number of quota-bearing sales associates decreased by 3% when compared to June 30, 2025. SG&amp;A expense as a percent of revenues was 46% during both the three months ended June 30, 2026 and 2025. SG&amp;A expense as a percent of revenues was 47% during both the six months ended June 30, 2026 and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decreased by 18% and 15% during the three and six months ended June 30, 2026, respectively, compared to the same periods in 2025. The decreases for both the three and six months ended June 30, 2026 were primarily due to the sale of the Digital Markets business in February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of intangibles decreased by 1% and 5% during the three and six months ended June 30, 2026, compared to the same periods in 2025, due to certain intangible assets becoming fully amortized in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Gain from sale of divested operation of $5.4 million during the six months ended June 30, 2026 was attributable to the sale of the Digital Markets business in February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income was $378.5 million and $327.1 million during the three months ended June 30, 2026 and 2025, respectively. Operating income was $694.6 million and $605.1 million during the six months ended June 30, 2026 and 2025, respectively. The increase in operating income for both the three and six months ended June 30, 2026 as compared to the prior year periods was primarily due to the reduction in operating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net increased by $10.5 million and $18.1 million during the three and six months ended June 30, 2026, respectively, compared to the same period in 2025. The increase for the three and six months ended June 30, 2026 was due to a decrease in interest income, as a result of lower average cash balances than the prior year as well as an increase in interest expense related to the issuance of our 2031 and 2035 Notes in November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(expense) income, net for the periods presented herein primarily consisted of the net impact of foreign currency gains and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was $79.1 million and $77.0 million for the three months ended June 30, 2026 and 2025, respectively. The effective income tax rate was 22.3% and 24.2% for the three months ended June 30, 2026, and 2025, respectively. The decrease in the effective income tax rate in the current period was primarily attributable to a favorable change in the forecasted geographic mix of earnings compared to the same period in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was $149.2 million and $133.1 million for the six months ended June 30, 2026 and 2025, respectively. The effective income tax rate was 23.1% and 22.8% for the six months ended June 30, 2026 and 2025, respectively. The increase in the effective income tax rate in the current period was primarily due to the unfavorable impact of stock-based compensation, partially offset by the favorable release of reserves upon the resolution of the related inquiries as well as a favorable change in the forecasted geographic mix of earnings compared to the same period in 2025.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Net income</w:t>
      </w:r>
      <w:r>
        <w:rPr>
          <w:color w:val="000000"/>
          <w:shd w:fill="FFFFFF" w:val="clear"/>
        </w:rPr>
        <w:t xml:space="preserve"> </w:t>
      </w:r>
      <w:r>
        <w:rPr>
          <w:rFonts w:ascii="Times New Roman;serif" w:hAnsi="Times New Roman;serif"/>
          <w:b w:val="false"/>
          <w:color w:val="000000"/>
          <w:sz w:val="20"/>
          <w:shd w:fill="FFFFFF" w:val="clear"/>
        </w:rPr>
        <w:t xml:space="preserve">for the three months ended June 30, 2026 and 2025 was $275.5 million and $240.8 million, respectively, while net income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June 30, 2026 and 2025 was $497.8 million and $451.7 million, respectively. Our diluted net income per share during </w:t>
      </w:r>
      <w:r>
        <w:rPr>
          <w:rFonts w:ascii="Times New Roman;serif" w:hAnsi="Times New Roman;serif"/>
          <w:b w:val="false"/>
          <w:color w:val="000000"/>
          <w:sz w:val="20"/>
        </w:rPr>
        <w:t xml:space="preserve">the </w:t>
      </w:r>
      <w:r>
        <w:rPr>
          <w:rFonts w:ascii="Times New Roman;serif" w:hAnsi="Times New Roman;serif"/>
          <w:b w:val="false"/>
          <w:color w:val="000000"/>
          <w:sz w:val="20"/>
          <w:shd w:fill="FFFFFF" w:val="clear"/>
        </w:rPr>
        <w:t xml:space="preserve">three and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rPr>
        <w:t>months ended June 30, 2026 increased b</w:t>
      </w:r>
      <w:r>
        <w:rPr>
          <w:rFonts w:ascii="Times New Roman;serif" w:hAnsi="Times New Roman;serif"/>
          <w:b w:val="false"/>
          <w:color w:val="000000"/>
          <w:sz w:val="20"/>
          <w:shd w:fill="FFFFFF" w:val="clear"/>
        </w:rPr>
        <w:t xml:space="preserve">y $1.03 and </w:t>
      </w:r>
      <w:r>
        <w:rPr>
          <w:rFonts w:ascii="Times New Roman;serif" w:hAnsi="Times New Roman;serif"/>
          <w:b w:val="false"/>
          <w:color w:val="000000"/>
          <w:sz w:val="20"/>
        </w:rPr>
        <w:t>$1.47</w:t>
      </w:r>
      <w:r>
        <w:rPr>
          <w:rFonts w:ascii="Times New Roman;serif" w:hAnsi="Times New Roman;serif"/>
          <w:b w:val="false"/>
          <w:color w:val="000000"/>
          <w:sz w:val="20"/>
          <w:shd w:fill="FFFFFF" w:val="clear"/>
        </w:rPr>
        <w:t>, respectively</w:t>
      </w:r>
      <w:r>
        <w:rPr>
          <w:rFonts w:ascii="Times New Roman;serif" w:hAnsi="Times New Roman;serif"/>
          <w:b w:val="false"/>
          <w:color w:val="000000"/>
          <w:sz w:val="20"/>
        </w:rPr>
        <w:t xml:space="preserve">. The increase in net income during both the three and six months ended June 30, 2026 was primarily due to a decrease in operating expenses, partially offset by a decrease in revenues and an increase in interest expense, net. The increase in diluted net income per share </w:t>
      </w:r>
      <w:r>
        <w:rPr>
          <w:rFonts w:ascii="Times New Roman;serif" w:hAnsi="Times New Roman;serif"/>
          <w:b w:val="false"/>
          <w:color w:val="000000"/>
          <w:sz w:val="20"/>
          <w:shd w:fill="FFFFFF" w:val="clear"/>
        </w:rPr>
        <w:t xml:space="preserve">during </w:t>
      </w:r>
      <w:r>
        <w:rPr>
          <w:rFonts w:ascii="Times New Roman;serif" w:hAnsi="Times New Roman;serif"/>
          <w:b w:val="false"/>
          <w:color w:val="000000"/>
          <w:sz w:val="20"/>
        </w:rPr>
        <w:t xml:space="preserve">the </w:t>
      </w:r>
      <w:r>
        <w:rPr>
          <w:rFonts w:ascii="Times New Roman;serif" w:hAnsi="Times New Roman;serif"/>
          <w:b w:val="false"/>
          <w:color w:val="000000"/>
          <w:sz w:val="20"/>
          <w:shd w:fill="FFFFFF" w:val="clear"/>
        </w:rPr>
        <w:t xml:space="preserve">three and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rPr>
        <w:t xml:space="preserve">months ended June 30, 2026 was also driven by the decrease in diluted weighted average shares outstanding during 2026, as compared to the same periods in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We evaluate</w:t>
      </w:r>
      <w:r>
        <w:rPr>
          <w:color w:val="000000"/>
        </w:rPr>
        <w:t xml:space="preserve"> </w:t>
      </w:r>
      <w:r>
        <w:rPr>
          <w:rFonts w:ascii="Times New Roman;serif" w:hAnsi="Times New Roman;serif"/>
          <w:b w:val="false"/>
          <w:color w:val="000000"/>
          <w:sz w:val="20"/>
        </w:rPr>
        <w:t>segment performance and allocate resources based on gross contribution margin. Gross contribution is defined as operating income or loss excluding certain Cost of services and product development expenses, SG&amp;A expenses, Depreciation, Amortization of intangibles and Gain from sale of divested operation. Gross contribution margin is defined as gross contribution as a percent of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Reportable Segments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sections below</w:t>
      </w:r>
      <w:r>
        <w:rPr>
          <w:color w:val="000000"/>
        </w:rPr>
        <w:t xml:space="preserve"> </w:t>
      </w:r>
      <w:r>
        <w:rPr>
          <w:rFonts w:ascii="Times New Roman;serif" w:hAnsi="Times New Roman;serif"/>
          <w:b w:val="false"/>
          <w:color w:val="000000"/>
          <w:sz w:val="20"/>
        </w:rPr>
        <w:t>present the results of the Company’s three reportable business segments: Insights, Conferences and Consulting.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Insights</w:t>
      </w:r>
    </w:p>
    <w:tbl>
      <w:tblPr>
        <w:tblW w:w="11954" w:type="dxa"/>
        <w:jc w:val="left"/>
        <w:tblInd w:w="0" w:type="dxa"/>
        <w:tblLayout w:type="fixed"/>
        <w:tblCellMar>
          <w:top w:w="28" w:type="dxa"/>
          <w:left w:w="28" w:type="dxa"/>
          <w:bottom w:w="28" w:type="dxa"/>
          <w:right w:w="28" w:type="dxa"/>
        </w:tblCellMar>
      </w:tblPr>
      <w:tblGrid>
        <w:gridCol w:w="419"/>
        <w:gridCol w:w="368"/>
        <w:gridCol w:w="369"/>
        <w:gridCol w:w="231"/>
        <w:gridCol w:w="539"/>
        <w:gridCol w:w="287"/>
        <w:gridCol w:w="109"/>
        <w:gridCol w:w="109"/>
        <w:gridCol w:w="109"/>
        <w:gridCol w:w="231"/>
        <w:gridCol w:w="539"/>
        <w:gridCol w:w="287"/>
        <w:gridCol w:w="109"/>
        <w:gridCol w:w="109"/>
        <w:gridCol w:w="109"/>
        <w:gridCol w:w="196"/>
        <w:gridCol w:w="646"/>
        <w:gridCol w:w="109"/>
        <w:gridCol w:w="109"/>
        <w:gridCol w:w="109"/>
        <w:gridCol w:w="109"/>
        <w:gridCol w:w="217"/>
        <w:gridCol w:w="217"/>
        <w:gridCol w:w="482"/>
        <w:gridCol w:w="109"/>
        <w:gridCol w:w="109"/>
        <w:gridCol w:w="109"/>
        <w:gridCol w:w="196"/>
        <w:gridCol w:w="871"/>
        <w:gridCol w:w="241"/>
        <w:gridCol w:w="109"/>
        <w:gridCol w:w="109"/>
        <w:gridCol w:w="109"/>
        <w:gridCol w:w="196"/>
        <w:gridCol w:w="871"/>
        <w:gridCol w:w="241"/>
        <w:gridCol w:w="109"/>
        <w:gridCol w:w="109"/>
        <w:gridCol w:w="109"/>
        <w:gridCol w:w="196"/>
        <w:gridCol w:w="646"/>
        <w:gridCol w:w="109"/>
        <w:gridCol w:w="109"/>
        <w:gridCol w:w="109"/>
        <w:gridCol w:w="109"/>
        <w:gridCol w:w="207"/>
        <w:gridCol w:w="207"/>
        <w:gridCol w:w="547"/>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 And For The 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 And For The 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w:t>
              <w:b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 And For The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 And For The 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w:t>
              <w:br/>
              <w:t>Increase</w:t>
              <w:br/>
              <w:t>(Decrease)</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Financial Measurements:</w:t>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Revenues (1)</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1,289,870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1,263,505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2,584,065 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2,519,074 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Gross contribution (1)</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999,372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960,732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2,010,889 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1,926,680 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Gross contribution margin</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point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Business Measurements</w:t>
            </w:r>
            <w:r>
              <w:rPr>
                <w:rFonts w:ascii="Times New Roman;serif" w:hAnsi="Times New Roman;serif"/>
                <w:b w:val="false"/>
                <w:color w:val="000000"/>
                <w:sz w:val="17"/>
              </w:rPr>
              <w:t>:</w:t>
            </w:r>
          </w:p>
        </w:tc>
        <w:tc>
          <w:tcPr>
            <w:tcW w:w="10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Contract Value (1), (3)</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5,282,600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5,196,000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Global Technology Sales (2): </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Contract value (1), (3)</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3,999,300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3,954,000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Client retention </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point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Wallet retention </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Global Business Sales (2): </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Contract value (1), (3)</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1,283,300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Client retention </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point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Wallet retention </w:t>
            </w:r>
          </w:p>
        </w:tc>
        <w:tc>
          <w:tcPr>
            <w:tcW w:w="77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99 </w:t>
            </w:r>
          </w:p>
        </w:tc>
        <w:tc>
          <w:tcPr>
            <w:tcW w:w="28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104 </w:t>
            </w:r>
          </w:p>
        </w:tc>
        <w:tc>
          <w:tcPr>
            <w:tcW w:w="28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 xml:space="preserve">Dollars </w:t>
      </w:r>
      <w:r>
        <w:rPr>
          <w:rFonts w:ascii="Times New Roman;serif" w:hAnsi="Times New Roman;serif"/>
          <w:b w:val="false"/>
          <w:color w:val="000000"/>
          <w:sz w:val="20"/>
        </w:rPr>
        <w:t>in thousands.</w:t>
      </w:r>
    </w:p>
    <w:p>
      <w:pPr>
        <w:pStyle w:val="TextBody"/>
        <w:bidi w:val="0"/>
        <w:spacing w:lineRule="auto" w:line="288" w:before="0" w:after="0"/>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20"/>
          <w:shd w:fill="FFFFFF" w:val="clear"/>
        </w:rPr>
        <w:t>Global Technology Sales</w:t>
      </w:r>
      <w:r>
        <w:rPr>
          <w:color w:val="000000"/>
        </w:rPr>
        <w:t xml:space="preserve"> </w:t>
      </w:r>
      <w:r>
        <w:rPr>
          <w:rFonts w:ascii="Times New Roman;serif" w:hAnsi="Times New Roman;serif"/>
          <w:b w:val="false"/>
          <w:color w:val="000000"/>
          <w:sz w:val="20"/>
        </w:rPr>
        <w:t>includes sales to users and providers of technology. Global Business Sales includes sales to all other functional leaders.</w:t>
      </w:r>
    </w:p>
    <w:p>
      <w:pPr>
        <w:pStyle w:val="TextBody"/>
        <w:bidi w:val="0"/>
        <w:spacing w:lineRule="auto" w:line="288" w:before="0" w:after="0"/>
        <w:ind w:left="0" w:right="0" w:hanging="360"/>
        <w:jc w:val="both"/>
        <w:rPr/>
      </w:pPr>
      <w:r>
        <w:rPr>
          <w:rFonts w:ascii="Times New Roman;serif" w:hAnsi="Times New Roman;serif"/>
          <w:b w:val="false"/>
          <w:color w:val="000000"/>
          <w:sz w:val="20"/>
        </w:rPr>
        <w:t>(3)</w:t>
      </w:r>
      <w:r>
        <w:rPr>
          <w:rFonts w:ascii="Times New Roman;serif" w:hAnsi="Times New Roman;serif"/>
          <w:b w:val="false"/>
          <w:color w:val="000000"/>
          <w:sz w:val="20"/>
          <w:shd w:fill="FFFFFF" w:val="clear"/>
        </w:rPr>
        <w:t xml:space="preserve">Contract values </w:t>
      </w:r>
      <w:r>
        <w:rPr>
          <w:rFonts w:ascii="Times New Roman;serif" w:hAnsi="Times New Roman;serif"/>
          <w:b w:val="false"/>
          <w:color w:val="000000"/>
          <w:sz w:val="20"/>
        </w:rPr>
        <w:t xml:space="preserve">are on a foreign currency neutral basis. Contract values as of June 30, 2025 have been calculated using the same foreign currency rates as 2026.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Insights revenues i</w:t>
      </w:r>
      <w:r>
        <w:rPr>
          <w:rFonts w:ascii="Times New Roman;serif" w:hAnsi="Times New Roman;serif"/>
          <w:b w:val="false"/>
          <w:color w:val="000000"/>
          <w:sz w:val="20"/>
        </w:rPr>
        <w:t xml:space="preserve">ncreased by $26.4 million during the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months ended June 30, 2026 compared to the same period in 2025, or 2% on a reported basis and 1% excluding the foreign currency impact. For the six months ended June 30, 2026, Insights revenue increased by $65.0 million compared to the same period in 2025 or 3% on a reported basis and about flat excluding the foreign currency impact. The segment gross contribution margin was 77% and 76% for the three months ended June 30, 2026 and 2025</w:t>
      </w:r>
      <w:r>
        <w:rPr>
          <w:rFonts w:ascii="Times New Roman;serif" w:hAnsi="Times New Roman;serif"/>
          <w:b w:val="false"/>
          <w:color w:val="000000"/>
          <w:sz w:val="20"/>
          <w:shd w:fill="FFFFFF" w:val="clear"/>
        </w:rPr>
        <w:t xml:space="preserve">, respectively, and </w:t>
      </w:r>
      <w:r>
        <w:rPr>
          <w:rFonts w:ascii="Times New Roman;serif" w:hAnsi="Times New Roman;serif"/>
          <w:b w:val="false"/>
          <w:color w:val="000000"/>
          <w:sz w:val="20"/>
        </w:rPr>
        <w:t>78% and 76% for the six months ended June 30, 2026 and 2025, respectively</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value increased to $5.3 billion at June 30, 2026, or 2% compared to June 30, 2025 excluding the foreign currency impact. Approximately half of industry sectors grew mid single-digit rates. Growth was led by the banking and energy sectors, partially offset by a mid single-digit decrease in public sector, primarily related to the U.S. federal government. Global Technology Sales (“GTS”) contract value increased by 1% at June 30, 2026 when compared to June 30, 2025. The modest increase in GTS contract value was primarily due to business from new clients. GTS contract value increased by mid single-digit rates for nearly all commercial enterprise sizes and mid-single digits for half of industry sectors. Global Business Sales (“GBS”) contract value increased by 3% year-over-year, primarily driven by business from new clients. The majority of our GBS practices achieved mid single-digit rates or faster growth rates, with all commercial enterprise sizes and half of sectors also growing mid single-digit rates or faster year-over-year. Public sector contract value decreased by mid single-digits and low single-digits for GTS and GBS, respectively.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GTS client retention was 85% and 84% as of June 30, 2026 and 2025, respectively, while wallet retention was 97% and 99% as of June 30, 2026 and 2025, respectively. GBS client retention was 86% and 87% as of June 30, 2026 and 2025, respectively, while wallet retention was 99% and 104%, respectively. The decrease in GTS and GBS wallet retention was largely due to lower levels of spending by existing clients compared to the same period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Conferences </w:t>
      </w:r>
    </w:p>
    <w:tbl>
      <w:tblPr>
        <w:tblW w:w="11916" w:type="dxa"/>
        <w:jc w:val="left"/>
        <w:tblInd w:w="0" w:type="dxa"/>
        <w:tblLayout w:type="fixed"/>
        <w:tblCellMar>
          <w:top w:w="28" w:type="dxa"/>
          <w:left w:w="28" w:type="dxa"/>
          <w:bottom w:w="28" w:type="dxa"/>
          <w:right w:w="28" w:type="dxa"/>
        </w:tblCellMar>
      </w:tblPr>
      <w:tblGrid>
        <w:gridCol w:w="419"/>
        <w:gridCol w:w="368"/>
        <w:gridCol w:w="369"/>
        <w:gridCol w:w="196"/>
        <w:gridCol w:w="736"/>
        <w:gridCol w:w="241"/>
        <w:gridCol w:w="109"/>
        <w:gridCol w:w="109"/>
        <w:gridCol w:w="109"/>
        <w:gridCol w:w="196"/>
        <w:gridCol w:w="736"/>
        <w:gridCol w:w="241"/>
        <w:gridCol w:w="109"/>
        <w:gridCol w:w="109"/>
        <w:gridCol w:w="109"/>
        <w:gridCol w:w="196"/>
        <w:gridCol w:w="646"/>
        <w:gridCol w:w="109"/>
        <w:gridCol w:w="109"/>
        <w:gridCol w:w="109"/>
        <w:gridCol w:w="109"/>
        <w:gridCol w:w="217"/>
        <w:gridCol w:w="217"/>
        <w:gridCol w:w="482"/>
        <w:gridCol w:w="109"/>
        <w:gridCol w:w="109"/>
        <w:gridCol w:w="109"/>
        <w:gridCol w:w="196"/>
        <w:gridCol w:w="736"/>
        <w:gridCol w:w="241"/>
        <w:gridCol w:w="109"/>
        <w:gridCol w:w="109"/>
        <w:gridCol w:w="109"/>
        <w:gridCol w:w="196"/>
        <w:gridCol w:w="736"/>
        <w:gridCol w:w="241"/>
        <w:gridCol w:w="109"/>
        <w:gridCol w:w="109"/>
        <w:gridCol w:w="109"/>
        <w:gridCol w:w="196"/>
        <w:gridCol w:w="646"/>
        <w:gridCol w:w="109"/>
        <w:gridCol w:w="109"/>
        <w:gridCol w:w="109"/>
        <w:gridCol w:w="109"/>
        <w:gridCol w:w="207"/>
        <w:gridCol w:w="207"/>
        <w:gridCol w:w="547"/>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w:t>
              <w:b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w:t>
              <w:br/>
              <w:t>Increase</w:t>
              <w:br/>
              <w:t>(Decrease)</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Financial Measurements:</w:t>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Revenues (1)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244,157 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211,407 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322,482 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284,004 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Gross contribution (1)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145,222 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121,388 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175,631 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148,770 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Gross contribution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Business Measurements:</w:t>
            </w:r>
          </w:p>
        </w:tc>
        <w:tc>
          <w:tcPr>
            <w:tcW w:w="11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Number of destination conferences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Number of destination conferences attendees (2)</w:t>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28,057 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28,295 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(238)</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48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39,530 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40,206 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(676)</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54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(1)Dollars in thousands.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(2)Single day, local meetings are excluded.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Conferences revenues increased by $32.8 million during the three months ended June 30, 2026 compared to the same period in 2025, or 15% on a reported basis and 14% excluding the foreign currency impact. The increase in revenues for the three months ended June 30, 2026 was primarily due to higher exhibitor revenue, as well as an increase in attendee revenue. We held 18 and 19 destination conferences during the three months ended June 30, 2026 and 2025, respectively. Gross contribution increased to $145.2 million during the three months ended June 30, 2026 compared to $121.4 million in the same period last year. The increase in gross contribution during the three months ended June 30, 2026 was primarily the result of the increase in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Conferences revenues increased by $38.5 million during the six months ended June 30, 2026 compared to the same period in 2025, or 14% on a reported basis and 12% excluding the foreign currency impact. The increase in revenues for the six months ended June 30, 2026 was primarily due to higher exhibitor revenue. We held 28 and 29 destination conferences during the six months ended June 30, 2026 and 2025, respectively. Gross contribution increased to $175.6 million during the six months ended June 30, 2026 compared to $148.8 million in the same period last year. The increase in gross contribution during the six months ended June 30, 2026 was primarily the result of the increase in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Consulting</w:t>
      </w:r>
    </w:p>
    <w:tbl>
      <w:tblPr>
        <w:tblW w:w="11946" w:type="dxa"/>
        <w:jc w:val="left"/>
        <w:tblInd w:w="0" w:type="dxa"/>
        <w:tblLayout w:type="fixed"/>
        <w:tblCellMar>
          <w:top w:w="28" w:type="dxa"/>
          <w:left w:w="28" w:type="dxa"/>
          <w:bottom w:w="28" w:type="dxa"/>
          <w:right w:w="28" w:type="dxa"/>
        </w:tblCellMar>
      </w:tblPr>
      <w:tblGrid>
        <w:gridCol w:w="419"/>
        <w:gridCol w:w="368"/>
        <w:gridCol w:w="369"/>
        <w:gridCol w:w="196"/>
        <w:gridCol w:w="736"/>
        <w:gridCol w:w="241"/>
        <w:gridCol w:w="109"/>
        <w:gridCol w:w="109"/>
        <w:gridCol w:w="109"/>
        <w:gridCol w:w="196"/>
        <w:gridCol w:w="736"/>
        <w:gridCol w:w="241"/>
        <w:gridCol w:w="109"/>
        <w:gridCol w:w="109"/>
        <w:gridCol w:w="109"/>
        <w:gridCol w:w="196"/>
        <w:gridCol w:w="661"/>
        <w:gridCol w:w="109"/>
        <w:gridCol w:w="109"/>
        <w:gridCol w:w="109"/>
        <w:gridCol w:w="109"/>
        <w:gridCol w:w="217"/>
        <w:gridCol w:w="217"/>
        <w:gridCol w:w="482"/>
        <w:gridCol w:w="109"/>
        <w:gridCol w:w="109"/>
        <w:gridCol w:w="109"/>
        <w:gridCol w:w="196"/>
        <w:gridCol w:w="736"/>
        <w:gridCol w:w="241"/>
        <w:gridCol w:w="109"/>
        <w:gridCol w:w="109"/>
        <w:gridCol w:w="109"/>
        <w:gridCol w:w="196"/>
        <w:gridCol w:w="736"/>
        <w:gridCol w:w="241"/>
        <w:gridCol w:w="109"/>
        <w:gridCol w:w="109"/>
        <w:gridCol w:w="109"/>
        <w:gridCol w:w="196"/>
        <w:gridCol w:w="661"/>
        <w:gridCol w:w="109"/>
        <w:gridCol w:w="109"/>
        <w:gridCol w:w="109"/>
        <w:gridCol w:w="109"/>
        <w:gridCol w:w="207"/>
        <w:gridCol w:w="207"/>
        <w:gridCol w:w="547"/>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 And For The 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 And For The 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w:t>
              <w:b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 And For The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 And For The 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w:t>
              <w:br/>
              <w:t>Increase</w:t>
              <w:br/>
              <w:t>(Decrease)</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Financial Measurements:</w:t>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Revenues (1)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141,916 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155,594 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261,045 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295,300 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Gross contribution (1)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53,770 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61,555 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90,575 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114,947 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Gross contribution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Business Measurements:</w:t>
            </w:r>
          </w:p>
        </w:tc>
        <w:tc>
          <w:tcPr>
            <w:tcW w:w="11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Backlog (1), (2)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213,800 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195,900 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Billable headcount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17"/>
              </w:rPr>
            </w:pPr>
            <w:r>
              <w:rPr>
                <w:rFonts w:ascii="Times New Roman;serif" w:hAnsi="Times New Roman;serif"/>
                <w:b w:val="false"/>
                <w:color w:val="000000"/>
                <w:sz w:val="17"/>
              </w:rPr>
              <w:t>Consultant utilization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(1)Dollars in thousands.</w:t>
      </w:r>
    </w:p>
    <w:p>
      <w:pPr>
        <w:pStyle w:val="TextBody"/>
        <w:bidi w:val="0"/>
        <w:spacing w:lineRule="auto" w:line="288" w:before="0" w:after="0"/>
        <w:ind w:left="0" w:right="0" w:hanging="360"/>
        <w:jc w:val="both"/>
        <w:rPr/>
      </w:pPr>
      <w:r>
        <w:rPr>
          <w:rFonts w:ascii="Times New Roman;serif" w:hAnsi="Times New Roman;serif"/>
          <w:b w:val="false"/>
          <w:color w:val="000000"/>
          <w:sz w:val="20"/>
          <w:shd w:fill="FFFFFF" w:val="clear"/>
        </w:rPr>
        <w:t xml:space="preserve">(2)Backlog is </w:t>
      </w:r>
      <w:r>
        <w:rPr>
          <w:rFonts w:ascii="Times New Roman;serif" w:hAnsi="Times New Roman;serif"/>
          <w:b w:val="false"/>
          <w:color w:val="000000"/>
          <w:sz w:val="20"/>
        </w:rPr>
        <w:t>on a foreign currency neutral basis. Backlog as of June 30, 2025 has been calculated using the same foreign currency rates as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Consulting revenues</w:t>
      </w:r>
      <w:r>
        <w:rPr>
          <w:color w:val="000000"/>
        </w:rPr>
        <w:t xml:space="preserve"> </w:t>
      </w:r>
      <w:r>
        <w:rPr>
          <w:rFonts w:ascii="Times New Roman;serif" w:hAnsi="Times New Roman;serif"/>
          <w:b w:val="false"/>
          <w:color w:val="000000"/>
          <w:sz w:val="20"/>
        </w:rPr>
        <w:t xml:space="preserve">decreased by 9% during the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 xml:space="preserve">months ended June 30, 2026 compared to the same period in 2025 on both a reported basis and excluding the foreign currency impact, with a decrease in labor-based consulting revenue of 13% and an increase in contract optimization revenue of 1%, each on a reported basis. The primary regions driving the decrease in revenue compared to the prior year period were Japan and Europe, Middle East and Africa (“EMEA”), principally in the commercial sector. Contract optimization revenue may vary significantly and, as such, revenues for the second quarter of 2026 may not be indicative of results for the remainder of 2026 or beyond. The segment gross contribution margin was 38% and </w:t>
      </w:r>
      <w:r>
        <w:rPr>
          <w:rFonts w:ascii="Times New Roman;serif" w:hAnsi="Times New Roman;serif"/>
          <w:b w:val="false"/>
          <w:color w:val="000000"/>
          <w:sz w:val="20"/>
          <w:shd w:fill="FFFFFF" w:val="clear"/>
        </w:rPr>
        <w:t>40%</w:t>
      </w:r>
      <w:r>
        <w:rPr>
          <w:color w:val="000000"/>
        </w:rPr>
        <w:t xml:space="preserve"> </w:t>
      </w:r>
      <w:r>
        <w:rPr>
          <w:rFonts w:ascii="Times New Roman;serif" w:hAnsi="Times New Roman;serif"/>
          <w:b w:val="false"/>
          <w:color w:val="000000"/>
          <w:sz w:val="20"/>
        </w:rPr>
        <w:t xml:space="preserve">for the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 xml:space="preserve">months ended June 30, 2026 and 2025, respectively. The decrease in gross contribution margin for the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months ended June 30, 2026 was primarily due to the decrease in revenues.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For the six months ended June 30, 2026, </w:t>
      </w:r>
      <w:r>
        <w:rPr>
          <w:rFonts w:ascii="Times New Roman;serif" w:hAnsi="Times New Roman;serif"/>
          <w:b w:val="false"/>
          <w:color w:val="000000"/>
          <w:sz w:val="20"/>
          <w:shd w:fill="FFFFFF" w:val="clear"/>
        </w:rPr>
        <w:t>Consulting revenues</w:t>
      </w:r>
      <w:r>
        <w:rPr>
          <w:color w:val="000000"/>
        </w:rPr>
        <w:t xml:space="preserve"> </w:t>
      </w:r>
      <w:r>
        <w:rPr>
          <w:rFonts w:ascii="Times New Roman;serif" w:hAnsi="Times New Roman;serif"/>
          <w:b w:val="false"/>
          <w:color w:val="000000"/>
          <w:sz w:val="20"/>
        </w:rPr>
        <w:t>decreased by 12% compared to the same period in 2025 on a reported basis and 13% excluding the foreign currency impact, with a decrease in labor-based consulting revenue of 13% and a decrease in contract optimization revenue of 8% each on a reported basis. The primary regions driving the decrease in revenue compared to the prior year period were the United States, principally in the public sector, and Japan and EMEA, principally in the commercial sector. The segment gross contribution margin was 35% and 39% for the six months ended June 30, 2026 and 2025, respectively. The decrease in gross contribution margin for the six months ended June 30, 2026 was primarily due to the decrease in revenues.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Backlog</w:t>
      </w:r>
      <w:r>
        <w:rPr>
          <w:color w:val="000000"/>
        </w:rPr>
        <w:t xml:space="preserve"> </w:t>
      </w:r>
      <w:r>
        <w:rPr>
          <w:rFonts w:ascii="Times New Roman;serif" w:hAnsi="Times New Roman;serif"/>
          <w:b w:val="false"/>
          <w:color w:val="000000"/>
          <w:sz w:val="20"/>
        </w:rPr>
        <w:t>increased by $17.9 million, or 9%, from June 30, 2025 to June 30, 2026, excluding the foreign currency impact.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We finance </w:t>
      </w:r>
      <w:r>
        <w:rPr>
          <w:rFonts w:ascii="Times New Roman;serif" w:hAnsi="Times New Roman;serif"/>
          <w:b w:val="false"/>
          <w:color w:val="000000"/>
          <w:sz w:val="20"/>
        </w:rPr>
        <w:t>our operations through cash generated from our operating activities and, to a lesser extent, borrowings. Note 8 — Debt in the Notes to Condensed Consolidated Financial Statements provides additional information regarding the Company’s outstanding debt obligations. At June 30, 2026, we had $1.5 billion of cash and cash equivalents and approximately $1.0 billion of available borrowing capacity on the revolving credit facility under our 2024 Credit Agreement. We believe that the Company has adequate liquidity to meet its currently anticipated needs for both the next twelve months and the foreseeable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historically generated significant cash flows from our operating activities, benefiting from the favorable working capital dynamics of our subscription-based business model in our Insights segment, which is our largest business segment and historically has constituted a significant portion of our total revenues. The majority of our Insights customer contracts are paid in advance and, combined with a strong customer retention rate and high incremental margins, our subscription-based business model has resulted in continuously strong operating cash flow. Cash flow generation has also benefited from our ongoing efforts to improve the operating efficiencies of our businesses as well as a focus on the optimal management of our working capital as we increase sales.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Our cash and cash </w:t>
      </w:r>
      <w:r>
        <w:rPr>
          <w:rFonts w:ascii="Times New Roman;serif" w:hAnsi="Times New Roman;serif"/>
          <w:b w:val="false"/>
          <w:color w:val="000000"/>
          <w:sz w:val="20"/>
        </w:rPr>
        <w:t>equivalents are held in numerous locations throughout the world with 71% held outside the U.S. at June 30, 2026. We continue to assert our intention to reinvest substantially all remaining accumulated undistributed foreign earnings, except in instances where repatriation would result in minimal additional tax.</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table below</w:t>
      </w:r>
      <w:r>
        <w:rPr>
          <w:color w:val="000000"/>
        </w:rPr>
        <w:t xml:space="preserve"> </w:t>
      </w:r>
      <w:r>
        <w:rPr>
          <w:rFonts w:ascii="Times New Roman;serif" w:hAnsi="Times New Roman;serif"/>
          <w:b w:val="false"/>
          <w:color w:val="000000"/>
          <w:sz w:val="20"/>
        </w:rPr>
        <w:t xml:space="preserve">summarizes the changes in our cash balances for the periods indicated (in thousands). </w:t>
      </w:r>
    </w:p>
    <w:tbl>
      <w:tblPr>
        <w:tblW w:w="10205" w:type="dxa"/>
        <w:jc w:val="left"/>
        <w:tblInd w:w="0" w:type="dxa"/>
        <w:tblLayout w:type="fixed"/>
        <w:tblCellMar>
          <w:top w:w="28" w:type="dxa"/>
          <w:left w:w="28" w:type="dxa"/>
          <w:bottom w:w="28" w:type="dxa"/>
          <w:right w:w="28" w:type="dxa"/>
        </w:tblCellMar>
      </w:tblPr>
      <w:tblGrid>
        <w:gridCol w:w="1451"/>
        <w:gridCol w:w="1217"/>
        <w:gridCol w:w="1221"/>
        <w:gridCol w:w="359"/>
        <w:gridCol w:w="1664"/>
        <w:gridCol w:w="185"/>
        <w:gridCol w:w="109"/>
        <w:gridCol w:w="109"/>
        <w:gridCol w:w="109"/>
        <w:gridCol w:w="359"/>
        <w:gridCol w:w="1664"/>
        <w:gridCol w:w="185"/>
        <w:gridCol w:w="109"/>
        <w:gridCol w:w="109"/>
        <w:gridCol w:w="109"/>
        <w:gridCol w:w="211"/>
        <w:gridCol w:w="876"/>
        <w:gridCol w:w="159"/>
      </w:tblGrid>
      <w:tr>
        <w:trPr/>
        <w:tc>
          <w:tcPr>
            <w:tcW w:w="145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w:t>
              <w:br/>
              <w:t>(Decrease)</w:t>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provided by operating activities </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789,327 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697,077 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92,250 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 investing activities</w:t>
            </w:r>
          </w:p>
        </w:tc>
        <w:tc>
          <w:tcPr>
            <w:tcW w:w="2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64,452 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w:t>
            </w:r>
          </w:p>
        </w:tc>
        <w:tc>
          <w:tcPr>
            <w:tcW w:w="2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(1,073,465)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(419,688)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(653,777)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 and restricted cash</w:t>
            </w:r>
          </w:p>
        </w:tc>
        <w:tc>
          <w:tcPr>
            <w:tcW w:w="20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(219,686)</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215,572 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(435,258)</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rates on cash and cash equivalents</w:t>
            </w:r>
          </w:p>
        </w:tc>
        <w:tc>
          <w:tcPr>
            <w:tcW w:w="2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cash and cash equivalents</w:t>
            </w:r>
          </w:p>
        </w:tc>
        <w:tc>
          <w:tcPr>
            <w:tcW w:w="2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1,722,521 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1,933,147 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(210,626)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cash and cash equivalents</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1,488,706 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2,197,536 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(708,830)</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Operating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was $789.3 million and $697.1 million during the six months ended June 30, 2026 and 2025, respectively. The year-over-year increase was primarily due to the increase in net income as well as the improved timing of collections.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Investing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provided by (used in) investing activities was $64.5 million and $(61.8) million during the six months ended June 30, 2026 and 2025, respectively. The change from 2025 to 2026 was primarily the result of the proceeds from the sale of the Digital Markets business in February 2026, as well as lower capital expenditures, principally the result of lower leasehold improvements spending.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Financing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used in financing activities was $1.1 billion and $419.7 million during the six months ended June 30, 2026 and 2025, respectively. We used $1.1 billion and $437.2 million of cash for share repurchases during the six months ended June 30, 2026 and 2025,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Debt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$3.0 billion of principal amount of debt outstanding. Note 8 — Debt in the Notes to Condensed Consolidated Financial Statements provides additional information regarding the Company’s outstanding debt obligations. From time to time, the Company may seek to retire or repurchase its outstanding debt through various methods including open market repurchases, negotiated block transactions, or otherwise, all or some of which may be effected through Rule 10b5-1 plans. Such transactions, if any, depend on prevailing market conditions, our liquidity and capital requirements, contractual restrictions, and other factors, and may involve material amounts.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OFF BALANCE SHEET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From January 1, 2026 through June 30, 2026, the Company has not entered into any material off-balance sheet arrangements or transactions with unconsolidated entities or other persons.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As of June 30, 2026,</w:t>
      </w:r>
      <w:r>
        <w:rPr>
          <w:color w:val="000000"/>
        </w:rPr>
        <w:t xml:space="preserve"> </w:t>
      </w:r>
      <w:r>
        <w:rPr>
          <w:rFonts w:ascii="Times New Roman;serif" w:hAnsi="Times New Roman;serif"/>
          <w:b w:val="false"/>
          <w:color w:val="000000"/>
          <w:sz w:val="20"/>
        </w:rPr>
        <w:t xml:space="preserve">the Company had $3.0 billion in total debt principal outstanding. None of the Company’s total debt outstanding as of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 xml:space="preserve">was based on a floating base rate of interest. Note 8 — Debt in the Notes to Condensed Consolidated Financial Statements provides additional information regarding the Company’s outstanding debt obligations.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A significant portion o</w:t>
      </w:r>
      <w:r>
        <w:rPr>
          <w:rFonts w:ascii="Times New Roman;serif" w:hAnsi="Times New Roman;serif"/>
          <w:b w:val="false"/>
          <w:color w:val="000000"/>
          <w:sz w:val="20"/>
        </w:rPr>
        <w:t>f our revenues are typically derived from sales outside of the United States. Among the major foreign currencies in which we conduct business are the Euro, the British Pound, the Japanese Yen, the Australian dollar and the Canadian dollar. The reporting currency of our Condensed Consolidated Financial Statements is the U.S. dollar. As the values of the foreign currencies in which we operate fluctuate over time relative to the U.S. dollar, the Company is exposed to both foreign currency translation and transaction risk.</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Translation risk</w:t>
      </w:r>
      <w:r>
        <w:rPr>
          <w:color w:val="000000"/>
        </w:rPr>
        <w:t xml:space="preserve"> </w:t>
      </w:r>
      <w:r>
        <w:rPr>
          <w:rFonts w:ascii="Times New Roman;serif" w:hAnsi="Times New Roman;serif"/>
          <w:b w:val="false"/>
          <w:color w:val="000000"/>
          <w:sz w:val="20"/>
        </w:rPr>
        <w:t>arises as our foreign currency assets and liabilities are translated into U.S. dollars because the functional currencies of our foreign operations are generally denominated in the local currency. Adjustments resulting from the translation of these assets and liabilities are deferred and recorded as a component of stockholders’ equity. A measure of the potential impact of foreign currency translation can be determined through a sensitivity analysis of our cash and cash equivalents. At June 30, 2026, we had $1.5 billion of cash and cash equivalents, with a substantial portion denominated in foreign currencies. If the exchange rates of the foreign currencies we hold all changed in comparison to the U.S. dollar by 10%, the amount of cash and cash equivalents we would have reported on June 30, 2026 could have increased or decreased by approximately $125.9 million. The translation of our foreign currency revenues and expenses historically has not had a material impact on our consolidated earnings because movements in and among the major currencies in which we operate tend to impact our revenues and expenses fairly equally. However, our earnings could be impacted during periods of significant exchange rate volatility, or when some or all of the major currencies in which we operate move in the same direction against the U.S. dollar.</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Transaction risk</w:t>
      </w:r>
      <w:r>
        <w:rPr>
          <w:color w:val="000000"/>
        </w:rPr>
        <w:t xml:space="preserve"> </w:t>
      </w:r>
      <w:r>
        <w:rPr>
          <w:rFonts w:ascii="Times New Roman;serif" w:hAnsi="Times New Roman;serif"/>
          <w:b w:val="false"/>
          <w:color w:val="000000"/>
          <w:sz w:val="20"/>
        </w:rPr>
        <w:t>arises when we enter into a transaction that is denominated in a currency that may differ from the local functional currency. As these transactions are translated into the local functional currency, a gain or loss may result, which is recorded in current period earnings. We typically enter into foreign currency forward exchange contracts to mitigate the effects of some of this foreign currency transaction risk. Our outstanding foreign currency forward exchange contracts as of June 30, 2026 had an immaterial net unrealized loss.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CREDIT RISK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Financial instruments</w:t>
      </w:r>
      <w:r>
        <w:rPr>
          <w:color w:val="000000"/>
        </w:rPr>
        <w:t xml:space="preserve"> </w:t>
      </w:r>
      <w:r>
        <w:rPr>
          <w:rFonts w:ascii="Times New Roman;serif" w:hAnsi="Times New Roman;serif"/>
          <w:b w:val="false"/>
          <w:color w:val="000000"/>
          <w:sz w:val="20"/>
        </w:rPr>
        <w:t>that potentially subject the Company to concentration of credit risk consist primarily of short-term, highly liquid investments classified as cash equivalents, fees receivable, interest rate swap contracts and foreign currency forward exchange contracts. The majority of the Company’s cash and cash equivalents and foreign currency forward exchange contracts are with large investment grade commercial banks. Fees receivable balances deemed to be collectible from customers have limited concentration of credit risk due to our diverse customer base and geographic dispersion.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established disclosure controls and procedures that are designed to ensure that the information we are required to disclose in our reports filed or submitted under the Securities Exchange Act of 1934, as amended (the “Exchange Act”), is recorded, processed, summarized and reported within the time periods specified in the rules and forms of the SEC, and such information is accumulated and communicated to our executive management team, including our chief executive officer and our chief financial officer,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conducted an evaluation, as of June 30, 2026, of the effectiveness of the design and operation of our disclosure controls and procedures, as such term is defined in Rules 13a-15(e) and 15d-15(e) of the Exchange Act, under the supervision and with the participation of our chief executive officer and chief financial officer. Based upon that evaluation, our chief executive officer and chief financial officer have concluded that, as of June 30, 2026, the Company’s disclosure controls and procedures were effective.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There have been no changes in our internal control over financial reporting identified in connection with the evaluation required by paragraph (d) of Exchange Act</w:t>
      </w:r>
      <w:r>
        <w:rPr>
          <w:color w:val="0067B1"/>
          <w:u w:val="single"/>
        </w:rPr>
        <w:t xml:space="preserve"> </w:t>
      </w:r>
      <w:r>
        <w:rPr>
          <w:rFonts w:ascii="Times New Roman;serif" w:hAnsi="Times New Roman;serif"/>
          <w:b w:val="false"/>
          <w:color w:val="000000"/>
          <w:sz w:val="20"/>
        </w:rPr>
        <w:t>Rules 13a-15 or 15d-15 that occurred during the quarter ended June 30, 2026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hanging="18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We are involved </w:t>
      </w:r>
      <w:r>
        <w:rPr>
          <w:rFonts w:ascii="Times New Roman;serif" w:hAnsi="Times New Roman;serif"/>
          <w:b w:val="false"/>
          <w:color w:val="000000"/>
          <w:sz w:val="20"/>
        </w:rPr>
        <w:t>in legal and administrative proceedings and litigation arising in the ordinary course of business. We believe that the potential liability, if any, in excess of amounts already accrued from all proceedings, claims and litigation will not have a material effect on our financial position, cash flows or results of operations when resolved in a future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to the risk factors disclosed in Part I, Item 1A of our Annual Report on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unregistered sales of equity securities during the period covered by this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Issuer Purchases of Equity Securities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In May 2015, the </w:t>
      </w:r>
      <w:r>
        <w:rPr>
          <w:rFonts w:ascii="Times New Roman;serif" w:hAnsi="Times New Roman;serif"/>
          <w:b w:val="false"/>
          <w:color w:val="000000"/>
          <w:sz w:val="20"/>
        </w:rPr>
        <w:t>Company’s</w:t>
      </w:r>
      <w:r>
        <w:rPr>
          <w:color w:val="000000"/>
          <w:shd w:fill="FFFFFF" w:val="clear"/>
        </w:rPr>
        <w:t xml:space="preserve"> </w:t>
      </w:r>
      <w:r>
        <w:rPr>
          <w:rFonts w:ascii="Times New Roman;serif" w:hAnsi="Times New Roman;serif"/>
          <w:b w:val="false"/>
          <w:color w:val="000000"/>
          <w:sz w:val="20"/>
          <w:shd w:fill="FFFFFF" w:val="clear"/>
        </w:rPr>
        <w:t xml:space="preserve">Board of Directors </w:t>
      </w:r>
      <w:r>
        <w:rPr>
          <w:rFonts w:ascii="Times New Roman;serif" w:hAnsi="Times New Roman;serif"/>
          <w:b w:val="false"/>
          <w:color w:val="000000"/>
          <w:sz w:val="20"/>
        </w:rPr>
        <w:t xml:space="preserve">(the “Board”) </w:t>
      </w:r>
      <w:r>
        <w:rPr>
          <w:rFonts w:ascii="Times New Roman;serif" w:hAnsi="Times New Roman;serif"/>
          <w:b w:val="false"/>
          <w:color w:val="000000"/>
          <w:sz w:val="20"/>
          <w:shd w:fill="FFFFFF" w:val="clear"/>
        </w:rPr>
        <w:t xml:space="preserve">authorized a share repurchase program to repurchase up to </w:t>
      </w:r>
      <w:r>
        <w:rPr>
          <w:rFonts w:ascii="Times New Roman;serif" w:hAnsi="Times New Roman;serif"/>
          <w:b w:val="false"/>
          <w:color w:val="000000"/>
          <w:sz w:val="20"/>
        </w:rPr>
        <w:t>$1.2 billion</w:t>
      </w:r>
      <w:r>
        <w:rPr>
          <w:color w:val="000000"/>
          <w:shd w:fill="FFFFFF" w:val="clear"/>
        </w:rPr>
        <w:t xml:space="preserve"> </w:t>
      </w:r>
      <w:r>
        <w:rPr>
          <w:rFonts w:ascii="Times New Roman;serif" w:hAnsi="Times New Roman;serif"/>
          <w:b w:val="false"/>
          <w:color w:val="000000"/>
          <w:sz w:val="20"/>
          <w:shd w:fill="FFFFFF" w:val="clear"/>
        </w:rPr>
        <w:t xml:space="preserve">of the </w:t>
      </w:r>
      <w:r>
        <w:rPr>
          <w:rFonts w:ascii="Times New Roman;serif" w:hAnsi="Times New Roman;serif"/>
          <w:b w:val="false"/>
          <w:color w:val="000000"/>
          <w:sz w:val="20"/>
        </w:rPr>
        <w:t>Company’s</w:t>
      </w:r>
      <w:r>
        <w:rPr>
          <w:color w:val="000000"/>
          <w:shd w:fill="FFFFFF" w:val="clear"/>
        </w:rPr>
        <w:t xml:space="preserve"> </w:t>
      </w:r>
      <w:r>
        <w:rPr>
          <w:rFonts w:ascii="Times New Roman;serif" w:hAnsi="Times New Roman;serif"/>
          <w:b w:val="false"/>
          <w:color w:val="000000"/>
          <w:sz w:val="20"/>
          <w:shd w:fill="FFFFFF" w:val="clear"/>
        </w:rPr>
        <w:t>common stoc</w:t>
      </w:r>
      <w:r>
        <w:rPr>
          <w:rFonts w:ascii="Times New Roman;serif" w:hAnsi="Times New Roman;serif"/>
          <w:b w:val="false"/>
          <w:color w:val="000000"/>
          <w:sz w:val="20"/>
        </w:rPr>
        <w:t>k. The Board authorized incremental share repurchases of up to an aggregate additional $6.9 billion of the Company’s common stock from February 2021 to April 2026. The Board also authorized incremental share repurchases of up to an additional $500.0 million in July 2026.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 The table below summarizes the repurchases of our common stock during the three months ended June 30, 2026.</w:t>
      </w:r>
    </w:p>
    <w:tbl>
      <w:tblPr>
        <w:tblW w:w="10205" w:type="dxa"/>
        <w:jc w:val="left"/>
        <w:tblInd w:w="0" w:type="dxa"/>
        <w:tblLayout w:type="fixed"/>
        <w:tblCellMar>
          <w:top w:w="28" w:type="dxa"/>
          <w:left w:w="28" w:type="dxa"/>
          <w:bottom w:w="28" w:type="dxa"/>
          <w:right w:w="28" w:type="dxa"/>
        </w:tblCellMar>
      </w:tblPr>
      <w:tblGrid>
        <w:gridCol w:w="532"/>
        <w:gridCol w:w="468"/>
        <w:gridCol w:w="470"/>
        <w:gridCol w:w="109"/>
        <w:gridCol w:w="109"/>
        <w:gridCol w:w="109"/>
        <w:gridCol w:w="495"/>
        <w:gridCol w:w="481"/>
        <w:gridCol w:w="367"/>
        <w:gridCol w:w="109"/>
        <w:gridCol w:w="109"/>
        <w:gridCol w:w="109"/>
        <w:gridCol w:w="225"/>
        <w:gridCol w:w="769"/>
        <w:gridCol w:w="116"/>
        <w:gridCol w:w="109"/>
        <w:gridCol w:w="109"/>
        <w:gridCol w:w="109"/>
        <w:gridCol w:w="1147"/>
        <w:gridCol w:w="982"/>
        <w:gridCol w:w="985"/>
        <w:gridCol w:w="109"/>
        <w:gridCol w:w="109"/>
        <w:gridCol w:w="109"/>
        <w:gridCol w:w="291"/>
        <w:gridCol w:w="1350"/>
        <w:gridCol w:w="219"/>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Number of</w:t>
              <w:br/>
              <w:t>Shares</w:t>
              <w:br/>
              <w:t>Purchased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w:t>
              <w:br/>
              <w:t>Price Paid</w:t>
              <w:br/>
              <w:t>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Under Announced Programs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Approximate</w:t>
              <w:br/>
              <w:t xml:space="preserve">Dollar Value of Shares </w:t>
              <w:br/>
              <w:t xml:space="preserve">That May Yet Be Purchased </w:t>
              <w:br/>
              <w:t>Under the Plans or Programs</w:t>
              <w:br/>
              <w:t>(in thousands)</w:t>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to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509,508 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509,251 </w:t>
            </w:r>
          </w:p>
        </w:tc>
        <w:tc>
          <w:tcPr>
            <w:tcW w:w="9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1,236,756 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to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1,420,708 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1,419,948 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1,017,758 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to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1,699,959 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1,699,739 </w:t>
            </w:r>
          </w:p>
        </w:tc>
        <w:tc>
          <w:tcPr>
            <w:tcW w:w="9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771,818 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 the quarter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3,630,175 </w:t>
            </w:r>
          </w:p>
        </w:tc>
        <w:tc>
          <w:tcPr>
            <w:tcW w:w="3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3,628,938 </w:t>
            </w:r>
          </w:p>
        </w:tc>
        <w:tc>
          <w:tcPr>
            <w:tcW w:w="9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20"/>
          <w:shd w:fill="FFFFFF" w:val="clear"/>
        </w:rPr>
        <w:t>(1)</w:t>
      </w:r>
      <w:r>
        <w:rPr>
          <w:rFonts w:ascii="Times New Roman;serif" w:hAnsi="Times New Roman;serif"/>
          <w:b w:val="false"/>
          <w:color w:val="000000"/>
          <w:sz w:val="20"/>
        </w:rPr>
        <w:t xml:space="preserve">The repurchased shares during the three months ended June 30, 2026 included 1,237 shares purchased for the settlement of stock-based compensation awards and 3,628,938 shares purchased in the open market. Amounts presented exclude the excise tax accrual.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Insider Trading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director or Section 16 officer adopted or terminated a trading arrangement intended to satisfy the affirmative defense conditions of Rule 10b5-1(c) or a non-Rule 10b5–1 trading arrangement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6. EXHIBITS</w:t>
      </w:r>
    </w:p>
    <w:tbl>
      <w:tblPr>
        <w:tblW w:w="10205"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2606"/>
        <w:gridCol w:w="2606"/>
        <w:gridCol w:w="3690"/>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3690"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DOCUMENT</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Restated Certificate of Incorporation of the Company (Incorporated by reference from the Company’s Current Report on Form 8-K filed on July 6, 2005).</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By-laws of Gartner, Inc, effective October 30, 2025. (Incorporated by reference from the Company’s Quarterly Report on Form 10-Q filed on November 4, 2025).</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t-06302026xex311.htm">
              <w:r>
                <w:rPr>
                  <w:rStyle w:val="InternetLink"/>
                  <w:rFonts w:ascii="Times New Roman;serif" w:hAnsi="Times New Roman;serif"/>
                  <w:b w:val="false"/>
                  <w:color w:val="0000FF"/>
                  <w:sz w:val="20"/>
                  <w:u w:val="single"/>
                </w:rPr>
                <w:t>31.1</w:t>
              </w:r>
            </w:hyperlink>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t-06302026xex311.htm">
              <w:r>
                <w:rPr>
                  <w:rStyle w:val="InternetLink"/>
                  <w:rFonts w:ascii="Times New Roman;serif" w:hAnsi="Times New Roman;serif"/>
                  <w:b w:val="false"/>
                  <w:color w:val="0000FF"/>
                  <w:sz w:val="20"/>
                  <w:u w:val="single"/>
                </w:rPr>
                <w:t>Certification of chief executive officer under Rule 13a — 14(a)/15d — 14(a).</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t-06302026xex312.htm">
              <w:r>
                <w:rPr>
                  <w:rStyle w:val="InternetLink"/>
                  <w:rFonts w:ascii="Times New Roman;serif" w:hAnsi="Times New Roman;serif"/>
                  <w:b w:val="false"/>
                  <w:color w:val="0000FF"/>
                  <w:sz w:val="20"/>
                  <w:u w:val="single"/>
                </w:rPr>
                <w:t>31.2</w:t>
              </w:r>
            </w:hyperlink>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t-06302026xex312.htm">
              <w:r>
                <w:rPr>
                  <w:rStyle w:val="InternetLink"/>
                  <w:rFonts w:ascii="Times New Roman;serif" w:hAnsi="Times New Roman;serif"/>
                  <w:b w:val="false"/>
                  <w:color w:val="0000FF"/>
                  <w:sz w:val="20"/>
                  <w:u w:val="single"/>
                </w:rPr>
                <w:t>Certification of chief financial officer under Rule 13a — 14(a)/15d — 14(a).</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t-06302026xex32.htm">
              <w:r>
                <w:rPr>
                  <w:rStyle w:val="InternetLink"/>
                  <w:rFonts w:ascii="Times New Roman;serif" w:hAnsi="Times New Roman;serif"/>
                  <w:b w:val="false"/>
                  <w:color w:val="0000FF"/>
                  <w:sz w:val="20"/>
                  <w:u w:val="single"/>
                </w:rPr>
                <w:t>32</w:t>
              </w:r>
            </w:hyperlink>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t-06302026xex32.htm">
              <w:r>
                <w:rPr>
                  <w:rStyle w:val="InternetLink"/>
                  <w:rFonts w:ascii="Times New Roman;serif" w:hAnsi="Times New Roman;serif"/>
                  <w:b w:val="false"/>
                  <w:color w:val="0000FF"/>
                  <w:sz w:val="20"/>
                  <w:u w:val="single"/>
                </w:rPr>
                <w:t>Certification under 18 U.S.C. 1350.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Schema Document. </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Calculation Linkbase Document. </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Label Linkbase Document. </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Presentation Linkbase Document. </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(included as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20"/>
          <w:shd w:fill="FFFFFF" w:val="clear"/>
        </w:rPr>
        <w:t>*     Filed with</w:t>
      </w:r>
      <w:r>
        <w:rPr>
          <w:color w:val="000000"/>
        </w:rPr>
        <w:t xml:space="preserve"> </w:t>
      </w:r>
      <w:r>
        <w:rPr>
          <w:rFonts w:ascii="Times New Roman;serif" w:hAnsi="Times New Roman;serif"/>
          <w:b w:val="false"/>
          <w:color w:val="000000"/>
          <w:sz w:val="20"/>
        </w:rPr>
        <w:t>this report.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Items 3 and 4</w:t>
      </w:r>
      <w:r>
        <w:rPr>
          <w:color w:val="000000"/>
        </w:rPr>
        <w:t xml:space="preserve"> </w:t>
      </w:r>
      <w:r>
        <w:rPr>
          <w:rFonts w:ascii="Times New Roman;serif" w:hAnsi="Times New Roman;serif"/>
          <w:b w:val="false"/>
          <w:color w:val="000000"/>
          <w:sz w:val="20"/>
        </w:rPr>
        <w:t>of Part II are not applicable and have been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shd w:fill="FFFFFF" w:val="clear"/>
        </w:rPr>
        <w:t>Pursuant to</w:t>
      </w:r>
      <w:r>
        <w:rPr>
          <w:color w:val="000000"/>
        </w:rPr>
        <w:t xml:space="preserve"> </w:t>
      </w:r>
      <w:r>
        <w:rPr>
          <w:rFonts w:ascii="Times New Roman;serif" w:hAnsi="Times New Roman;serif"/>
          <w:b w:val="false"/>
          <w:color w:val="000000"/>
          <w:sz w:val="20"/>
        </w:rPr>
        <w:t>the requirements of the Securities Exchange Act of 1934, the registrant has caused this report to be signed on its behalf by the undersigned thereunto duly authorized.</w:t>
      </w:r>
    </w:p>
    <w:tbl>
      <w:tblPr>
        <w:tblW w:w="6387"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298"/>
        <w:gridCol w:w="1298"/>
        <w:gridCol w:w="1843"/>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Gartner,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W. Safian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W. Safian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Eugene A. Hall, certify that:</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2026, of Gartner, Inc.;</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720"/>
        <w:jc w:val="both"/>
        <w:rPr>
          <w:color w:val="000000"/>
        </w:rPr>
      </w:pPr>
      <w:r>
        <w:rPr>
          <w:color w:val="000000"/>
        </w:rPr>
        <w:t> </w:t>
      </w:r>
    </w:p>
    <w:tbl>
      <w:tblPr>
        <w:tblW w:w="2085" w:type="dxa"/>
        <w:jc w:val="left"/>
        <w:tblInd w:w="0" w:type="dxa"/>
        <w:tblLayout w:type="fixed"/>
        <w:tblCellMar>
          <w:top w:w="28" w:type="dxa"/>
          <w:left w:w="28" w:type="dxa"/>
          <w:bottom w:w="28" w:type="dxa"/>
          <w:right w:w="28" w:type="dxa"/>
        </w:tblCellMar>
      </w:tblPr>
      <w:tblGrid>
        <w:gridCol w:w="665"/>
        <w:gridCol w:w="583"/>
        <w:gridCol w:w="837"/>
      </w:tblGrid>
      <w:tr>
        <w:trPr/>
        <w:tc>
          <w:tcPr>
            <w:tcW w:w="66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Eugene A. Hall</w:t>
            </w:r>
          </w:p>
        </w:tc>
      </w:tr>
      <w:tr>
        <w:trPr/>
        <w:tc>
          <w:tcPr>
            <w:tcW w:w="2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Eugene A. Hall</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Craig W. Safian, certify that:</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2026, of Gartner, Inc.;</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540"/>
        <w:jc w:val="both"/>
        <w:rPr/>
      </w:pPr>
      <w:r>
        <w:rPr/>
      </w:r>
    </w:p>
    <w:tbl>
      <w:tblPr>
        <w:tblW w:w="2025" w:type="dxa"/>
        <w:jc w:val="left"/>
        <w:tblInd w:w="0" w:type="dxa"/>
        <w:tblLayout w:type="fixed"/>
        <w:tblCellMar>
          <w:top w:w="28" w:type="dxa"/>
          <w:left w:w="28" w:type="dxa"/>
          <w:bottom w:w="28" w:type="dxa"/>
          <w:right w:w="28" w:type="dxa"/>
        </w:tblCellMar>
      </w:tblPr>
      <w:tblGrid>
        <w:gridCol w:w="647"/>
        <w:gridCol w:w="569"/>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W. Safian</w:t>
            </w:r>
          </w:p>
        </w:tc>
      </w:tr>
      <w:tr>
        <w:trPr/>
        <w:tc>
          <w:tcPr>
            <w:tcW w:w="2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W. Safian</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Gartner, Inc. (the “Company”) on Form 10-Q for the quarter ended June 30, 2026, as filed with the Securities and Exchange Commission on the date hereof (the “Report”), Eugene A. Hall, Chief Executive Officer of the Company, and Craig W. Safian, Chief Financial Officer of the Company, each hereby certifies, pursuant to 18 U.S.C. § 1350, as adopted pursuant to Section 906 of the Sarbanes-Oxley Act of 2002, that:</w:t>
      </w:r>
    </w:p>
    <w:p>
      <w:pPr>
        <w:pStyle w:val="TextBody"/>
        <w:bidi w:val="0"/>
        <w:spacing w:lineRule="auto" w:line="312" w:before="0" w:after="0"/>
        <w:ind w:left="0" w:right="0" w:firstLine="720"/>
        <w:jc w:val="both"/>
        <w:rPr>
          <w:color w:val="000000"/>
        </w:rPr>
      </w:pPr>
      <w:r>
        <w:rPr>
          <w:color w:val="000000"/>
        </w:rPr>
        <w:t> </w:t>
      </w:r>
    </w:p>
    <w:p>
      <w:pPr>
        <w:pStyle w:val="TextBody"/>
        <w:bidi w:val="0"/>
        <w:spacing w:lineRule="auto" w:line="312" w:before="0" w:after="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ind w:left="0" w:right="0" w:hanging="450"/>
        <w:jc w:val="both"/>
        <w:rPr/>
      </w:pPr>
      <w:r>
        <w:rPr/>
      </w:r>
    </w:p>
    <w:p>
      <w:pPr>
        <w:pStyle w:val="TextBody"/>
        <w:bidi w:val="0"/>
        <w:spacing w:lineRule="auto" w:line="312" w:before="0" w:after="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ind w:left="0" w:right="0" w:hanging="450"/>
        <w:jc w:val="both"/>
        <w:rPr/>
      </w:pPr>
      <w:r>
        <w:rPr/>
      </w:r>
    </w:p>
    <w:tbl>
      <w:tblPr>
        <w:tblW w:w="2997" w:type="dxa"/>
        <w:jc w:val="left"/>
        <w:tblInd w:w="0" w:type="dxa"/>
        <w:tblLayout w:type="fixed"/>
        <w:tblCellMar>
          <w:top w:w="28" w:type="dxa"/>
          <w:left w:w="28" w:type="dxa"/>
          <w:bottom w:w="28" w:type="dxa"/>
          <w:right w:w="28" w:type="dxa"/>
        </w:tblCellMar>
      </w:tblPr>
      <w:tblGrid>
        <w:gridCol w:w="946"/>
        <w:gridCol w:w="834"/>
        <w:gridCol w:w="845"/>
        <w:gridCol w:w="109"/>
        <w:gridCol w:w="109"/>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Eugene A. Hall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Eugene A. Hall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W. Safian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Craig W. Safian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49251/000095012305008192/y10586exv3w1.htm" TargetMode="External"/><Relationship Id="rId3" Type="http://schemas.openxmlformats.org/officeDocument/2006/relationships/hyperlink" Target="https://www.sec.gov/Archives/edgar/data/749251/000074925125000082/ex32-byxlawsofgartnerinc_o.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18643</Words>
  <Characters>104163</Characters>
  <CharactersWithSpaces>121301</CharactersWithSpaces>
  <Paragraphs>2808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