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7845" w:type="dxa"/>
        <w:jc w:val="left"/>
        <w:tblInd w:w="0" w:type="dxa"/>
        <w:tblLayout w:type="fixed"/>
        <w:tblCellMar>
          <w:top w:w="28" w:type="dxa"/>
          <w:left w:w="28" w:type="dxa"/>
          <w:bottom w:w="28" w:type="dxa"/>
          <w:right w:w="28" w:type="dxa"/>
        </w:tblCellMar>
      </w:tblPr>
      <w:tblGrid>
        <w:gridCol w:w="2511"/>
        <w:gridCol w:w="2208"/>
        <w:gridCol w:w="3126"/>
      </w:tblGrid>
      <w:tr>
        <w:trPr/>
        <w:tc>
          <w:tcPr>
            <w:tcW w:w="2511"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r>
      <w:tr>
        <w:trPr/>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UNITED STATES</w:t>
            </w:r>
          </w:p>
        </w:tc>
      </w:tr>
      <w:tr>
        <w:trPr/>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tc>
      </w:tr>
      <w:tr>
        <w:trPr/>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Washington, D.C. 20549</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4290" w:type="dxa"/>
        <w:jc w:val="center"/>
        <w:tblInd w:w="0" w:type="dxa"/>
        <w:tblLayout w:type="fixed"/>
        <w:tblCellMar>
          <w:top w:w="28" w:type="dxa"/>
          <w:left w:w="28" w:type="dxa"/>
          <w:bottom w:w="28" w:type="dxa"/>
          <w:right w:w="28" w:type="dxa"/>
        </w:tblCellMar>
      </w:tblPr>
      <w:tblGrid>
        <w:gridCol w:w="1373"/>
        <w:gridCol w:w="1208"/>
        <w:gridCol w:w="1709"/>
      </w:tblGrid>
      <w:tr>
        <w:trPr/>
        <w:tc>
          <w:tcPr>
            <w:tcW w:w="137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CURRENT REPORT</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Securities Exchange Act of 1934</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28, 2026</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GARTNER, INC.</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tbl>
      <w:tblPr>
        <w:tblW w:w="7101" w:type="dxa"/>
        <w:jc w:val="left"/>
        <w:tblInd w:w="0" w:type="dxa"/>
        <w:tblLayout w:type="fixed"/>
        <w:tblCellMar>
          <w:top w:w="28" w:type="dxa"/>
          <w:left w:w="28" w:type="dxa"/>
          <w:bottom w:w="28" w:type="dxa"/>
          <w:right w:w="28" w:type="dxa"/>
        </w:tblCellMar>
      </w:tblPr>
      <w:tblGrid>
        <w:gridCol w:w="908"/>
        <w:gridCol w:w="796"/>
        <w:gridCol w:w="800"/>
        <w:gridCol w:w="109"/>
        <w:gridCol w:w="109"/>
        <w:gridCol w:w="109"/>
        <w:gridCol w:w="762"/>
        <w:gridCol w:w="762"/>
        <w:gridCol w:w="770"/>
        <w:gridCol w:w="109"/>
        <w:gridCol w:w="109"/>
        <w:gridCol w:w="109"/>
        <w:gridCol w:w="481"/>
        <w:gridCol w:w="481"/>
        <w:gridCol w:w="687"/>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1-14443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04-3099750</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P.O. Box 10212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56 Top Gallant Road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Stamford, CT 06902-7747 </w:t>
      </w:r>
    </w:p>
    <w:tbl>
      <w:tblPr>
        <w:tblW w:w="5100" w:type="dxa"/>
        <w:jc w:val="center"/>
        <w:tblInd w:w="0" w:type="dxa"/>
        <w:tblLayout w:type="fixed"/>
        <w:tblCellMar>
          <w:top w:w="28" w:type="dxa"/>
          <w:left w:w="28" w:type="dxa"/>
          <w:bottom w:w="28" w:type="dxa"/>
          <w:right w:w="28" w:type="dxa"/>
        </w:tblCellMar>
      </w:tblPr>
      <w:tblGrid>
        <w:gridCol w:w="1631"/>
        <w:gridCol w:w="1436"/>
        <w:gridCol w:w="2033"/>
      </w:tblGrid>
      <w:tr>
        <w:trPr/>
        <w:tc>
          <w:tcPr>
            <w:tcW w:w="163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(203) 964-0096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Securities Exchange Act of 1934: </w:t>
      </w:r>
    </w:p>
    <w:tbl>
      <w:tblPr>
        <w:tblW w:w="8834" w:type="dxa"/>
        <w:jc w:val="left"/>
        <w:tblInd w:w="0" w:type="dxa"/>
        <w:tblLayout w:type="fixed"/>
        <w:tblCellMar>
          <w:top w:w="28" w:type="dxa"/>
          <w:left w:w="28" w:type="dxa"/>
          <w:bottom w:w="28" w:type="dxa"/>
          <w:right w:w="28" w:type="dxa"/>
        </w:tblCellMar>
      </w:tblPr>
      <w:tblGrid>
        <w:gridCol w:w="1342"/>
        <w:gridCol w:w="1174"/>
        <w:gridCol w:w="1189"/>
        <w:gridCol w:w="474"/>
        <w:gridCol w:w="474"/>
        <w:gridCol w:w="476"/>
        <w:gridCol w:w="1085"/>
        <w:gridCol w:w="1085"/>
        <w:gridCol w:w="1535"/>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$0.0005 par value per share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both"/>
        <w:rPr/>
      </w:pPr>
      <w:r>
        <w:rPr/>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20" w:after="283"/>
        <w:jc w:val="both"/>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5.07.</w:t>
      </w:r>
      <w:r>
        <w:rPr>
          <w:color w:val="000000"/>
        </w:rPr>
        <w:t xml:space="preserve"> </w:t>
      </w:r>
      <w:r>
        <w:rPr>
          <w:rFonts w:ascii="Times New Roman;serif" w:hAnsi="Times New Roman;serif"/>
          <w:b/>
          <w:color w:val="000000"/>
          <w:sz w:val="20"/>
        </w:rPr>
        <w:t>SUBMISSION OF MATTERS TO A VOTE OF SECURITY HOLDERS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2026 Annual Meeting of Stockholders of Gartner, Inc. (the “Company”) was held on May 28, 2026. With respect to the three proposals put before the stockholders, the voting results were as follows: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Proposal 1 – Election of thirteen nominees to the Company’s Board of Directors: </w:t>
      </w:r>
    </w:p>
    <w:tbl>
      <w:tblPr>
        <w:tblW w:w="6431" w:type="dxa"/>
        <w:jc w:val="left"/>
        <w:tblInd w:w="0" w:type="dxa"/>
        <w:tblLayout w:type="fixed"/>
        <w:tblCellMar>
          <w:top w:w="28" w:type="dxa"/>
          <w:left w:w="28" w:type="dxa"/>
          <w:bottom w:w="28" w:type="dxa"/>
          <w:right w:w="28" w:type="dxa"/>
        </w:tblCellMar>
      </w:tblPr>
      <w:tblGrid>
        <w:gridCol w:w="746"/>
        <w:gridCol w:w="655"/>
        <w:gridCol w:w="663"/>
        <w:gridCol w:w="344"/>
        <w:gridCol w:w="344"/>
        <w:gridCol w:w="348"/>
        <w:gridCol w:w="308"/>
        <w:gridCol w:w="308"/>
        <w:gridCol w:w="315"/>
        <w:gridCol w:w="259"/>
        <w:gridCol w:w="259"/>
        <w:gridCol w:w="263"/>
        <w:gridCol w:w="474"/>
        <w:gridCol w:w="474"/>
        <w:gridCol w:w="671"/>
      </w:tblGrid>
      <w:tr>
        <w:trPr/>
        <w:tc>
          <w:tcPr>
            <w:tcW w:w="74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For</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Against</w:t>
            </w:r>
          </w:p>
        </w:tc>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Abstain</w:t>
            </w:r>
          </w:p>
        </w:tc>
        <w:tc>
          <w:tcPr>
            <w:tcW w:w="16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Broker Non-Votes</w:t>
            </w:r>
          </w:p>
        </w:tc>
      </w:tr>
      <w:tr>
        <w:trPr/>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20"/>
              </w:rPr>
            </w:pPr>
            <w:r>
              <w:rPr>
                <w:rFonts w:ascii="Times New Roman;serif" w:hAnsi="Times New Roman;serif"/>
                <w:b w:val="false"/>
                <w:color w:val="000000"/>
                <w:sz w:val="20"/>
              </w:rPr>
              <w:t>Peter E. Bisson</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59,667,578</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258,094</w:t>
            </w:r>
          </w:p>
        </w:tc>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14,384</w:t>
            </w:r>
          </w:p>
        </w:tc>
        <w:tc>
          <w:tcPr>
            <w:tcW w:w="16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ind w:left="0" w:right="0" w:firstLine="55"/>
              <w:jc w:val="right"/>
              <w:rPr>
                <w:rFonts w:ascii="Times New Roman;serif" w:hAnsi="Times New Roman;serif"/>
                <w:b w:val="false"/>
                <w:color w:val="000000"/>
                <w:sz w:val="20"/>
              </w:rPr>
            </w:pPr>
            <w:r>
              <w:rPr>
                <w:rFonts w:ascii="Times New Roman;serif" w:hAnsi="Times New Roman;serif"/>
                <w:b w:val="false"/>
                <w:color w:val="000000"/>
                <w:sz w:val="20"/>
              </w:rPr>
              <w:t>4,108,524</w:t>
            </w:r>
          </w:p>
        </w:tc>
      </w:tr>
      <w:tr>
        <w:trPr/>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Edward P. Bousa</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59,452,364</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459,036</w:t>
            </w:r>
          </w:p>
        </w:tc>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28,656</w:t>
            </w:r>
          </w:p>
        </w:tc>
        <w:tc>
          <w:tcPr>
            <w:tcW w:w="16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4,108,524</w:t>
            </w:r>
          </w:p>
        </w:tc>
      </w:tr>
      <w:tr>
        <w:trPr/>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20"/>
              </w:rPr>
            </w:pPr>
            <w:r>
              <w:rPr>
                <w:rFonts w:ascii="Times New Roman;serif" w:hAnsi="Times New Roman;serif"/>
                <w:b w:val="false"/>
                <w:color w:val="000000"/>
                <w:sz w:val="20"/>
              </w:rPr>
              <w:t>Richard J. Bressler</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55,478,769</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4,431,742</w:t>
            </w:r>
          </w:p>
        </w:tc>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29,545</w:t>
            </w:r>
          </w:p>
        </w:tc>
        <w:tc>
          <w:tcPr>
            <w:tcW w:w="16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4,108,524</w:t>
            </w:r>
          </w:p>
        </w:tc>
      </w:tr>
      <w:tr>
        <w:trPr/>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20"/>
              </w:rPr>
            </w:pPr>
            <w:r>
              <w:rPr>
                <w:rFonts w:ascii="Times New Roman;serif" w:hAnsi="Times New Roman;serif"/>
                <w:b w:val="false"/>
                <w:color w:val="000000"/>
                <w:sz w:val="20"/>
              </w:rPr>
              <w:t>Raul E. Cesan</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57,466,713</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2,458,449</w:t>
            </w:r>
          </w:p>
        </w:tc>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14,894</w:t>
            </w:r>
          </w:p>
        </w:tc>
        <w:tc>
          <w:tcPr>
            <w:tcW w:w="16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4,108,524</w:t>
            </w:r>
          </w:p>
        </w:tc>
      </w:tr>
      <w:tr>
        <w:trPr/>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20"/>
              </w:rPr>
            </w:pPr>
            <w:r>
              <w:rPr>
                <w:rFonts w:ascii="Times New Roman;serif" w:hAnsi="Times New Roman;serif"/>
                <w:b w:val="false"/>
                <w:color w:val="000000"/>
                <w:sz w:val="20"/>
              </w:rPr>
              <w:t>Karen E. Dykstra</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55,388,556</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4,537,774</w:t>
            </w:r>
          </w:p>
        </w:tc>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13,726</w:t>
            </w:r>
          </w:p>
        </w:tc>
        <w:tc>
          <w:tcPr>
            <w:tcW w:w="16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4,108,524</w:t>
            </w:r>
          </w:p>
        </w:tc>
      </w:tr>
      <w:tr>
        <w:trPr/>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20"/>
              </w:rPr>
            </w:pPr>
            <w:r>
              <w:rPr>
                <w:rFonts w:ascii="Times New Roman;serif" w:hAnsi="Times New Roman;serif"/>
                <w:b w:val="false"/>
                <w:color w:val="000000"/>
                <w:sz w:val="20"/>
              </w:rPr>
              <w:t>Diana S. Ferguson</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51,575,373</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8,349,045</w:t>
            </w:r>
          </w:p>
        </w:tc>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15,638</w:t>
            </w:r>
          </w:p>
        </w:tc>
        <w:tc>
          <w:tcPr>
            <w:tcW w:w="16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4,108,524</w:t>
            </w:r>
          </w:p>
        </w:tc>
      </w:tr>
      <w:tr>
        <w:trPr/>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20"/>
              </w:rPr>
            </w:pPr>
            <w:r>
              <w:rPr>
                <w:rFonts w:ascii="Times New Roman;serif" w:hAnsi="Times New Roman;serif"/>
                <w:b w:val="false"/>
                <w:color w:val="000000"/>
                <w:sz w:val="20"/>
              </w:rPr>
              <w:t>Anne Sutherland Fuchs</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55,065,952</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4,858,482</w:t>
            </w:r>
          </w:p>
        </w:tc>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15,622</w:t>
            </w:r>
          </w:p>
        </w:tc>
        <w:tc>
          <w:tcPr>
            <w:tcW w:w="16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4,108,524</w:t>
            </w:r>
          </w:p>
        </w:tc>
      </w:tr>
      <w:tr>
        <w:trPr/>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20"/>
              </w:rPr>
            </w:pPr>
            <w:r>
              <w:rPr>
                <w:rFonts w:ascii="Times New Roman;serif" w:hAnsi="Times New Roman;serif"/>
                <w:b w:val="false"/>
                <w:color w:val="000000"/>
                <w:sz w:val="20"/>
              </w:rPr>
              <w:t>William O. Grabe</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54,984,038</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4,940,419</w:t>
            </w:r>
          </w:p>
        </w:tc>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15,599</w:t>
            </w:r>
          </w:p>
        </w:tc>
        <w:tc>
          <w:tcPr>
            <w:tcW w:w="16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4,108,524</w:t>
            </w:r>
          </w:p>
        </w:tc>
      </w:tr>
      <w:tr>
        <w:trPr/>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23" w:before="0" w:after="0"/>
              <w:ind w:left="0" w:right="0" w:firstLine="55"/>
              <w:jc w:val="left"/>
              <w:rPr>
                <w:rFonts w:ascii="Times New Roman;serif" w:hAnsi="Times New Roman;serif"/>
                <w:b w:val="false"/>
                <w:color w:val="000000"/>
                <w:sz w:val="20"/>
              </w:rPr>
            </w:pPr>
            <w:r>
              <w:rPr>
                <w:rFonts w:ascii="Times New Roman;serif" w:hAnsi="Times New Roman;serif"/>
                <w:b w:val="false"/>
                <w:color w:val="000000"/>
                <w:sz w:val="20"/>
              </w:rPr>
              <w:t>José M. Gutiérrez</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59,627,286</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296,368</w:t>
            </w:r>
          </w:p>
        </w:tc>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16,402</w:t>
            </w:r>
          </w:p>
        </w:tc>
        <w:tc>
          <w:tcPr>
            <w:tcW w:w="16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4,108,524</w:t>
            </w:r>
          </w:p>
        </w:tc>
      </w:tr>
      <w:tr>
        <w:trPr/>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20"/>
              </w:rPr>
            </w:pPr>
            <w:r>
              <w:rPr>
                <w:rFonts w:ascii="Times New Roman;serif" w:hAnsi="Times New Roman;serif"/>
                <w:b w:val="false"/>
                <w:color w:val="000000"/>
                <w:sz w:val="20"/>
              </w:rPr>
              <w:t>Eugene A. Hall</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56,607,811</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3,133,094</w:t>
            </w:r>
          </w:p>
        </w:tc>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199,151</w:t>
            </w:r>
          </w:p>
        </w:tc>
        <w:tc>
          <w:tcPr>
            <w:tcW w:w="16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4,108,524</w:t>
            </w:r>
          </w:p>
        </w:tc>
      </w:tr>
      <w:tr>
        <w:trPr/>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20"/>
              </w:rPr>
            </w:pPr>
            <w:r>
              <w:rPr>
                <w:rFonts w:ascii="Times New Roman;serif" w:hAnsi="Times New Roman;serif"/>
                <w:b w:val="false"/>
                <w:color w:val="000000"/>
                <w:sz w:val="20"/>
              </w:rPr>
              <w:t>Stephen G. Pagliuca</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55,338,566</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4,571,565</w:t>
            </w:r>
          </w:p>
        </w:tc>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29,925</w:t>
            </w:r>
          </w:p>
        </w:tc>
        <w:tc>
          <w:tcPr>
            <w:tcW w:w="16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4,108,524</w:t>
            </w:r>
          </w:p>
        </w:tc>
      </w:tr>
      <w:tr>
        <w:trPr/>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20"/>
              </w:rPr>
            </w:pPr>
            <w:r>
              <w:rPr>
                <w:rFonts w:ascii="Times New Roman;serif" w:hAnsi="Times New Roman;serif"/>
                <w:b w:val="false"/>
                <w:color w:val="000000"/>
                <w:sz w:val="20"/>
              </w:rPr>
              <w:t>Daniela L. Rus</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59,779,695</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131,398</w:t>
            </w:r>
          </w:p>
        </w:tc>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28,963</w:t>
            </w:r>
          </w:p>
        </w:tc>
        <w:tc>
          <w:tcPr>
            <w:tcW w:w="16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4,108,524</w:t>
            </w:r>
          </w:p>
        </w:tc>
      </w:tr>
      <w:tr>
        <w:trPr/>
        <w:tc>
          <w:tcPr>
            <w:tcW w:w="20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20"/>
              </w:rPr>
            </w:pPr>
            <w:r>
              <w:rPr>
                <w:rFonts w:ascii="Times New Roman;serif" w:hAnsi="Times New Roman;serif"/>
                <w:b w:val="false"/>
                <w:color w:val="000000"/>
                <w:sz w:val="20"/>
              </w:rPr>
              <w:t>Eileen M. Serra</w:t>
            </w:r>
          </w:p>
        </w:tc>
        <w:tc>
          <w:tcPr>
            <w:tcW w:w="103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58,286,822</w:t>
            </w:r>
          </w:p>
        </w:tc>
        <w:tc>
          <w:tcPr>
            <w:tcW w:w="9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1,637,928</w:t>
            </w:r>
          </w:p>
        </w:tc>
        <w:tc>
          <w:tcPr>
            <w:tcW w:w="7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15,306</w:t>
            </w:r>
          </w:p>
        </w:tc>
        <w:tc>
          <w:tcPr>
            <w:tcW w:w="161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4,108,524</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Proposal 2 – Approval, on an advisory basis, of the compensation of the Company’s named executive officers:</w:t>
      </w:r>
    </w:p>
    <w:tbl>
      <w:tblPr>
        <w:tblW w:w="2726" w:type="dxa"/>
        <w:jc w:val="left"/>
        <w:tblInd w:w="0" w:type="dxa"/>
        <w:tblLayout w:type="fixed"/>
        <w:tblCellMar>
          <w:top w:w="28" w:type="dxa"/>
          <w:left w:w="28" w:type="dxa"/>
          <w:bottom w:w="28" w:type="dxa"/>
          <w:right w:w="28" w:type="dxa"/>
        </w:tblCellMar>
      </w:tblPr>
      <w:tblGrid>
        <w:gridCol w:w="596"/>
        <w:gridCol w:w="523"/>
        <w:gridCol w:w="526"/>
        <w:gridCol w:w="316"/>
        <w:gridCol w:w="316"/>
        <w:gridCol w:w="449"/>
      </w:tblGrid>
      <w:tr>
        <w:trPr/>
        <w:tc>
          <w:tcPr>
            <w:tcW w:w="59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20"/>
              </w:rPr>
            </w:pPr>
            <w:r>
              <w:rPr>
                <w:rFonts w:ascii="Times New Roman;serif" w:hAnsi="Times New Roman;serif"/>
                <w:b w:val="false"/>
                <w:color w:val="000000"/>
                <w:sz w:val="20"/>
              </w:rPr>
              <w:t>Votes For</w:t>
            </w:r>
          </w:p>
        </w:tc>
        <w:tc>
          <w:tcPr>
            <w:tcW w:w="10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52,244,896</w:t>
            </w:r>
          </w:p>
        </w:tc>
      </w:tr>
      <w:tr>
        <w:trPr/>
        <w:tc>
          <w:tcPr>
            <w:tcW w:w="16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20"/>
              </w:rPr>
            </w:pPr>
            <w:r>
              <w:rPr>
                <w:rFonts w:ascii="Times New Roman;serif" w:hAnsi="Times New Roman;serif"/>
                <w:b w:val="false"/>
                <w:color w:val="000000"/>
                <w:sz w:val="20"/>
              </w:rPr>
              <w:t>Votes Against</w:t>
            </w:r>
          </w:p>
        </w:tc>
        <w:tc>
          <w:tcPr>
            <w:tcW w:w="10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7,577,911</w:t>
            </w:r>
          </w:p>
        </w:tc>
      </w:tr>
      <w:tr>
        <w:trPr/>
        <w:tc>
          <w:tcPr>
            <w:tcW w:w="16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20"/>
              </w:rPr>
            </w:pPr>
            <w:r>
              <w:rPr>
                <w:rFonts w:ascii="Times New Roman;serif" w:hAnsi="Times New Roman;serif"/>
                <w:b w:val="false"/>
                <w:color w:val="000000"/>
                <w:sz w:val="20"/>
              </w:rPr>
              <w:t>Abstentions</w:t>
            </w:r>
          </w:p>
        </w:tc>
        <w:tc>
          <w:tcPr>
            <w:tcW w:w="10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117,249</w:t>
            </w:r>
          </w:p>
        </w:tc>
      </w:tr>
      <w:tr>
        <w:trPr/>
        <w:tc>
          <w:tcPr>
            <w:tcW w:w="16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ind w:left="0" w:right="0" w:firstLine="55"/>
              <w:jc w:val="left"/>
              <w:rPr>
                <w:rFonts w:ascii="Times New Roman;serif" w:hAnsi="Times New Roman;serif"/>
                <w:b w:val="false"/>
                <w:color w:val="000000"/>
                <w:sz w:val="20"/>
              </w:rPr>
            </w:pPr>
            <w:r>
              <w:rPr>
                <w:rFonts w:ascii="Times New Roman;serif" w:hAnsi="Times New Roman;serif"/>
                <w:b w:val="false"/>
                <w:color w:val="000000"/>
                <w:sz w:val="20"/>
              </w:rPr>
              <w:t>Broker Non-Votes</w:t>
            </w:r>
          </w:p>
        </w:tc>
        <w:tc>
          <w:tcPr>
            <w:tcW w:w="108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4,108,524</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Proposal 3 – Ratification of the appointment of KPMG LLP as the Company’s independent registered public accounting firm for the 2026 fiscal year: </w:t>
      </w:r>
    </w:p>
    <w:tbl>
      <w:tblPr>
        <w:tblW w:w="2670" w:type="dxa"/>
        <w:jc w:val="left"/>
        <w:tblInd w:w="0" w:type="dxa"/>
        <w:tblLayout w:type="fixed"/>
        <w:tblCellMar>
          <w:top w:w="28" w:type="dxa"/>
          <w:left w:w="28" w:type="dxa"/>
          <w:bottom w:w="28" w:type="dxa"/>
          <w:right w:w="28" w:type="dxa"/>
        </w:tblCellMar>
      </w:tblPr>
      <w:tblGrid>
        <w:gridCol w:w="574"/>
        <w:gridCol w:w="504"/>
        <w:gridCol w:w="511"/>
        <w:gridCol w:w="316"/>
        <w:gridCol w:w="316"/>
        <w:gridCol w:w="449"/>
      </w:tblGrid>
      <w:tr>
        <w:trPr/>
        <w:tc>
          <w:tcPr>
            <w:tcW w:w="57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Votes For</w:t>
            </w:r>
          </w:p>
        </w:tc>
        <w:tc>
          <w:tcPr>
            <w:tcW w:w="10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56,028,004</w:t>
            </w:r>
          </w:p>
        </w:tc>
      </w:tr>
      <w:tr>
        <w:trPr/>
        <w:tc>
          <w:tcPr>
            <w:tcW w:w="1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Votes Against</w:t>
            </w:r>
          </w:p>
        </w:tc>
        <w:tc>
          <w:tcPr>
            <w:tcW w:w="10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8,006,764</w:t>
            </w:r>
          </w:p>
        </w:tc>
      </w:tr>
      <w:tr>
        <w:trPr/>
        <w:tc>
          <w:tcPr>
            <w:tcW w:w="1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Abstentions</w:t>
            </w:r>
          </w:p>
        </w:tc>
        <w:tc>
          <w:tcPr>
            <w:tcW w:w="10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13,812</w:t>
            </w:r>
          </w:p>
        </w:tc>
      </w:tr>
      <w:tr>
        <w:trPr/>
        <w:tc>
          <w:tcPr>
            <w:tcW w:w="15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w:t>
            </w:r>
          </w:p>
        </w:tc>
        <w:tc>
          <w:tcPr>
            <w:tcW w:w="108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tbl>
      <w:tblPr>
        <w:tblW w:w="6605" w:type="dxa"/>
        <w:jc w:val="left"/>
        <w:tblInd w:w="0" w:type="dxa"/>
        <w:tblLayout w:type="fixed"/>
        <w:tblCellMar>
          <w:top w:w="28" w:type="dxa"/>
          <w:left w:w="28" w:type="dxa"/>
          <w:bottom w:w="28" w:type="dxa"/>
          <w:right w:w="28" w:type="dxa"/>
        </w:tblCellMar>
      </w:tblPr>
      <w:tblGrid>
        <w:gridCol w:w="591"/>
        <w:gridCol w:w="520"/>
        <w:gridCol w:w="523"/>
        <w:gridCol w:w="177"/>
        <w:gridCol w:w="177"/>
        <w:gridCol w:w="177"/>
        <w:gridCol w:w="1296"/>
        <w:gridCol w:w="1296"/>
        <w:gridCol w:w="184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1"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Gartner,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June 2, 2026</w:t>
            </w:r>
          </w:p>
        </w:tc>
        <w:tc>
          <w:tcPr>
            <w:tcW w:w="53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W. Safian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Craig W. Safian</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566</Words>
  <Characters>3243</Characters>
  <CharactersWithSpaces>3709</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