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6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tc>
        <w:tc>
          <w:tcPr>
            <w:tcW w:w="1700" w:type="dxa"/>
            <w:vAlign w:val="bottom"/>
          </w:tcPr>
          <w:p>
            <w:pPr>
              <w:spacing w:after="0"/>
              <w:rPr>
                <w:sz w:val="17"/>
                <w:szCs w:val="17"/>
                <w:color w:val="auto"/>
              </w:rPr>
            </w:pPr>
          </w:p>
        </w:tc>
      </w:tr>
      <w:tr>
        <w:trPr>
          <w:trHeight w:val="546"/>
        </w:trPr>
        <w:tc>
          <w:tcPr>
            <w:tcW w:w="6180" w:type="dxa"/>
            <w:vAlign w:val="bottom"/>
          </w:tcPr>
          <w:p>
            <w:pPr>
              <w:jc w:val="center"/>
              <w:ind w:left="2199"/>
              <w:spacing w:after="0"/>
              <w:rPr>
                <w:sz w:val="20"/>
                <w:szCs w:val="20"/>
                <w:color w:val="auto"/>
              </w:rPr>
            </w:pPr>
            <w:r>
              <w:rPr>
                <w:rFonts w:ascii="Times New Roman" w:cs="Times New Roman" w:eastAsia="Times New Roman" w:hAnsi="Times New Roman"/>
                <w:sz w:val="43"/>
                <w:szCs w:val="43"/>
                <w:b w:val="1"/>
                <w:bCs w:val="1"/>
                <w:color w:val="auto"/>
                <w:w w:val="98"/>
              </w:rPr>
              <w:t>Gartner, Inc.</w:t>
            </w:r>
          </w:p>
        </w:tc>
        <w:tc>
          <w:tcPr>
            <w:tcW w:w="1700" w:type="dxa"/>
            <w:vAlign w:val="bottom"/>
          </w:tcPr>
          <w:p>
            <w:pPr>
              <w:spacing w:after="0"/>
              <w:rPr>
                <w:sz w:val="24"/>
                <w:szCs w:val="24"/>
                <w:color w:val="auto"/>
              </w:rPr>
            </w:pPr>
          </w:p>
        </w:tc>
      </w:tr>
      <w:tr>
        <w:trPr>
          <w:trHeight w:val="234"/>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20"/>
                <w:szCs w:val="20"/>
                <w:color w:val="auto"/>
              </w:rPr>
            </w:pPr>
          </w:p>
        </w:tc>
      </w:tr>
      <w:tr>
        <w:trPr>
          <w:trHeight w:val="252"/>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04-3099750</w:t>
            </w: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P.O. Box 10212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06902-7700</w:t>
            </w:r>
          </w:p>
        </w:tc>
      </w:tr>
      <w:tr>
        <w:trPr>
          <w:trHeight w:val="230"/>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56 Top Gallant Road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29"/>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Stamford,</w:t>
            </w:r>
          </w:p>
        </w:tc>
        <w:tc>
          <w:tcPr>
            <w:tcW w:w="1700" w:type="dxa"/>
            <w:vAlign w:val="bottom"/>
          </w:tcPr>
          <w:p>
            <w:pPr>
              <w:spacing w:after="0"/>
              <w:rPr>
                <w:sz w:val="19"/>
                <w:szCs w:val="19"/>
                <w:color w:val="auto"/>
              </w:rPr>
            </w:pP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tcPr>
          <w:p>
            <w:pPr>
              <w:spacing w:after="0"/>
              <w:rPr>
                <w:sz w:val="19"/>
                <w:szCs w:val="19"/>
                <w:color w:val="auto"/>
              </w:rPr>
            </w:pPr>
          </w:p>
        </w:tc>
      </w:tr>
      <w:tr>
        <w:trPr>
          <w:trHeight w:val="23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bl>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(203) 964-0096</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240" w:hanging="1759"/>
        <w:spacing w:after="0" w:line="26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sectPr>
          <w:pgSz w:w="11900" w:h="16838" w:orient="portrait"/>
          <w:cols w:equalWidth="0" w:num="2">
            <w:col w:w="3180" w:space="720"/>
            <w:col w:w="7340"/>
          </w:cols>
          <w:pgMar w:left="320" w:top="1272" w:right="339" w:bottom="1440" w:gutter="0" w:footer="0" w:header="0"/>
          <w:type w:val="continuous"/>
        </w:sectPr>
      </w:pPr>
    </w:p>
    <w:p>
      <w:pPr>
        <w:ind w:left="20" w:right="1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3" w:lineRule="exact"/>
        <w:rPr>
          <w:sz w:val="24"/>
          <w:szCs w:val="24"/>
          <w:color w:val="auto"/>
        </w:rPr>
      </w:pPr>
    </w:p>
    <w:p>
      <w:pPr>
        <w:ind w:right="20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1, 2025, 75,735,795 shares of the registrant’s common shares were outstanding.</w:t>
      </w:r>
    </w:p>
    <w:p>
      <w:pPr>
        <w:spacing w:after="0" w:line="200" w:lineRule="exact"/>
        <w:rPr>
          <w:sz w:val="24"/>
          <w:szCs w:val="24"/>
          <w:color w:val="auto"/>
        </w:rPr>
      </w:pPr>
    </w:p>
    <w:p>
      <w:pPr>
        <w:spacing w:after="0" w:line="376"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060" w:type="dxa"/>
            <w:vAlign w:val="bottom"/>
            <w:gridSpan w:val="11"/>
            <w:vMerge w:val="restart"/>
          </w:tcPr>
          <w:p>
            <w:pPr>
              <w:spacing w:after="0"/>
              <w:rPr>
                <w:sz w:val="20"/>
                <w:szCs w:val="20"/>
                <w:color w:val="auto"/>
              </w:rPr>
            </w:pPr>
          </w:p>
        </w:tc>
        <w:tc>
          <w:tcPr>
            <w:tcW w:w="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6"/>
            <w:vMerge w:val="continue"/>
          </w:tcPr>
          <w:p>
            <w:pPr>
              <w:spacing w:after="0"/>
              <w:rPr>
                <w:sz w:val="16"/>
                <w:szCs w:val="16"/>
                <w:color w:val="auto"/>
              </w:rPr>
            </w:pPr>
          </w:p>
        </w:tc>
        <w:tc>
          <w:tcPr>
            <w:tcW w:w="7060" w:type="dxa"/>
            <w:vAlign w:val="bottom"/>
            <w:gridSpan w:val="11"/>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40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and December 31, 2024</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2025 and 2024</w:t>
            </w:r>
          </w:p>
        </w:tc>
        <w:tc>
          <w:tcPr>
            <w:tcW w:w="2040" w:type="dxa"/>
            <w:vAlign w:val="bottom"/>
            <w:gridSpan w:val="4"/>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2025 and 2024</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460" w:type="dxa"/>
            <w:vAlign w:val="bottom"/>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80" w:type="dxa"/>
            <w:vAlign w:val="bottom"/>
            <w:gridSpan w:val="3"/>
          </w:tcPr>
          <w:p>
            <w:pPr>
              <w:spacing w:after="0"/>
              <w:rPr>
                <w:sz w:val="18"/>
                <w:szCs w:val="18"/>
                <w:color w:val="auto"/>
              </w:rPr>
            </w:pPr>
          </w:p>
        </w:tc>
        <w:tc>
          <w:tcPr>
            <w:tcW w:w="2760" w:type="dxa"/>
            <w:vAlign w:val="bottom"/>
            <w:gridSpan w:val="5"/>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26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gridSpan w:val="2"/>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38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10"/>
        </w:trPr>
        <w:tc>
          <w:tcPr>
            <w:tcW w:w="2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480" w:type="dxa"/>
            <w:vAlign w:val="bottom"/>
            <w:tcBorders>
              <w:top w:val="single" w:sz="8" w:color="0000FF"/>
            </w:tcBorders>
            <w:gridSpan w:val="2"/>
          </w:tcPr>
          <w:p>
            <w:pPr>
              <w:spacing w:after="0"/>
              <w:rPr>
                <w:sz w:val="18"/>
                <w:szCs w:val="18"/>
                <w:color w:val="auto"/>
              </w:rPr>
            </w:pPr>
          </w:p>
        </w:tc>
        <w:tc>
          <w:tcPr>
            <w:tcW w:w="6880" w:type="dxa"/>
            <w:vAlign w:val="bottom"/>
            <w:gridSpan w:val="10"/>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600" w:type="dxa"/>
            <w:vAlign w:val="bottom"/>
            <w:gridSpan w:val="14"/>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180" w:type="dxa"/>
            <w:vAlign w:val="bottom"/>
            <w:gridSpan w:val="7"/>
          </w:tcPr>
          <w:p>
            <w:pPr>
              <w:spacing w:after="0"/>
              <w:rPr>
                <w:sz w:val="18"/>
                <w:szCs w:val="18"/>
                <w:color w:val="auto"/>
              </w:rPr>
            </w:pP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106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share data)</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0" w:type="dxa"/>
            <w:vAlign w:val="bottom"/>
          </w:tcPr>
          <w:p>
            <w:pPr>
              <w:spacing w:after="0"/>
              <w:rPr>
                <w:sz w:val="1"/>
                <w:szCs w:val="1"/>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receivable, net of allowances of $6,500 and $8,500, respectively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1,696,225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413,914</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4,196,531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257,419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2,930,205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497,859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8,534,671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1,206,089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2,762,927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3,969,016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2,461,629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2,459,915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406,792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6,795,161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7,175,502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$0.0005 par value, 250,000,000 shares authorized; 163,602,067 shares issued for both periods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2,497,130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6,444,729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5,993,007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86,797,185 and 86,222,214 common shares, respectively</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(7,468,546)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(7,042,717)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1,359,169</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8,327,787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8,534,671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08"/>
        </w:trPr>
        <w:tc>
          <w:tcPr>
            <w:tcW w:w="5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Insights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1,319,453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2,641,280</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2,534,164</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r>
      <w:tr>
        <w:trPr>
          <w:trHeight w:val="229"/>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295,300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3,220,584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972,755</w:t>
            </w: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1,401,904</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1,359,358</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1,276,277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2,615,456</w:t>
            </w:r>
          </w:p>
        </w:tc>
        <w:tc>
          <w:tcPr>
            <w:tcW w:w="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2,475,318</w:t>
            </w:r>
          </w:p>
        </w:tc>
      </w:tr>
      <w:tr>
        <w:trPr>
          <w:trHeight w:val="22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592,668</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(39,209)</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584,801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118,761</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451,722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440,093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4"/>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77,157</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GARTNER,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440,093</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2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434,771</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1"/>
                <w:szCs w:val="21"/>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5,993,007</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(7,042,717)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1,359,169</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50,168</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6,203,946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(7,191,495)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1,497,854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(278,032)</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6,444,729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(7,468,546)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1,532,626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2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1"/>
                <w:szCs w:val="21"/>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2,373,501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4,949,837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(6,522,860)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2,421,835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(81,653)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5,179,385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(6,872,990)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646,659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451,722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440,093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90,247</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32,167</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172,907</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558,800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(52,027)</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(564,717)</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(553,229)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Basis of Presentation</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business and technology insights that drive smarter decisions and stronger performance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organization’s mission-critical priorities.</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Gartner delivers its products and services globally through three business segments: Business and Technology Insights, Conferences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Revenues and other financial information for the Company’s segments are discussed in Note 6 — Segment Information. In the second quarter of 2025, the Company renamed its segment previously referred to as Research to Business and Technology Insights (or “Insights”) to reflect the nature of the value the Company provides to clients. The Company’s expert guidance and tools enable faster, smarter decisions and stronger performance on an organization’s mission-critical priorities.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accompanying interim Condensed Consolidated Financial Statements have been prepared in accordance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2024.</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six months ended June 30, 2025 may not be indicative of the results of operations for the remainder of 2025 or beyond. When used in these notes, the terms “Gartner,” the “Company,” “we,” “us,” or “our” refer to Gartner, Inc. and its consolidated subsidiaries.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accompanying interim Condensed Consolidated Financial Statements include the accounts of the Company and its wholly-owned subsidiaries. All intercompany transactions and balances have been eliminated.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accompanying interim Condensed Consolidated Financial Statements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During the six months ended June 30, 2024, the Company paid $0.6 million of restricted cash for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related to a 2022 acquisition.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in accordance with the requirements of FASB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3 — Revenue and Related Matters provides additional information regarding the Company’s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standard</w:t>
      </w:r>
      <w:r>
        <w:rPr>
          <w:rFonts w:ascii="Times New Roman" w:cs="Times New Roman" w:eastAsia="Times New Roman" w:hAnsi="Times New Roman"/>
          <w:sz w:val="18"/>
          <w:szCs w:val="18"/>
          <w:color w:val="auto"/>
        </w:rPr>
        <w:t>. The Company adopted the accounting standard described below during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are required to report segment information in accordance with the new guidance starting in annual periods beginning after December 15, 2023, and interim periods within fiscal years beginning after December 15, 2024. The Company adopted ASU 2023-07 effective with the 2024 10-K and the adoption only impacted its disclosures with no impacts to the Company's results of operations, cash flows, or financial condition.</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accounting standards that have not yet become effective as of June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impact the Company’s Consolidated Financial Statements or related disclosures in future periods. The standards and their potential impacts are discussed below.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2023-09”). 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or financial condition.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In November 2024, the FASB issued ASU 2024-03,</w:t>
      </w:r>
      <w:r>
        <w:rPr>
          <w:rFonts w:ascii="Times New Roman" w:cs="Times New Roman" w:eastAsia="Times New Roman" w:hAnsi="Times New Roman"/>
          <w:sz w:val="18"/>
          <w:szCs w:val="18"/>
          <w:i w:val="1"/>
          <w:iCs w:val="1"/>
          <w:color w:val="auto"/>
        </w:rPr>
        <w:t xml:space="preserve"> Income Statement-Reporting Comprehensive Income- Expense Disaggregation Disclosures </w:t>
      </w:r>
      <w:r>
        <w:rPr>
          <w:rFonts w:ascii="Times New Roman" w:cs="Times New Roman" w:eastAsia="Times New Roman" w:hAnsi="Times New Roman"/>
          <w:sz w:val="18"/>
          <w:szCs w:val="18"/>
          <w:color w:val="auto"/>
        </w:rPr>
        <w:t>(“ASU 2024-03”). The amendments in this ASU are expected to improve the disclosures about a public business entity’s expenses and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2024 that indicated no impairment. Subsequent to completing the 2024 annual impairment test, there were no events or changes in circumstances noted that required an interim impairment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to the carrying amount of goodwill by segment during the six months ended June 30,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 (1)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2,930,205</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 (1)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2,937,706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does not have any accumulated goodwill impairment losses.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the carrying amounts of the Company’s finite-lived intangible assets as of the dates indicated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30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3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1,082,117</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fully amortized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1,023,547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1,033,747</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(657,812)</w:t>
            </w:r>
          </w:p>
        </w:tc>
        <w:tc>
          <w:tcPr>
            <w:tcW w:w="0" w:type="dxa"/>
            <w:vAlign w:val="bottom"/>
          </w:tcPr>
          <w:p>
            <w:pPr>
              <w:spacing w:after="0"/>
              <w:rPr>
                <w:sz w:val="1"/>
                <w:szCs w:val="1"/>
                <w:color w:val="auto"/>
              </w:rPr>
            </w:pPr>
          </w:p>
        </w:tc>
      </w:tr>
      <w:tr>
        <w:trPr>
          <w:trHeight w:val="22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375,935</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300" w:type="dxa"/>
            <w:vAlign w:val="bottom"/>
          </w:tcPr>
          <w:p>
            <w:pPr>
              <w:spacing w:after="0"/>
              <w:rPr>
                <w:sz w:val="18"/>
                <w:szCs w:val="18"/>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8"/>
                <w:szCs w:val="18"/>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8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30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1,082,117</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(672,428)</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377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86" w:lineRule="exact"/>
        <w:rPr>
          <w:sz w:val="20"/>
          <w:szCs w:val="20"/>
          <w:color w:val="auto"/>
        </w:rPr>
      </w:pPr>
    </w:p>
    <w:p>
      <w:pPr>
        <w:ind w:left="340" w:hanging="332"/>
        <w:spacing w:after="0" w:line="282"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and Other —11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$20.2 million and $22.9 million during the three months ended June 30, 2025 and 2024, and $42.1 million and $45.9 million during the six months ended June 30, 2025 and 2024, respectively. The estimated future amortization expense by year for finite-lived intangible assets is presented in the table below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six months)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40,182</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80,064</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79,456</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77,984</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20,343</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375,935</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 and Related Matters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Disaggregated Revenue </w:t>
      </w:r>
      <w:r>
        <w:rPr>
          <w:rFonts w:ascii="Times New Roman" w:cs="Times New Roman" w:eastAsia="Times New Roman" w:hAnsi="Times New Roman"/>
          <w:sz w:val="18"/>
          <w:szCs w:val="18"/>
          <w:color w:val="auto"/>
        </w:rPr>
        <w:t>— The Company’s disaggregated revenue by reportable segment is presented in the tables below for the periods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Primary Geographic Market (1)</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1,056,422</w:t>
            </w: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427,908</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163,278</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202,124</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1,319,453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155,594</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1,686,454</w:t>
            </w:r>
          </w:p>
        </w:tc>
        <w:tc>
          <w:tcPr>
            <w:tcW w:w="0" w:type="dxa"/>
            <w:vAlign w:val="bottom"/>
          </w:tcPr>
          <w:p>
            <w:pPr>
              <w:spacing w:after="0"/>
              <w:rPr>
                <w:sz w:val="1"/>
                <w:szCs w:val="1"/>
                <w:color w:val="auto"/>
              </w:rPr>
            </w:pPr>
          </w:p>
        </w:tc>
      </w:tr>
      <w:tr>
        <w:trPr>
          <w:trHeight w:val="21"/>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1,054,781</w:t>
            </w: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368,960</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145,623</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171,319</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0" w:type="dxa"/>
            <w:vAlign w:val="bottom"/>
          </w:tcPr>
          <w:p>
            <w:pPr>
              <w:spacing w:after="0"/>
              <w:rPr>
                <w:sz w:val="1"/>
                <w:szCs w:val="1"/>
                <w:color w:val="auto"/>
              </w:rPr>
            </w:pPr>
          </w:p>
        </w:tc>
      </w:tr>
      <w:tr>
        <w:trPr>
          <w:trHeight w:val="21"/>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2,050,251</w:t>
            </w: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651,517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791,053</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316,124</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25,698</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379,280</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2,641,280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295,300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3,220,584</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2,016,631</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575,193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703,433</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347,922</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471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Timing of Revenue Recognition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1,370,793</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1,294,210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2,513,499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214,034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2,727,533</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493,051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3,220,584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2,585,065</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164,270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482,921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471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are recognized in connection with performance obligations that are satisfied at the point in time that the contractual deliverables are provided to the customer.</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Performance Obligations </w:t>
      </w:r>
      <w:r>
        <w:rPr>
          <w:rFonts w:ascii="Times New Roman" w:cs="Times New Roman" w:eastAsia="Times New Roman" w:hAnsi="Times New Roman"/>
          <w:sz w:val="17"/>
          <w:szCs w:val="17"/>
          <w:color w:val="auto"/>
        </w:rPr>
        <w:t>— For customer contracts that are greater than one year in duration, the aggregate amount of the transaction price allocated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obligations that were unsatisfied (or partially unsatisfied) as of June 30, 2025 was approximately $6.1 billion. The Company expects to recognize $2.0 billion, $2.9 billion and $1.2 billion of this revenue (most of which pertains to Insights) during the remainder of 2025, the year ending December 31, 2026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Insights subscription contracts;</w:t>
      </w:r>
    </w:p>
    <w:p>
      <w:pPr>
        <w:spacing w:after="0" w:line="2" w:lineRule="exact"/>
        <w:rPr>
          <w:sz w:val="20"/>
          <w:szCs w:val="20"/>
          <w:color w:val="auto"/>
        </w:rPr>
      </w:pPr>
    </w:p>
    <w:p>
      <w:pPr>
        <w:jc w:val="both"/>
        <w:ind w:firstLine="8"/>
        <w:spacing w:after="0" w:line="255"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Contract Assets and Liabilities </w:t>
      </w:r>
      <w:r>
        <w:rPr>
          <w:rFonts w:ascii="Times New Roman" w:cs="Times New Roman" w:eastAsia="Times New Roman" w:hAnsi="Times New Roman"/>
          <w:sz w:val="18"/>
          <w:szCs w:val="18"/>
          <w:color w:val="auto"/>
        </w:rPr>
        <w:t>— The timing of the recognition of revenue and the amount and timing of the Company’s billings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1,269,663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1,704,725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56,005</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31,056</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2,691,487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2,762,927</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2,714,610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to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restrictions.</w:t>
      </w:r>
    </w:p>
    <w:p>
      <w:pPr>
        <w:ind w:left="340" w:right="2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$1.2 billion during both the three months ended June 30, 2025 and 2024, and $1.8 billion and $1.7 billion during the six months ended June 30, 2025 and 2024, respectively, that was attributable to deferred revenues that were recorded at the beginning of each such period. Those amounts primarily consisted of Insights revenues that were recognized ratably as control of the goods or services passed to the customer during the reporting periods. During each of the three and six months ended June 30, 2025 and 2024, the Company did not record any material impairments related to its contract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Computation of Earnings Per Share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periods indicated (in thousands,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2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440,093</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4"/>
        </w:trPr>
        <w:tc>
          <w:tcPr>
            <w:tcW w:w="61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78,078</w:t>
            </w:r>
          </w:p>
        </w:tc>
      </w:tr>
      <w:tr>
        <w:trPr>
          <w:trHeight w:val="184"/>
        </w:trPr>
        <w:tc>
          <w:tcPr>
            <w:tcW w:w="61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4"/>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(1)</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r>
      <w:tr>
        <w:trPr>
          <w:trHeight w:val="20"/>
        </w:trPr>
        <w:tc>
          <w:tcPr>
            <w:tcW w:w="5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90" w:lineRule="exact"/>
        <w:rPr>
          <w:sz w:val="20"/>
          <w:szCs w:val="20"/>
          <w:color w:val="auto"/>
        </w:rPr>
      </w:pPr>
    </w:p>
    <w:p>
      <w:pPr>
        <w:jc w:val="both"/>
        <w:ind w:left="340" w:hanging="332"/>
        <w:spacing w:after="0" w:line="251" w:lineRule="auto"/>
        <w:tabs>
          <w:tab w:leader="none" w:pos="352" w:val="left"/>
        </w:tabs>
        <w:numPr>
          <w:ilvl w:val="0"/>
          <w:numId w:val="7"/>
        </w:numPr>
        <w:rPr>
          <w:rFonts w:ascii="Arial" w:cs="Arial" w:eastAsia="Arial" w:hAnsi="Arial"/>
          <w:sz w:val="20"/>
          <w:szCs w:val="20"/>
          <w:color w:val="auto"/>
        </w:rPr>
      </w:pPr>
      <w:r>
        <w:rPr>
          <w:rFonts w:ascii="Times New Roman" w:cs="Times New Roman" w:eastAsia="Times New Roman" w:hAnsi="Times New Roman"/>
          <w:sz w:val="18"/>
          <w:szCs w:val="18"/>
          <w:color w:val="auto"/>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0.4 million and 0.3 million for the three and six months ended June 30, 2025, respectively, and approximately 0.1 million for both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 5 — Stock-Based Compensation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June 30, 2025, the Company had 5.2 million shares of its common stock, par value $0.0005 per share, (the “Common Stock”) available for stock-based compensation awards under the Gartner, Inc. Long-Term Incentive Plan as amended and restated in June 2023 (the “Plan”).</w:t>
      </w:r>
    </w:p>
    <w:p>
      <w:pPr>
        <w:spacing w:after="0" w:line="20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10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8"/>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3471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340" w:hanging="332"/>
        <w:spacing w:after="0" w:line="259" w:lineRule="auto"/>
        <w:tabs>
          <w:tab w:leader="none" w:pos="352"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Includes costs of $19.0 million and $18.4 million during the three months ended June 30, 2025 and 2024, respectively, and $47.0 million and $49.0 million during the six months ended June 30, 2025 and 2024, respectively, for awards to retirement-eligible employees. Those awards are expensed on an accelerated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Segment Information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products and services are delivered through three segments – Business and Technology Insights, or “Insights” , Conferences and Consulting, as described below.</w:t>
      </w:r>
    </w:p>
    <w:p>
      <w:pPr>
        <w:spacing w:after="0" w:line="185" w:lineRule="exact"/>
        <w:rPr>
          <w:sz w:val="20"/>
          <w:szCs w:val="20"/>
          <w:color w:val="auto"/>
        </w:rPr>
      </w:pPr>
    </w:p>
    <w:p>
      <w:pPr>
        <w:jc w:val="both"/>
        <w:ind w:left="340" w:hanging="332"/>
        <w:spacing w:after="0" w:line="268"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w:t>
      </w:r>
      <w:r>
        <w:rPr>
          <w:rFonts w:ascii="Times New Roman" w:cs="Times New Roman" w:eastAsia="Times New Roman" w:hAnsi="Times New Roman"/>
          <w:sz w:val="18"/>
          <w:szCs w:val="18"/>
          <w:color w:val="auto"/>
        </w:rPr>
        <w:t>equips executives and their teams from every function and across all industries with actionable, objective business and technology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and tools. Our 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28"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insights and guidance.</w:t>
      </w:r>
    </w:p>
    <w:p>
      <w:pPr>
        <w:spacing w:after="0" w:line="222" w:lineRule="exact"/>
        <w:rPr>
          <w:rFonts w:ascii="Arial" w:cs="Arial" w:eastAsia="Arial" w:hAnsi="Arial"/>
          <w:sz w:val="20"/>
          <w:szCs w:val="20"/>
          <w:color w:val="auto"/>
        </w:rPr>
      </w:pPr>
    </w:p>
    <w:p>
      <w:pPr>
        <w:jc w:val="both"/>
        <w:ind w:left="340" w:hanging="332"/>
        <w:spacing w:after="0" w:line="261" w:lineRule="auto"/>
        <w:tabs>
          <w:tab w:leader="none" w:pos="301"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versus actual results regularly to assess segment operating performance, identify business trends, and modify resource allocations as needed.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1,686,454</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404,917</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107,547</w:t>
            </w: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r>
      <w:tr>
        <w:trPr>
          <w:trHeight w:val="22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974,675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61,555</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1,157,618</w:t>
            </w:r>
          </w:p>
        </w:tc>
      </w:tr>
      <w:tr>
        <w:trPr>
          <w:trHeight w:val="22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r>
      <w:tr>
        <w:trPr>
          <w:trHeight w:val="229"/>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776,888</w:t>
            </w:r>
          </w:p>
        </w:tc>
      </w:tr>
      <w:tr>
        <w:trPr>
          <w:trHeight w:val="23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50,739</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48"/>
        </w:trPr>
        <w:tc>
          <w:tcPr>
            <w:tcW w:w="5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317,793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r>
      <w:tr>
        <w:trPr>
          <w:trHeight w:val="22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82,021</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380,717</w:t>
            </w:r>
          </w:p>
        </w:tc>
      </w:tr>
      <w:tr>
        <w:trPr>
          <w:trHeight w:val="229"/>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44,057</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104,794</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2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933,121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1,094,952</w:t>
            </w:r>
          </w:p>
        </w:tc>
      </w:tr>
      <w:tr>
        <w:trPr>
          <w:trHeight w:val="23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r>
      <w:tr>
        <w:trPr>
          <w:trHeight w:val="23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r>
      <w:tr>
        <w:trPr>
          <w:trHeight w:val="22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50,534</w:t>
            </w: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w:t>
            </w:r>
          </w:p>
        </w:tc>
      </w:tr>
      <w:tr>
        <w:trPr>
          <w:trHeight w:val="223"/>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299,297</w:t>
            </w:r>
          </w:p>
        </w:tc>
      </w:tr>
      <w:tr>
        <w:trPr>
          <w:trHeight w:val="20"/>
        </w:trPr>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3,220,584</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791,116</w:t>
            </w:r>
          </w:p>
        </w:tc>
      </w:tr>
      <w:tr>
        <w:trPr>
          <w:trHeight w:val="230"/>
        </w:trPr>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176,157</w:t>
            </w:r>
          </w:p>
        </w:tc>
      </w:tr>
      <w:tr>
        <w:trPr>
          <w:trHeight w:val="230"/>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w:t>
            </w:r>
          </w:p>
        </w:tc>
      </w:tr>
      <w:tr>
        <w:trPr>
          <w:trHeight w:val="22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1,959,198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114,947</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2,222,915</w:t>
            </w:r>
          </w:p>
        </w:tc>
      </w:tr>
      <w:tr>
        <w:trPr>
          <w:trHeight w:val="230"/>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r>
      <w:tr>
        <w:trPr>
          <w:trHeight w:val="23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1,507,196</w:t>
            </w:r>
          </w:p>
        </w:tc>
      </w:tr>
      <w:tr>
        <w:trPr>
          <w:trHeight w:val="229"/>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101,499</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w:t>
            </w:r>
          </w:p>
        </w:tc>
      </w:tr>
      <w:tr>
        <w:trPr>
          <w:trHeight w:val="248"/>
        </w:trPr>
        <w:tc>
          <w:tcPr>
            <w:tcW w:w="5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584,801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Insights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r>
      <w:tr>
        <w:trPr>
          <w:trHeight w:val="230"/>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155,394</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744,362</w:t>
            </w:r>
          </w:p>
        </w:tc>
      </w:tr>
      <w:tr>
        <w:trPr>
          <w:trHeight w:val="229"/>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and content delivery expenses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178,365</w:t>
            </w:r>
          </w:p>
        </w:tc>
      </w:tr>
      <w:tr>
        <w:trPr>
          <w:trHeight w:val="230"/>
        </w:trPr>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r>
      <w:tr>
        <w:trPr>
          <w:trHeight w:val="223"/>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contribution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1,877,690</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2,117,063</w:t>
            </w:r>
          </w:p>
        </w:tc>
      </w:tr>
      <w:tr>
        <w:trPr>
          <w:trHeight w:val="230"/>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services and product development - unallocated (2)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21,832</w:t>
            </w:r>
          </w:p>
        </w:tc>
      </w:tr>
      <w:tr>
        <w:trPr>
          <w:trHeight w:val="229"/>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1,401,904</w:t>
            </w:r>
          </w:p>
        </w:tc>
      </w:tr>
      <w:tr>
        <w:trPr>
          <w:trHeight w:val="229"/>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99,841</w:t>
            </w:r>
          </w:p>
        </w:tc>
      </w:tr>
      <w:tr>
        <w:trPr>
          <w:trHeight w:val="230"/>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33,814</w:t>
            </w:r>
          </w:p>
        </w:tc>
      </w:tr>
      <w:tr>
        <w:trPr>
          <w:trHeight w:val="223"/>
        </w:trPr>
        <w:tc>
          <w:tcPr>
            <w:tcW w:w="5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558,854</w:t>
            </w:r>
          </w:p>
        </w:tc>
      </w:tr>
      <w:tr>
        <w:trPr>
          <w:trHeight w:val="20"/>
        </w:trPr>
        <w:tc>
          <w:tcPr>
            <w:tcW w:w="5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30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travel and entertainment and workplace expenses.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7 — 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8"/>
        </w:trPr>
        <w:tc>
          <w:tcPr>
            <w:tcW w:w="54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Credit Agreement - Revolving facility (1), (2)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due 2029 (“2029 Notes”)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30"/>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r>
      <w:tr>
        <w:trPr>
          <w:trHeight w:val="230"/>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(5)</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w:t>
            </w:r>
          </w:p>
        </w:tc>
      </w:tr>
      <w:tr>
        <w:trPr>
          <w:trHeight w:val="223"/>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2,459,915</w:t>
            </w:r>
          </w:p>
        </w:tc>
      </w:tr>
      <w:tr>
        <w:trPr>
          <w:trHeight w:val="20"/>
        </w:trPr>
        <w:tc>
          <w:tcPr>
            <w:tcW w:w="5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30" w:lineRule="exact"/>
        <w:rPr>
          <w:sz w:val="20"/>
          <w:szCs w:val="20"/>
          <w:color w:val="auto"/>
        </w:rPr>
      </w:pPr>
    </w:p>
    <w:p>
      <w:pPr>
        <w:jc w:val="both"/>
        <w:ind w:left="340" w:hanging="332"/>
        <w:spacing w:after="0" w:line="257"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June 30, 2025 on the 2024 Credit Agreement was 5.725%, which consisted of Term Secured Overnight Financing Rate (“SOFR”) of 4.375% plus a margin of 1.350%. However, the Company has an interest rate swap contract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$0.7 billion of available borrowing capacity on the 2024 Credit Agreement revolver (not including the expansion feature) as of June 30, 2025.</w:t>
      </w:r>
    </w:p>
    <w:p>
      <w:pPr>
        <w:ind w:left="340" w:hanging="332"/>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hanging="332"/>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the three and six months ended June 30, 2025, including the effects of its interest rate swaps discussed below, was 4.85% and 4.87%, respectively.</w:t>
      </w: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net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The Company was in compliance with all financial covenants as of June 30, 2025.</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June 30, 2025,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2029 Notes at any time on or after June 15, 2024 for cash at the redemption prices set forth in the 2029 Notes Indenture, plus accrued and unpaid interest to, but excluding, the redemption date.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2030 Notes were released from their guarantee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obligations with respect to the Notes, in accordance with the terms of the indenture pursuant to which the 2030 Notes was issued.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one fixed-for-floating interest rate swap contract with a notional value of $350.0 million that matures in September 2025. Under the contract, the Company pays a base fixed rate of 2.98% and in return receives a floating Term SOFR base rate on 30-day notional borrowings.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 are recorded in Other income, net. The amounts previously recorded in Accumulated other comprehensive loss are amortized into Interest expense, net over the terms of the hedged forecasted interest payments. As of June 30, 2025, $4.3 million is remaining in Accumulated other comprehensive loss, net. See Note 10 — Derivatives and Hedging for the amounts remaining in Accumulated other comprehensive loss, net of tax effect, at June 30, 2025 and December 31, 2024. See Note 11 — Fair Value Disclosures for a discussion of the fair values of Company’s interest rate swaps.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Company’s Board of Directors (the “Board”) authorized a share repurchase program to repurchase up to $1.2 billion of the Company’s common stock. The Board authorized incremental share repurchases of up to an aggregate additional $4.1 billion of the Company’s common stock from February 2021 to July 2024. As of June 30, 2025, $0.6 billion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repurchase activity is presented in the table below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4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 (1)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960,628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1,268,309</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repurchased shares (in thousands) (2)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274,483</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437,155</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564,717</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ind w:left="340" w:hanging="332"/>
        <w:spacing w:after="0" w:line="257"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34715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1545" cy="8255"/>
                    </a:xfrm>
                    <a:prstGeom prst="rect">
                      <a:avLst/>
                    </a:prstGeom>
                    <a:noFill/>
                  </pic:spPr>
                </pic:pic>
              </a:graphicData>
            </a:graphic>
          </wp:anchor>
        </w:drawing>
        <w:t>The average purchase price for repurchased shares was $417.99 and $442.60 for the three months ended June 30, 2025 and 2024, respectively, and $446.06 and $449.19 for the six months ended June 30, 2025 and 2024, respectively. The repurchased shares during the three and six months ended June 30, 2025 and 2024 included purchases for both open market purchases and stock-based compensation award settlements.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repurchased shares during the six months ended June 30, 2025 included $10.0 million of open market purchases with trade dates in December 2024 that settled in January 2025. The cash paid for repurchased shares during the three months ended June 30, 2025 excluded $6.0 million of open market purchases with trade dates in June 2025 that settled in July 2025 and excise tax accrued. The cash paid for repurchased shares during the three months ended June 30, 2024 excluded $5.0 million of open market purchases with trade dates in June 2024 that settled in July 2024 and excise tax accrued.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net (“AOCL”)</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AOCL by component and the related amounts reclassified out of AOCL to income during the periods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2025</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June 30, 2025</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(5,115)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4"/>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2024</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(56,145)</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(82,386)</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(81,653)</w:t>
            </w: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 June 30, 2025</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(5,115)</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0" w:type="dxa"/>
            <w:vAlign w:val="bottom"/>
          </w:tcPr>
          <w:p>
            <w:pPr>
              <w:spacing w:after="0"/>
              <w:rPr>
                <w:sz w:val="1"/>
                <w:szCs w:val="1"/>
                <w:color w:val="auto"/>
              </w:rPr>
            </w:pPr>
          </w:p>
        </w:tc>
      </w:tr>
      <w:tr>
        <w:trPr>
          <w:trHeight w:val="230"/>
        </w:trPr>
        <w:tc>
          <w:tcPr>
            <w:tcW w:w="5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and $4.9 million of the reclassifications related to interest rate swaps (cash flow hedges) were recorded in Interest expense, net, for the three months ended June 30, 2025 and 2024, respectively. $8.9 million and $9.7 million of the reclassifications related to interest rate swaps (cash flow hedges) were recorded in Interest expense, net, for the six months ended June 30, 2025 and 2024, respectively. See Note 7 — Debt and Note 10 — Derivatives and Hedging for information regarding the cash flow hedges.</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recorded in Other income, net.</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June 30, 2025 that is expected to be reclassified into earnings during the remainder of 2025 is $4.3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Income Taxes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 for income taxes was $77.0 million and $69.7 million for the three months ended June 30, 2025 and 2024, respectively. The effective income tax rate was 24.2% and 23.3% for the three months ended June 30, 2025 and 2024, respectively. While both periods include benefits related to research and development tax credits, the current year effective income tax rate reflects a lower benefit than the same period in the prior year.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 for income taxes was $133.1 million and $118.8 million for the six months ended June 30, 2025 and 2024, respectively. The effective income tax rate was 22.8% and 21.3% for the six months ended June 30, 2025 and 2024, respectively. The increase in the effective income tax rate was primarily due to the same factor that caused the year-over-year quarterly increase.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gross unrecognized tax benefits of $273.3 million on June 30, 2025 and $257.5 million on December 31, 2024.</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is currently assessing the OBBBA's impact on its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Derivatives and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15"/>
                <w:szCs w:val="15"/>
                <w:color w:val="auto"/>
              </w:rPr>
            </w:pPr>
          </w:p>
        </w:tc>
        <w:tc>
          <w:tcPr>
            <w:tcW w:w="14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5"/>
                <w:szCs w:val="15"/>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6"/>
                <w:szCs w:val="16"/>
                <w:color w:val="auto"/>
              </w:rPr>
            </w:pPr>
          </w:p>
        </w:tc>
        <w:tc>
          <w:tcPr>
            <w:tcW w:w="21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60" w:type="dxa"/>
            <w:vAlign w:val="bottom"/>
          </w:tcPr>
          <w:p>
            <w:pPr>
              <w:spacing w:after="0"/>
              <w:rPr>
                <w:sz w:val="16"/>
                <w:szCs w:val="16"/>
                <w:color w:val="auto"/>
              </w:rPr>
            </w:pPr>
          </w:p>
        </w:tc>
        <w:tc>
          <w:tcPr>
            <w:tcW w:w="14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30"/>
        </w:trPr>
        <w:tc>
          <w:tcPr>
            <w:tcW w:w="2840" w:type="dxa"/>
            <w:vAlign w:val="bottom"/>
            <w:gridSpan w:val="2"/>
            <w:vMerge w:val="continue"/>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19"/>
                <w:szCs w:val="19"/>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AOCL, net of tax</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78,467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428,467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588"/>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15"/>
                <w:szCs w:val="15"/>
                <w:color w:val="auto"/>
              </w:rPr>
            </w:pPr>
          </w:p>
        </w:tc>
        <w:tc>
          <w:tcPr>
            <w:tcW w:w="14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5"/>
                <w:szCs w:val="15"/>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1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5"/>
                <w:szCs w:val="15"/>
                <w:color w:val="auto"/>
              </w:rPr>
            </w:pPr>
          </w:p>
        </w:tc>
        <w:tc>
          <w:tcPr>
            <w:tcW w:w="2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43"/>
        </w:trPr>
        <w:tc>
          <w:tcPr>
            <w:tcW w:w="2840" w:type="dxa"/>
            <w:vAlign w:val="bottom"/>
            <w:gridSpan w:val="2"/>
            <w:vMerge w:val="continue"/>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1"/>
                <w:szCs w:val="21"/>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1"/>
                <w:szCs w:val="21"/>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AOCL, net of tax</w:t>
            </w: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656,904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1,006,904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5"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fair value of the interest rate swap are recorded in Other income, net. The amounts previously recorded in Accumulated other comprehensive loss are amortized into Interest expense, net over the terms of the hedged forecasted interest payments. See Note 7 — Debt for additional information regarding the Company’s interest rate swap contract.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3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June 30, 2025 matured before July 31, 2025.</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 Fair Value Disclosures for the determination of the fair values of these instruments.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9,676</w:t>
            </w:r>
          </w:p>
        </w:tc>
      </w:tr>
      <w:tr>
        <w:trPr>
          <w:trHeight w:val="230"/>
        </w:trPr>
        <w:tc>
          <w:tcPr>
            <w:tcW w:w="5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 net (2)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(1,755)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(6,069)</w:t>
            </w:r>
          </w:p>
        </w:tc>
      </w:tr>
      <w:tr>
        <w:trPr>
          <w:trHeight w:val="248"/>
        </w:trPr>
        <w:tc>
          <w:tcPr>
            <w:tcW w:w="56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8"/>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3,607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and gains and losses on de-designated interest rate swaps.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 11 — Fair Value Disclosures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2 — Goodwill and Intangible Assets. The Company does not typically transfer assets or liabilities between different levels of the valuation hierarchy.</w:t>
      </w:r>
    </w:p>
    <w:p>
      <w:pPr>
        <w:spacing w:after="0" w:line="2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table below presents the fair values of certain financial assets and liabilities that are measured at fair value on a recurring basis in the Company's financial statements (in thousands).</w:t>
      </w:r>
    </w:p>
    <w:tbl>
      <w:tblPr>
        <w:tblLayout w:type="fixed"/>
        <w:tblInd w:w="0" w:type="dxa"/>
        <w:tblCellMar>
          <w:top w:w="0" w:type="dxa"/>
          <w:left w:w="0" w:type="dxa"/>
          <w:bottom w:w="0" w:type="dxa"/>
          <w:right w:w="0" w:type="dxa"/>
        </w:tblCellMar>
      </w:tblPr>
      <w:tr>
        <w:trPr>
          <w:trHeight w:val="185"/>
        </w:trPr>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16"/>
                <w:szCs w:val="16"/>
                <w:color w:val="auto"/>
              </w:rPr>
            </w:pPr>
          </w:p>
        </w:tc>
        <w:tc>
          <w:tcPr>
            <w:tcW w:w="1440" w:type="dxa"/>
            <w:vAlign w:val="bottom"/>
            <w:gridSpan w:val="2"/>
          </w:tcPr>
          <w:p>
            <w:pPr>
              <w:ind w:left="200"/>
              <w:spacing w:after="0" w:line="185"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420" w:type="dxa"/>
            <w:vAlign w:val="bottom"/>
          </w:tcPr>
          <w:p>
            <w:pPr>
              <w:jc w:val="right"/>
              <w:ind w:right="19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8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1 inputs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128,670</w:t>
            </w: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133,617</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151,706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148,564</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150,432</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61"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ind w:left="340" w:hanging="332"/>
        <w:spacing w:after="0" w:line="257"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10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interest rate swap contract that hedges the risk of variability from interest payments on its borrowings (see Note 7 — Debt). The fair value of the interest rate swap is based on mark-to-market valuations prepared by a third-party broker. This valuation is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60" w:type="dxa"/>
            <w:vAlign w:val="bottom"/>
          </w:tcPr>
          <w:p>
            <w:pPr>
              <w:spacing w:after="0"/>
              <w:rPr>
                <w:sz w:val="20"/>
                <w:szCs w:val="20"/>
                <w:color w:val="auto"/>
              </w:rPr>
            </w:pPr>
          </w:p>
        </w:tc>
        <w:tc>
          <w:tcPr>
            <w:tcW w:w="28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4"/>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780,544</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558,840</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732,200</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2,186,593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2,071,584</w:t>
            </w:r>
          </w:p>
        </w:tc>
      </w:tr>
      <w:tr>
        <w:trPr>
          <w:trHeight w:val="21"/>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right-of-use assets and other long-lived assets, are measured at fair value on a nonrecurring basis when there are indicators of impairment. The Company recorded an impairment loss of $0.6 million and $0.5 million during the six months ended June 30, 2025 and 2024, respectively, on right-of-use assets and other long-lived assets primarily related to certain office leases that the Company determined will no longer be used. The impairments were derived by comparing the fair value of the impacted assets to the carrying value of those assets as of the impairment measurement date, as required under ASC Topic 360 using Level 3 inputs. See Note 13 — Leases for additional discussion related to these impairment charges.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Contingencies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claims and compliance matters arising in the ordinary course of business.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June 30, 2025, the Company did not have any material payment obligations under any such indemnification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Leases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2025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agreements, the Company may be entitled to allowances, free rent, lessor-financed tenant improvements and other incentives. The Company’s lease agreements do not contain any material residual value guarantees or material restrictive covenants.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2025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tcPr>
          <w:p>
            <w:pPr>
              <w:spacing w:after="0"/>
              <w:rPr>
                <w:sz w:val="19"/>
                <w:szCs w:val="19"/>
                <w:color w:val="auto"/>
              </w:rPr>
            </w:pPr>
          </w:p>
        </w:tc>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51,559</w:t>
            </w:r>
          </w:p>
        </w:tc>
      </w:tr>
      <w:tr>
        <w:trPr>
          <w:trHeight w:val="229"/>
        </w:trPr>
        <w:tc>
          <w:tcPr>
            <w:tcW w:w="2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cost (2)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10,704</w:t>
            </w:r>
          </w:p>
        </w:tc>
      </w:tr>
      <w:tr>
        <w:trPr>
          <w:trHeight w:val="230"/>
        </w:trPr>
        <w:tc>
          <w:tcPr>
            <w:tcW w:w="20" w:type="dxa"/>
            <w:vAlign w:val="bottom"/>
          </w:tcPr>
          <w:p>
            <w:pPr>
              <w:spacing w:after="0"/>
              <w:rPr>
                <w:sz w:val="19"/>
                <w:szCs w:val="19"/>
                <w:color w:val="auto"/>
              </w:rPr>
            </w:pPr>
          </w:p>
        </w:tc>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(23,689)</w:t>
            </w:r>
          </w:p>
        </w:tc>
      </w:tr>
      <w:tr>
        <w:trPr>
          <w:trHeight w:val="223"/>
        </w:trPr>
        <w:tc>
          <w:tcPr>
            <w:tcW w:w="2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38,574</w:t>
            </w: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43"/>
        </w:trPr>
        <w:tc>
          <w:tcPr>
            <w:tcW w:w="20" w:type="dxa"/>
            <w:vAlign w:val="bottom"/>
          </w:tcPr>
          <w:p>
            <w:pPr>
              <w:spacing w:after="0"/>
              <w:rPr>
                <w:sz w:val="21"/>
                <w:szCs w:val="21"/>
                <w:color w:val="auto"/>
              </w:rPr>
            </w:pPr>
          </w:p>
        </w:tc>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72,836</w:t>
            </w:r>
          </w:p>
        </w:tc>
      </w:tr>
      <w:tr>
        <w:trPr>
          <w:trHeight w:val="229"/>
        </w:trPr>
        <w:tc>
          <w:tcPr>
            <w:tcW w:w="20" w:type="dxa"/>
            <w:vAlign w:val="bottom"/>
          </w:tcPr>
          <w:p>
            <w:pPr>
              <w:spacing w:after="0"/>
              <w:rPr>
                <w:sz w:val="19"/>
                <w:szCs w:val="19"/>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23,094</w:t>
            </w:r>
          </w:p>
        </w:tc>
      </w:tr>
      <w:tr>
        <w:trPr>
          <w:trHeight w:val="229"/>
        </w:trPr>
        <w:tc>
          <w:tcPr>
            <w:tcW w:w="20" w:type="dxa"/>
            <w:vAlign w:val="bottom"/>
          </w:tcPr>
          <w:p>
            <w:pPr>
              <w:spacing w:after="0"/>
              <w:rPr>
                <w:sz w:val="19"/>
                <w:szCs w:val="19"/>
                <w:color w:val="auto"/>
              </w:rPr>
            </w:pPr>
          </w:p>
        </w:tc>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10,735</w:t>
            </w:r>
          </w:p>
        </w:tc>
      </w:tr>
      <w:tr>
        <w:trPr>
          <w:trHeight w:val="156"/>
        </w:trPr>
        <w:tc>
          <w:tcPr>
            <w:tcW w:w="20" w:type="dxa"/>
            <w:vAlign w:val="bottom"/>
            <w:tcBorders>
              <w:bottom w:val="single" w:sz="8" w:color="auto"/>
            </w:tcBorders>
          </w:tcPr>
          <w:p>
            <w:pPr>
              <w:spacing w:after="0"/>
              <w:rPr>
                <w:sz w:val="13"/>
                <w:szCs w:val="13"/>
                <w:color w:val="auto"/>
              </w:rPr>
            </w:pPr>
          </w:p>
        </w:tc>
        <w:tc>
          <w:tcPr>
            <w:tcW w:w="5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$8.4 million and $9.2 million for the three months ended June 30, 2025 and 2024, respectively, and $16.9 million and $18.4 million for the six months ended June 30, 2025 and 2024, respectively, for costs related to subleasing activities.</w:t>
      </w:r>
    </w:p>
    <w:p>
      <w:pPr>
        <w:ind w:left="340" w:hanging="332"/>
        <w:spacing w:after="0" w:line="250"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are not fixed at the lease commencement date or are dependent on something other than an index or a rate.</w:t>
      </w: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operating lease costs during any of the periods presented.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on lease related assets, as discussed below.</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accompanying Condensed Consolidated Balance Sheets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100,312</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311,150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339,779</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included in the Condensed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the continuing evaluation of its existing real estate portfolio, the Company reviewed certain of its right-of-use assets and related other long-lived assets for impairment under ASC 360. As a result of the evaluation, the Company recognized an impairment loss during the six months ended June 30, 2025 and 2024 of $0.6 million and $0.5 million, respectively, which is included as a component of Selling, general and administrative expenses in the accompanying Condensed Consolidated Statements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Subsequent Event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2025, the Company’s Board of Directors authorized incremental share repurchases of up to an additional $700.0 million of Gartner’s common stock. This authorization is in addition to the previously authorized repurchases of up to $5.3 billion, which, as of the end of July 2025, had approximately $350.0 million remaining.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2024 (the “2024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the conflict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2024 Form 10-K, which is incorporated herein by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2024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business and technology insights that drive smarter decisions and stronger performance on an organization’s mission-critical priorities.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deliver our products and services globally through three business segments – Business and Technology Insights, Conferences and Consulting, as described below. In the second quarter of 2025, we renamed our segment previously referred to as Research to Business and Technology Insights (or “Insights”) to reflect the nature of the value we provide to clients. Our expert guidance and tools enable faster, smarter decisions and stronger performance on an organization’s mission-critical priorities.</w:t>
      </w:r>
    </w:p>
    <w:p>
      <w:pPr>
        <w:spacing w:after="0" w:line="203" w:lineRule="exact"/>
        <w:rPr>
          <w:sz w:val="20"/>
          <w:szCs w:val="20"/>
          <w:color w:val="auto"/>
        </w:rPr>
      </w:pPr>
    </w:p>
    <w:p>
      <w:pPr>
        <w:jc w:val="both"/>
        <w:ind w:left="340" w:hanging="332"/>
        <w:spacing w:after="0" w:line="268"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Insights </w:t>
      </w:r>
      <w:r>
        <w:rPr>
          <w:rFonts w:ascii="Times New Roman" w:cs="Times New Roman" w:eastAsia="Times New Roman" w:hAnsi="Times New Roman"/>
          <w:sz w:val="18"/>
          <w:szCs w:val="18"/>
          <w:color w:val="auto"/>
        </w:rPr>
        <w:t>equips executives and their teams from every function and across all industries with actionable, objective business and technology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and tools. Our 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insights and guidance.</w:t>
      </w:r>
    </w:p>
    <w:p>
      <w:pPr>
        <w:spacing w:after="0" w:line="217" w:lineRule="exact"/>
        <w:rPr>
          <w:rFonts w:ascii="Arial" w:cs="Arial" w:eastAsia="Arial" w:hAnsi="Arial"/>
          <w:sz w:val="20"/>
          <w:szCs w:val="20"/>
          <w:color w:val="auto"/>
        </w:rPr>
      </w:pPr>
    </w:p>
    <w:p>
      <w:pPr>
        <w:jc w:val="both"/>
        <w:ind w:left="340" w:hanging="332"/>
        <w:spacing w:after="0" w:line="254" w:lineRule="auto"/>
        <w:tabs>
          <w:tab w:leader="none" w:pos="301" w:val="left"/>
        </w:tabs>
        <w:numPr>
          <w:ilvl w:val="0"/>
          <w:numId w:val="19"/>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had 20,994 employees globally, an increase of 2.4% from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Insights contract value with the US federal government was approximately $200.0 million at June 30, 2025, as compared to approximately $275.0 million at December 31, 2024. Over 60% of our US federal contracts have transacted in the first half of 2025, and slightly less than half of that contract value was retained. In addition to the non-renewals, we have received notices of termination-for-convenience from various US government agencies for approximately $20.0 million of contracts that are primarily scheduled to expire in the second half of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current geopolitical environment remains unpredictable, we continue to monitor and evaluate the impact, both direct and indirect, of government actions that could adversely impact our business operations and financial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Insights</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Contract value primarily includes Insights deliverables for which revenue is recognized on a ratable basis,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well as other deliverables (primarily Conferences tickets) for which revenue is recognized when the deliverable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 utilized. Comparing contract value year-over-year not only measures the short-term growth of our business, but</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also signals the long-term health of our Insights subscription business since it measures revenue that is highly likely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 recur 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 value, which</w:t>
            </w: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includes 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 which includes sales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all other functional leaders.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twelve-month period. Wallet retention is calculated on a percentage basis by dividing the contract value of our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clients, who were also clients a year ago, by the contract value from a year ago, excluding the impact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When wallet retention exceeds client retention, it is an indication of retention of higher-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spending clients, or increased spending by retained clients, or both. Wallet retention is calculated at an enterprise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which represents a single company or customer.</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in-person conferences completed during</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period. Single day, local meetings are excluded.</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in-person</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conferences. Single day, local meetings are excluded.</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business and technology insights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total revenues of $1.7 billion during the second quarter of 2025, an increase of 6% compared to the second quarter of 2024. During the second quarter of 2025, revenues for Insights increased by 4%, Conferences revenue increased by 14% and Consulting revenue increased by 9%, compared to the second quarter of 2024. For a more complete discussion of our results by segment, see Segment Results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second quarter of 2025 and 2024, we had net income of $240.8 million and $229.5 million, respectively, and diluted net income per share of $3.11 and $2.93, respectively. Cash provided by operating activities was $0.7 billion and $0.6 billion during the six months ended June 30, 2025 and 2024, respectively. As of June 30, 2025, we had $2.2 billion of cash and cash equivalents and approximately $0.7 billion of available borrowing capacity on our revolving credit facility. For a more complete discussion of our cash flows and financial position, see the Liquidity and Capital Resources section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Part II, Item 7, “Critical Accounting Policies and Estimates” contained in our Annual Report on Form 10-K for the fiscal year ended December 31, 2024. There have been no material changes to the critical accounting policies previously disclosed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period-over-period changes in our interim Condensed Consolidated Statements of Operations for the periods indicated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Ended June 30,</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1,686,454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64,817</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327,096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240,783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Ended June 30,</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3,220,584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1,507,196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105,292</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605,128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592,668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451,722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440,093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11,629</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for the three months ended June 30, 2025 were $1.7 billion, an increase of $91.4 million, or 6% compared to the same period in 2024 on a reported basis and 5% excluding the foreign currency impact. Total revenues for the six months ended June 30, 2025 were $3.2 billion, an increase of $0.2 billion, or 5% compared to the same period in 2024 on both a reported basis and excluding the foreign currency impact. Refer to the section of this MD&amp;A below entitled “Segment Results” for a discussion of revenues and results by segment.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Cost of services and product development was $531.7 million during the three months ended June 30, 2025, an increase of $18.4 million compared to the same period in 2024, or 4% on a reported basis and 2% excluding the foreign currency impact. The increase in Cost of services and product development during the three months ended June 30, 2025 was primarily due to a $12.2 million increase in personnel expenses associated with merit increases. Cost of services and product development as a percent of revenues was 32% for each of the three months ended June 30, 2025 and 2024. Cost of services and product development was $1.0 billion during the six months ended June 30, 2025, an increase of $34.0 million compared to the same period in 2024, or 3% on both a reported basis and excluding the foreign currency impact. The increase in Cost of services and product development during the six months ended June 30, 2025 was primarily due to a $31.2 million increase in personnel expenses associated with merit increases. Cost of services and product development as a percent of revenues was 31% and 32% for the six months ended June 30, 2025 and 2024, respectively.</w:t>
      </w:r>
    </w:p>
    <w:p>
      <w:pPr>
        <w:spacing w:after="0" w:line="200" w:lineRule="exact"/>
        <w:rPr>
          <w:sz w:val="20"/>
          <w:szCs w:val="20"/>
          <w:color w:val="auto"/>
        </w:rPr>
      </w:pPr>
    </w:p>
    <w:p>
      <w:pPr>
        <w:spacing w:after="0" w:line="2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 was $776.9 million during the three months ended June 30, 2025, an increase of $64.8 million compared to the same period in 2024, or 9% and on a reported basis and 8% excluding the foreign currency impact. The increase in SG&amp;A expense during the three months ended June 30, 2025 was primarily a result of a $40.9 million increase in personnel expenses due to increased headcount and merit increases. SG&amp;A expense was $1.5 billion during the six months ended June 30, 2025, an increase of $105.3 million compared to the same period in 2024, or 8% on both reported basis and excluding the foreign currency impact. The increase in SG&amp;A expense during the six months ended June 30, 2025 was primarily a result of an $81.6 million increase in personnel expenses due to increased headcount and merit increases. The number of quota-bearing sales associates in Global Technology Sales increased by 3% to 3,695 and in Global Business Sales, increased by 10% to 1,339 compared to June 30, 2024. On a combined basis, the total number of quota-bearing sales associates increased by 5% when compared to June 30, 2024. SG&amp;A expense as a percent of revenues was 46% and 45% during the three months ended June 30, 2025 and 2024, respectively. SG&amp;A expense as a percent of revenues was 47% and 46% during the six months ended June 30, 2025 and 2024, respectively.</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increased by 11% and 10% during the three and six months ended June 30, 2025, respectively, compared to the same periods in 2024. The increase for the three and six months ended June 30, 2025 was primarily due to increased software additions during the last twelve months.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12% and 8% during the three and six months ended June 30, 2025, respectively, compared to the same periods in 2024, due to certain intangible assets becoming fully amortized in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Acquisition and integration charges decreased by $0.4 million and 0.8 million during the three and six months ended June 30, 2025, respectively, compared to the same periods in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was $327.1 million and $318.8 million during the three months ended June 30, 2025 and 2024, respectively. Operating income was $605.1 million and $592.7 million during the six months ended June 30, 2025 and 2024, respectively. The increases in operating income for the three and six months ended June 30, 2025 as compared to the prior year periods were primarily due to increased revenues, partially offset by increases in cost of services and product development and selling, general and administrative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$8.2 million and $14.0 million during the three and six months ended June 30, 2025, respectively, compared to the same periods in 2024. The decrease for the three and six months ended June 30, 2025 was due to increased interest income, primarily as a result of higher cash balances than the prior year.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periods presented herein included the net impact of foreign currency gains and losses from our hedging activities. Other income, net for the three months ended June 30, 2025 and 2024 also included gains of $0.3 million and $0.6 million, respectively, on de-designated interest rate swaps. Other income, net for the six months ended June 30, 2025 and 2024 also included gains of $0.4 million and $5.0 million, respectively, on de-designated interest rate swaps.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$77.0 million and $69.7 million for the three months ended June 30, 2025 and 2024, respectively and $133.1 million and $118.8 million for the six months ended June 30, 2025 and 2024, respectively. The effective income tax rate was 24.2% and 23.3% for the three months ended June 30, 2025 and 2024, respectively and 22.8% and 21.3% for the six months ended June 30, 2025 and 2024, respectively. While all periods include benefits related to research and development tax credits, the current year effective income tax rates reflect a lower benefit than the same periods in the prior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June 30, 2025 and 2024 was $240.8 million and $229.5 million, respectively, while net income for the six months ended June 30, 2025 and 2024 was $451.7 million and $440.1 million, respectively. Our diluted net income per share during the three months ended June 30, 2025 increased by $0.18. The increases in net income during the three and six months ended June 30, 2025 were primarily due to an increase in revenues and lower interest expense, net, partially offset by increases in operating expenses and the provision for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Insights (formerly Research), Conferences and Consulting.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8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80" w:type="dxa"/>
            <w:vAlign w:val="bottom"/>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1,319,453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1,265,992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2,641,280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2,534,164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107,116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974,675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933,121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41,554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1,959,198</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1,877,690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81,508</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5,034,000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4,799,000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Technology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3,822,000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3,689,000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 points</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Business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1,212,000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1,110,000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 points</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currency neutral basis. Contract values as of June 30, 2024 have been calculated using the same foreign currency rates as 2025.</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Insights revenues increased by $53.5 million during the three months ended June 30, 2025 compared to the same period in 2024, or 4% on a reported basis and 3% excluding the foreign currency impact. For the six months ended June 30, 2025, Insights revenue increased by $107.1 million compared to the same period in 2024 or 4% on a reported basis and 5% excluding the foreign currency impact. The increase in revenues during 2025 was primarily due to Insights contract value growth in 2024. The segment gross contribution margin was 74% for both the three and six months ended June 30, 2025 and 2024.</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value increased to $5.0 billion at June 30, 2025, or 5% compared to June 30, 2024 excluding the foreign currency impact. The majority of industry sectors grew mid single-digit rates or faster. Growth was led by the energy, manufacturing and healthcare sectors, with public sector having a low single digit decrease. Global Technology Sales (“GTS”) contract value increased by 4% at June 30, 2025 when compared to June 30, 2024. The increase in GTS contract value was primarily due to new business from existing clients. GTS contract value increased by mid single-digit rates or faster for all commercial enterprise sizes and nearly all industry sectors. Global Business Sales (“GBS”) contract value increased by 9% year-over-year, also primarily driven by new business from existing clients. The majority of our GBS practices achieved double-digit growth rates, with the majority of enterprise sizes and sectors growing high single-digits or faster year-over-year as well.</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GTS client retention was 84% and 83% as of June 30, 2025 and 2024, respectively, while wallet retention was 99% and 101% as of June 30, 2025 and 2024, respectively. GBS client retention was 87% as of both June 30, 2025 and 2024, while wallet retention was 104% and 106%, respectively. The decrease in GTS and GBS wallet retention was largely due to lower levels of spending by existing clients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Six Months</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Six Months</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4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211,407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186,084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25,323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284,004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256,153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27,851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121,388</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108,112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148,770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131,367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17,403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(1) point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1 point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Number of destination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conferences (2)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Number of destination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conferences attendees (2)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28,295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26,369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40,206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40,226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day, local meetings are excluded.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Conferences revenues increased by $25.3 million during the three months ended June 30, 2025 compared to the same period in 2024, or 14% on a reported basis and 12% excluding the foreign currency impact. The increase in revenues for the three months ended June 30, 2025 was primarily due to increased destination conferences compared to the same period in 2024. We held 19 and 16 destination conferences during the three months ended June 30, 2025 and 2024, respectively, with the increase primarily as a result of three destination conferences moving from the first and third quarters to the second quarter in 2025. Gross contribution increased to $121.4 million during the three months ended June 30, 2025 compared to $108.1 million in the same period last year. The increase in gross contribution during the three ended June 30, 2025 was primarily the result of the increase in revenues, partially offset by an increase in conference-related expenses as a result of holding three additional destination conferences in the second quarter in 2025 compared to the same period in 2024.</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Conferences revenues increased by $27.9 million compared to the same period in 2024, or 11% on a reported basis and 10% excluding the foreign currency impact. We held 29 and 28 destination conferences during the six months ended June 30, 2025 and 2024, respectively. The increase in revenues for the six months ended June 30, 2025 was primarily due to increased exhibitor revenue compared to the same period in 2024. Gross contribution increased to $148.8 million during the six months ended June 30, 2025 compared to $131.4 million in the same period last year. The increase in gross contribution during the six months ended June 30, 2025 was primarily the result of the increase in revenues, partially offset by an increase in conference-related expenses.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1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155,594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142,984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12,610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295,300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277,669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17,631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61,555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53,719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7,836</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114,947</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108,006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6,941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 points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 (1),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191,100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195,000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Billable headcount</w:t>
            </w:r>
          </w:p>
        </w:tc>
        <w:tc>
          <w:tcPr>
            <w:tcW w:w="100" w:type="dxa"/>
            <w:vAlign w:val="bottom"/>
          </w:tcPr>
          <w:p>
            <w:pPr>
              <w:spacing w:after="0"/>
              <w:rPr>
                <w:sz w:val="17"/>
                <w:szCs w:val="17"/>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Consultant utilization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 points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 points</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June 30, 2024 has been calculated using the same foreign currency rates as 2025.</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Consulting revenues increased by 9% during the three months ended June 30, 2025 compared to the same period in 2024 on a reported basis and 6% excluding the foreign currency impact, with an increase in labor-based consulting revenue of 3% and an increase in contract optimization revenue of 26%, each on a reported basis. Contract optimization revenue may vary significantly and, as such, revenues for the second quarter of 2025 may not be indicative of results for the remainder of 2025 or beyond. The segment gross contribution margin was 40% and 38% for the three months ended June 30, 2025 and 2024, respectively. The increase in gross contribution margin for the three months ended June 30, 2025 was primarily due to the increase in revenues.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Consulting revenues increased 6% compared to the same period in 2024 on both a reported basis and excluding the foreign currency impact, with a decrease in labor-based consulting revenue of 1% and an increase in contract optimization revenue of 30%, each on a reported basis. The segment gross contribution margin for the six months ended June 30, 2025 was flat compared to the same period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decreased by $3.9 million, or 2%, from June 30, 2024 to June 30, 2025, excluding the foreign currency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to a lesser extent, borrowings. Note 7 — Debt in the Notes to Condensed Consolidated Financial Statements provides additional information regarding the Company’s outstanding debt obligations. At June 30, 2025, we had $2.2 billion of cash and cash equivalents and approximately $0.7 billion of available borrowing capacity on the revolving credit facility under our 2024 Credit Agreement. We believe that the Company has adequate liquidity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fourth quarter of 2024, we entered into an amended lease agreement to significantly reduce the square footage and reduce future lease payments at one of our leased locations. We made installment payments of $24.0 million during each of the fourth quarter of 2024 and the second quarter of 2025 in consideration for the lease amendment.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45% held outside the U.S. at June 30, 2025. We intend to distribute a portion of the accumulated undistributed earnings of non-U.S. subsidiaries in conjunction with global restructuring activity and have recorded a modest tax expense for the anticipated impact of such distribution. We continue to assert our intention to reinvest substantially all remaining accumulated undistributed foreign earnings, except in instances where repatriation would result in minimal additional tax.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our cash balances for the periods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41"/>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5"/>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138,277</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133,541</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264,028</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84,175</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613,548</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961,751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$697.1 million and $558.8 million during the six months ended June 30, 2025 and 2024, respectively. The year-over-year increase was primarily due to the improved timing of collections and lower income tax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$61.8 million and $54.0 million during the six months ended June 30, 2025 and 2024, respectively. The increase from 2024 to 2025 was primarily the result of higher leasehold improvements expenditures.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$419.7 million and $553.2 million during the six months ended June 30, 2025 and 2024, respectively. We used $437.2 million and $564.7 million of cash for share repurchases during the six months ended June 30, 2025 and 2024, respectively. In March 2024, the Company borrowed $274.4 million under the 2024 Credit Agreement. The initial borrowing was used to repay the outstanding amounts under the 2020 Credit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$2.5 billion of principal amount of debt outstanding. Note 7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2025 through June 30, 2025, the Company has not entered into any material off-balance sheet arrangements or transactions with unconsolidated entities or other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$2.5 billion in total debt principal outstanding. Note 7 — Debt in the Notes to Condensed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$274.4 million of the Company’s total debt outstanding as of June 30, 2025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June 30, 2025, we had $2.2 billion of cash and cash equivalents, with a substantial portion denominated in foreign currencies. If the exchange rates of the foreign currencies we hold all changed in comparison to the U.S. dollar by 10%, the amount of cash and cash equivalents we would have reported on June 30, 2025 could have increased or decreased by approximately $97.9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June 30, 2025 had an immaterial net unrealized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as of June 30, 2025,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June 30, 2025, the Company’s disclosure controls and procedures were effective.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Exchange Act Rules 13a-15 or 15d-15 that occurred during the quarter ended June 30,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-175895</wp:posOffset>
            </wp:positionV>
            <wp:extent cx="368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of our Annual Report on Form 10-K for the year ended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2015, the Company’s Board of Directors (the “Board”) authorized a share repurchase program to repurchase up to $1.2 billion of the Company’s common stock. The Board authorized incremental share repurchases of up to an aggregate additional $4.1 billion of the Company’s common stock from February 2021 to July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June 30, 2025.</w:t>
      </w: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16"/>
                <w:szCs w:val="16"/>
                <w:color w:val="auto"/>
              </w:rPr>
            </w:pPr>
          </w:p>
        </w:tc>
        <w:tc>
          <w:tcPr>
            <w:tcW w:w="10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30"/>
        </w:trPr>
        <w:tc>
          <w:tcPr>
            <w:tcW w:w="3960" w:type="dxa"/>
            <w:vAlign w:val="bottom"/>
            <w:gridSpan w:val="2"/>
            <w:vMerge w:val="continue"/>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832,634</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225,922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736,638</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602,395</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659,883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650,049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June 30, 2025 included 9,834 shares purchased for the settlement of stock-based compensation awards and 650,049 shares purchased in the open market. Amounts presented exclude the excise tax accrual.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June 30, 2025.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2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24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gridSpan w:val="3"/>
          </w:tcPr>
          <w:p>
            <w:pPr>
              <w:spacing w:after="0"/>
              <w:rPr>
                <w:rFonts w:ascii="Times New Roman" w:cs="Times New Roman" w:eastAsia="Times New Roman" w:hAnsi="Times New Roman"/>
                <w:sz w:val="18"/>
                <w:szCs w:val="18"/>
                <w:color w:val="0000FF"/>
                <w:w w:val="96"/>
              </w:rPr>
            </w:pPr>
            <w:hyperlink r:id="rId58">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1(1)</w:t>
              </w:r>
            </w:hyperlink>
          </w:p>
        </w:tc>
        <w:tc>
          <w:tcPr>
            <w:tcW w:w="780" w:type="dxa"/>
            <w:vAlign w:val="bottom"/>
          </w:tcPr>
          <w:p>
            <w:pPr>
              <w:spacing w:after="0"/>
              <w:rPr>
                <w:sz w:val="21"/>
                <w:szCs w:val="21"/>
                <w:color w:val="auto"/>
              </w:rPr>
            </w:pPr>
          </w:p>
        </w:tc>
        <w:tc>
          <w:tcPr>
            <w:tcW w:w="6240" w:type="dxa"/>
            <w:vAlign w:val="bottom"/>
            <w:gridSpan w:val="5"/>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Restated Certificate of Incorporation of the Company.</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6"/>
              </w:rPr>
            </w:pPr>
            <w:hyperlink r:id="rId59">
              <w:r>
                <w:rPr>
                  <w:rFonts w:ascii="Times New Roman" w:cs="Times New Roman" w:eastAsia="Times New Roman" w:hAnsi="Times New Roman"/>
                  <w:sz w:val="18"/>
                  <w:szCs w:val="18"/>
                  <w:color w:val="0000FF"/>
                  <w:w w:val="96"/>
                </w:rPr>
                <w:t>3.</w:t>
              </w:r>
              <w:r>
                <w:rPr>
                  <w:rFonts w:ascii="Times New Roman" w:cs="Times New Roman" w:eastAsia="Times New Roman" w:hAnsi="Times New Roman"/>
                  <w:sz w:val="18"/>
                  <w:szCs w:val="18"/>
                  <w:u w:val="single" w:color="auto"/>
                  <w:color w:val="0000FF"/>
                  <w:w w:val="96"/>
                </w:rPr>
                <w:t>2(2)</w:t>
              </w:r>
            </w:hyperlink>
          </w:p>
        </w:tc>
        <w:tc>
          <w:tcPr>
            <w:tcW w:w="780" w:type="dxa"/>
            <w:vAlign w:val="bottom"/>
          </w:tcPr>
          <w:p>
            <w:pPr>
              <w:spacing w:after="0"/>
              <w:rPr>
                <w:sz w:val="22"/>
                <w:szCs w:val="22"/>
                <w:color w:val="auto"/>
              </w:rPr>
            </w:pPr>
          </w:p>
        </w:tc>
        <w:tc>
          <w:tcPr>
            <w:tcW w:w="5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By-laws of Gartner, Inc. (as amended and restated through October 31, 2024).</w:t>
              </w:r>
            </w:hyperlink>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780" w:type="dxa"/>
            <w:vAlign w:val="bottom"/>
          </w:tcPr>
          <w:p>
            <w:pPr>
              <w:spacing w:after="0"/>
              <w:rPr>
                <w:sz w:val="22"/>
                <w:szCs w:val="22"/>
                <w:color w:val="auto"/>
              </w:rPr>
            </w:pP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under Rule 13a — 14(a)/15d — 14(a).</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780" w:type="dxa"/>
            <w:vAlign w:val="bottom"/>
          </w:tcPr>
          <w:p>
            <w:pPr>
              <w:spacing w:after="0"/>
              <w:rPr>
                <w:sz w:val="22"/>
                <w:szCs w:val="22"/>
                <w:color w:val="auto"/>
              </w:rPr>
            </w:pP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Rule 13a — 14(a)/15d — 14(a).</w:t>
            </w:r>
          </w:p>
        </w:tc>
        <w:tc>
          <w:tcPr>
            <w:tcW w:w="0" w:type="dxa"/>
            <w:vAlign w:val="bottom"/>
          </w:tcPr>
          <w:p>
            <w:pPr>
              <w:spacing w:after="0"/>
              <w:rPr>
                <w:sz w:val="1"/>
                <w:szCs w:val="1"/>
                <w:color w:val="auto"/>
              </w:rPr>
            </w:pPr>
          </w:p>
        </w:tc>
      </w:tr>
      <w:tr>
        <w:trPr>
          <w:trHeight w:val="264"/>
        </w:trPr>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000000"/>
              </w:rPr>
              <w:t>*</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under 18 U.S.C. 1350.</w:t>
            </w:r>
          </w:p>
        </w:tc>
        <w:tc>
          <w:tcPr>
            <w:tcW w:w="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0"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Quarterly Report on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30"/>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887"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52"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6116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465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August 5, 2025</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of Gartner, Inc. (the “Company”) on Form 10-Q for the quarter ended June 30, 2025,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205" w:lineRule="exact"/>
        <w:rPr>
          <w:sz w:val="20"/>
          <w:szCs w:val="20"/>
          <w:color w:val="auto"/>
        </w:rPr>
      </w:pPr>
    </w:p>
    <w:p>
      <w:pPr>
        <w:ind w:left="740" w:hanging="732"/>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Roman"/>
      <w:start w:val="2"/>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8" Type="http://schemas.openxmlformats.org/officeDocument/2006/relationships/hyperlink" Target="https://www.sec.gov/Archives/edgar/data/749251/000095012305008192/y10586exv3w1.htm" TargetMode="External"/><Relationship Id="rId59" Type="http://schemas.openxmlformats.org/officeDocument/2006/relationships/hyperlink" Target="https://www.sec.gov/Archives/edgar/data/749251/000074925124000041/exhibit32-gartnerbylawso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2025-08-05T05:22:18Z</dcterms:created>
  <dcterms:modified xsi:type="dcterms:W3CDTF">2025-08-05T05:22:18Z</dcterms:modified>
</cp:coreProperties>
</file>