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1-14443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Gartner,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309"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78"/>
        <w:gridCol w:w="586"/>
        <w:gridCol w:w="586"/>
        <w:gridCol w:w="837"/>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04-3099750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 Box 10212</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06902-7700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 Top Gallant 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Stamford,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(203) 964-0096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$.0005 par value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0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14"/>
        <w:gridCol w:w="716"/>
        <w:gridCol w:w="719"/>
        <w:gridCol w:w="160"/>
        <w:gridCol w:w="160"/>
        <w:gridCol w:w="160"/>
        <w:gridCol w:w="160"/>
        <w:gridCol w:w="160"/>
        <w:gridCol w:w="160"/>
        <w:gridCol w:w="857"/>
        <w:gridCol w:w="857"/>
        <w:gridCol w:w="860"/>
        <w:gridCol w:w="160"/>
        <w:gridCol w:w="160"/>
        <w:gridCol w:w="160"/>
        <w:gridCol w:w="160"/>
        <w:gridCol w:w="160"/>
        <w:gridCol w:w="160"/>
        <w:gridCol w:w="940"/>
        <w:gridCol w:w="940"/>
        <w:gridCol w:w="943"/>
        <w:gridCol w:w="160"/>
        <w:gridCol w:w="160"/>
        <w:gridCol w:w="160"/>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2, 2025, 76,966,937 shares of the registrant’s common shares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3499"/>
        <w:gridCol w:w="3059"/>
        <w:gridCol w:w="3074"/>
        <w:gridCol w:w="167"/>
        <w:gridCol w:w="167"/>
        <w:gridCol w:w="239"/>
      </w:tblGrid>
      <w:tr>
        <w:trPr/>
        <w:tc>
          <w:tcPr>
            <w:tcW w:w="3499"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0">
              <w:r>
                <w:rPr>
                  <w:rStyle w:val="InternetLink"/>
                  <w:rFonts w:ascii="Times New Roman;sans-serif" w:hAnsi="Times New Roman;sans-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3">
              <w:r>
                <w:rPr>
                  <w:rStyle w:val="InternetLink"/>
                  <w:rFonts w:ascii="Times New Roman;sans-serif" w:hAnsi="Times New Roman;sans-serif"/>
                  <w:b w:val="false"/>
                  <w:color w:val="0000FF"/>
                  <w:sz w:val="20"/>
                  <w:u w:val="single"/>
                </w:rPr>
                <w:t>ITEM 1.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6">
              <w:r>
                <w:rPr>
                  <w:rStyle w:val="InternetLink"/>
                  <w:rFonts w:ascii="Times New Roman;sans-serif" w:hAnsi="Times New Roman;sans-serif"/>
                  <w:b w:val="false"/>
                  <w:color w:val="0000FF"/>
                  <w:sz w:val="20"/>
                  <w:u w:val="single"/>
                </w:rPr>
                <w:t>Condensed Consolidated Balance Sheets at March 31, 2025 and December 31,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6">
              <w:r>
                <w:rPr>
                  <w:rStyle w:val="InternetLink"/>
                  <w:rFonts w:ascii="Times New Roman;sans-serif" w:hAnsi="Times New Roman;sans-serif"/>
                  <w:b w:val="false"/>
                  <w:color w:val="0000FF"/>
                  <w:sz w:val="20"/>
                  <w:u w:val="single"/>
                </w:rPr>
                <w:t>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22">
              <w:r>
                <w:rPr>
                  <w:rStyle w:val="InternetLink"/>
                  <w:rFonts w:ascii="Times New Roman;sans-serif" w:hAnsi="Times New Roman;sans-serif"/>
                  <w:b w:val="false"/>
                  <w:color w:val="0000FF"/>
                  <w:sz w:val="20"/>
                  <w:u w:val="single"/>
                </w:rPr>
                <w:t>Condensed Consolidated Statements of Operations for the Three Months Ended March 31, 2025 and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22">
              <w:r>
                <w:rPr>
                  <w:rStyle w:val="InternetLink"/>
                  <w:rFonts w:ascii="Times New Roman;sans-serif" w:hAnsi="Times New Roman;sans-serif"/>
                  <w:b w:val="false"/>
                  <w:color w:val="0000FF"/>
                  <w:sz w:val="20"/>
                  <w:u w:val="single"/>
                </w:rPr>
                <w:t>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28">
              <w:r>
                <w:rPr>
                  <w:rStyle w:val="InternetLink"/>
                  <w:rFonts w:ascii="Times New Roman;sans-serif" w:hAnsi="Times New Roman;sans-serif"/>
                  <w:b w:val="false"/>
                  <w:color w:val="0000FF"/>
                  <w:sz w:val="20"/>
                  <w:u w:val="single"/>
                </w:rPr>
                <w:t>Condensed Consolidated Statements of Comprehensive Income for the Three Months Ended March 31, 2025 and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28">
              <w:r>
                <w:rPr>
                  <w:rStyle w:val="InternetLink"/>
                  <w:rFonts w:ascii="Times New Roman;sans-serif" w:hAnsi="Times New Roman;sans-serif"/>
                  <w:b w:val="false"/>
                  <w:color w:val="0000FF"/>
                  <w:sz w:val="20"/>
                  <w:u w:val="single"/>
                </w:rPr>
                <w:t>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31">
              <w:r>
                <w:rPr>
                  <w:rStyle w:val="InternetLink"/>
                  <w:rFonts w:ascii="Times New Roman;sans-serif" w:hAnsi="Times New Roman;sans-serif"/>
                  <w:b w:val="false"/>
                  <w:color w:val="0000FF"/>
                  <w:sz w:val="20"/>
                  <w:u w:val="single"/>
                </w:rPr>
                <w:t>Condensed Consolidated Statements of Changes in Stockholders’ Equity for the Three Months Ended March 31, 2025 and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31">
              <w:r>
                <w:rPr>
                  <w:rStyle w:val="InternetLink"/>
                  <w:rFonts w:ascii="Times New Roman;sans-serif" w:hAnsi="Times New Roman;sans-serif"/>
                  <w:b w:val="false"/>
                  <w:color w:val="0000FF"/>
                  <w:sz w:val="20"/>
                  <w:u w:val="single"/>
                </w:rPr>
                <w:t>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34">
              <w:r>
                <w:rPr>
                  <w:rStyle w:val="InternetLink"/>
                  <w:rFonts w:ascii="Times New Roman;sans-serif" w:hAnsi="Times New Roman;sans-serif"/>
                  <w:b w:val="false"/>
                  <w:color w:val="0000FF"/>
                  <w:sz w:val="20"/>
                  <w:u w:val="single"/>
                </w:rPr>
                <w:t>Condensed Consolidated Statements of Cash Flows for the Three Months Ended March 31, 2025 and 2024</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34">
              <w:r>
                <w:rPr>
                  <w:rStyle w:val="InternetLink"/>
                  <w:rFonts w:ascii="Times New Roman;sans-serif" w:hAnsi="Times New Roman;sans-serif"/>
                  <w:b w:val="false"/>
                  <w:color w:val="0000FF"/>
                  <w:sz w:val="20"/>
                  <w:u w:val="singl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37">
              <w:r>
                <w:rPr>
                  <w:rStyle w:val="InternetLink"/>
                  <w:rFonts w:ascii="Times New Roman;sans-serif" w:hAnsi="Times New Roman;sans-serif"/>
                  <w:b w:val="false"/>
                  <w:color w:val="0000FF"/>
                  <w:sz w:val="20"/>
                  <w:u w:val="single"/>
                </w:rPr>
                <w:t>Notes to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37">
              <w:r>
                <w:rPr>
                  <w:rStyle w:val="InternetLink"/>
                  <w:rFonts w:ascii="Times New Roman;sans-serif" w:hAnsi="Times New Roman;sans-serif"/>
                  <w:b w:val="false"/>
                  <w:color w:val="0000FF"/>
                  <w:sz w:val="20"/>
                  <w:u w:val="single"/>
                </w:rPr>
                <w:t>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03">
              <w:r>
                <w:rPr>
                  <w:rStyle w:val="InternetLink"/>
                  <w:rFonts w:ascii="Times New Roman;sans-serif" w:hAnsi="Times New Roman;sans-serif"/>
                  <w:b w:val="false"/>
                  <w:color w:val="0000FF"/>
                  <w:sz w:val="20"/>
                  <w:u w:val="single"/>
                </w:rPr>
                <w:t>24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33">
              <w:r>
                <w:rPr>
                  <w:rStyle w:val="InternetLink"/>
                  <w:rFonts w:ascii="Times New Roman;sans-serif" w:hAnsi="Times New Roman;sans-serif"/>
                  <w:b w:val="false"/>
                  <w:color w:val="0000FF"/>
                  <w:sz w:val="20"/>
                  <w:u w:val="single"/>
                </w:rPr>
                <w:t>ITEM 3.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33">
              <w:r>
                <w:rPr>
                  <w:rStyle w:val="InternetLink"/>
                  <w:rFonts w:ascii="Times New Roman;sans-serif" w:hAnsi="Times New Roman;sans-serif"/>
                  <w:b w:val="false"/>
                  <w:color w:val="0000FF"/>
                  <w:sz w:val="20"/>
                  <w:u w:val="single"/>
                </w:rPr>
                <w:t>35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36">
              <w:r>
                <w:rPr>
                  <w:rStyle w:val="InternetLink"/>
                  <w:rFonts w:ascii="Times New Roman;sans-serif" w:hAnsi="Times New Roman;sans-serif"/>
                  <w:b w:val="false"/>
                  <w:color w:val="0000FF"/>
                  <w:sz w:val="20"/>
                  <w:u w:val="single"/>
                </w:rPr>
                <w:t>ITEM 4.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36">
              <w:r>
                <w:rPr>
                  <w:rStyle w:val="InternetLink"/>
                  <w:rFonts w:ascii="Times New Roman;sans-serif" w:hAnsi="Times New Roman;sans-serif"/>
                  <w:b w:val="false"/>
                  <w:color w:val="0000FF"/>
                  <w:sz w:val="20"/>
                  <w:u w:val="single"/>
                </w:rPr>
                <w:t>36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OTHER INFORMATION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42">
              <w:r>
                <w:rPr>
                  <w:rStyle w:val="InternetLink"/>
                  <w:rFonts w:ascii="Times New Roman;sans-serif" w:hAnsi="Times New Roman;sans-serif"/>
                  <w:b w:val="false"/>
                  <w:color w:val="0000FF"/>
                  <w:sz w:val="20"/>
                  <w:u w:val="single"/>
                </w:rPr>
                <w:t>ITEM 1.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42">
              <w:r>
                <w:rPr>
                  <w:rStyle w:val="InternetLink"/>
                  <w:rFonts w:ascii="Times New Roman;sans-serif" w:hAnsi="Times New Roman;sans-serif"/>
                  <w:b w:val="false"/>
                  <w:color w:val="0000FF"/>
                  <w:sz w:val="20"/>
                  <w:u w:val="single"/>
                </w:rPr>
                <w:t>37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45">
              <w:r>
                <w:rPr>
                  <w:rStyle w:val="InternetLink"/>
                  <w:rFonts w:ascii="Times New Roman;sans-serif" w:hAnsi="Times New Roman;sans-serif"/>
                  <w:b w:val="false"/>
                  <w:color w:val="0000FF"/>
                  <w:sz w:val="20"/>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45">
              <w:r>
                <w:rPr>
                  <w:rStyle w:val="InternetLink"/>
                  <w:rFonts w:ascii="Times New Roman;sans-serif" w:hAnsi="Times New Roman;sans-serif"/>
                  <w:b w:val="false"/>
                  <w:color w:val="0000FF"/>
                  <w:sz w:val="20"/>
                  <w:u w:val="single"/>
                </w:rPr>
                <w:t>37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48">
              <w:r>
                <w:rPr>
                  <w:rStyle w:val="InternetLink"/>
                  <w:rFonts w:ascii="Times New Roman;sans-serif" w:hAnsi="Times New Roman;sans-serif"/>
                  <w:b w:val="false"/>
                  <w:color w:val="0000FF"/>
                  <w:sz w:val="20"/>
                  <w:u w:val="single"/>
                </w:rPr>
                <w:t>ITEM 2. 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48">
              <w:r>
                <w:rPr>
                  <w:rStyle w:val="InternetLink"/>
                  <w:rFonts w:ascii="Times New Roman;sans-serif" w:hAnsi="Times New Roman;sans-serif"/>
                  <w:b w:val="false"/>
                  <w:color w:val="0000FF"/>
                  <w:sz w:val="20"/>
                  <w:u w:val="single"/>
                </w:rPr>
                <w:t>37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51">
              <w:r>
                <w:rPr>
                  <w:rStyle w:val="InternetLink"/>
                  <w:rFonts w:ascii="Times New Roman;sans-serif" w:hAnsi="Times New Roman;sans-serif"/>
                  <w:b w:val="false"/>
                  <w:color w:val="0000FF"/>
                  <w:sz w:val="20"/>
                  <w:u w:val="single"/>
                </w:rPr>
                <w:t>ITEM 5.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51">
              <w:r>
                <w:rPr>
                  <w:rStyle w:val="InternetLink"/>
                  <w:rFonts w:ascii="Times New Roman;sans-serif" w:hAnsi="Times New Roman;sans-serif"/>
                  <w:b w:val="false"/>
                  <w:color w:val="0000FF"/>
                  <w:sz w:val="20"/>
                  <w:u w:val="single"/>
                </w:rPr>
                <w:t>37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8c3168185e4ccc89550bf65b79a994_154">
              <w:r>
                <w:rPr>
                  <w:rStyle w:val="InternetLink"/>
                  <w:rFonts w:ascii="Times New Roman;sans-serif" w:hAnsi="Times New Roman;sans-serif"/>
                  <w:b w:val="false"/>
                  <w:color w:val="0000FF"/>
                  <w:sz w:val="20"/>
                  <w:u w:val="single"/>
                </w:rPr>
                <w:t>ITEM 6. 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c3168185e4ccc89550bf65b79a994_154">
              <w:r>
                <w:rPr>
                  <w:rStyle w:val="InternetLink"/>
                  <w:rFonts w:ascii="Times New Roman;sans-serif" w:hAnsi="Times New Roman;sans-serif"/>
                  <w:b w:val="false"/>
                  <w:color w:val="0000FF"/>
                  <w:sz w:val="20"/>
                  <w:u w:val="single"/>
                </w:rPr>
                <w:t>38</w:t>
              </w:r>
            </w:hyperlink>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672"/>
        <w:gridCol w:w="2284"/>
        <w:gridCol w:w="2284"/>
        <w:gridCol w:w="211"/>
        <w:gridCol w:w="976"/>
        <w:gridCol w:w="109"/>
        <w:gridCol w:w="109"/>
        <w:gridCol w:w="109"/>
        <w:gridCol w:w="109"/>
        <w:gridCol w:w="211"/>
        <w:gridCol w:w="976"/>
        <w:gridCol w:w="155"/>
      </w:tblGrid>
      <w:tr>
        <w:trPr/>
        <w:tc>
          <w:tcPr>
            <w:tcW w:w="267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 of allowances of $7,500 and $8,500,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4,196,531 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leasehold improvements,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net of deferred financing fees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7,175,502 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 shares authorized; none issued or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250,000,000 shares authorized; 163,602,067 shares issued for both periods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86,214,938 and 86,222,214 common shares,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(7,042,717)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8,534,671 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6925" w:type="dxa"/>
        <w:jc w:val="center"/>
        <w:tblInd w:w="0" w:type="dxa"/>
        <w:tblLayout w:type="fixed"/>
        <w:tblCellMar>
          <w:top w:w="28" w:type="dxa"/>
          <w:left w:w="28" w:type="dxa"/>
          <w:bottom w:w="28" w:type="dxa"/>
          <w:right w:w="28" w:type="dxa"/>
        </w:tblCellMar>
      </w:tblPr>
      <w:tblGrid>
        <w:gridCol w:w="1277"/>
        <w:gridCol w:w="1117"/>
        <w:gridCol w:w="1131"/>
        <w:gridCol w:w="211"/>
        <w:gridCol w:w="976"/>
        <w:gridCol w:w="109"/>
        <w:gridCol w:w="109"/>
        <w:gridCol w:w="109"/>
        <w:gridCol w:w="109"/>
        <w:gridCol w:w="211"/>
        <w:gridCol w:w="976"/>
        <w:gridCol w:w="109"/>
        <w:gridCol w:w="109"/>
        <w:gridCol w:w="109"/>
        <w:gridCol w:w="109"/>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GARTNER, INC</w:t>
      </w:r>
      <w:r>
        <w:rPr>
          <w:rFonts w:ascii="Times New Roman;sans-serif" w:hAnsi="Times New Roman;sans-serif"/>
          <w:b w:val="false"/>
          <w:color w:val="000000"/>
          <w:sz w:val="20"/>
        </w:rPr>
        <w:t xml:space="preserve">. </w:t>
      </w:r>
      <w:r>
        <w:rPr>
          <w:rFonts w:ascii="Times New Roman;sans-serif" w:hAnsi="Times New Roman;sans-serif"/>
          <w:b/>
          <w:color w:val="000000"/>
          <w:sz w:val="20"/>
        </w:rPr>
        <w:t>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7660" w:type="dxa"/>
        <w:jc w:val="center"/>
        <w:tblInd w:w="0" w:type="dxa"/>
        <w:tblLayout w:type="fixed"/>
        <w:tblCellMar>
          <w:top w:w="28" w:type="dxa"/>
          <w:left w:w="28" w:type="dxa"/>
          <w:bottom w:w="28" w:type="dxa"/>
          <w:right w:w="28" w:type="dxa"/>
        </w:tblCellMar>
      </w:tblPr>
      <w:tblGrid>
        <w:gridCol w:w="1651"/>
        <w:gridCol w:w="1447"/>
        <w:gridCol w:w="1462"/>
        <w:gridCol w:w="211"/>
        <w:gridCol w:w="826"/>
        <w:gridCol w:w="109"/>
        <w:gridCol w:w="109"/>
        <w:gridCol w:w="109"/>
        <w:gridCol w:w="109"/>
        <w:gridCol w:w="211"/>
        <w:gridCol w:w="826"/>
        <w:gridCol w:w="109"/>
        <w:gridCol w:w="109"/>
        <w:gridCol w:w="109"/>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net change in deferred gain or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plans – net change in deferred actuarial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bidi w:val="0"/>
        <w:spacing w:before="0" w:after="0"/>
        <w:jc w:val="left"/>
        <w:rPr/>
      </w:pPr>
      <w:r>
        <w:rPr/>
      </w:r>
    </w:p>
    <w:p>
      <w:pPr>
        <w:pStyle w:val="TextBody"/>
        <w:bidi w:val="0"/>
        <w:spacing w:before="0" w:after="0"/>
        <w:jc w:val="both"/>
        <w:rPr/>
      </w:pPr>
      <w:r>
        <w:rPr/>
      </w:r>
    </w:p>
    <w:tbl>
      <w:tblPr>
        <w:tblW w:w="1054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2" w:type="dxa"/>
            <w:gridSpan w:val="3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39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9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9384" w:type="dxa"/>
        <w:jc w:val="center"/>
        <w:tblInd w:w="0" w:type="dxa"/>
        <w:tblLayout w:type="fixed"/>
        <w:tblCellMar>
          <w:top w:w="28" w:type="dxa"/>
          <w:left w:w="28" w:type="dxa"/>
          <w:bottom w:w="28" w:type="dxa"/>
          <w:right w:w="28" w:type="dxa"/>
        </w:tblCellMar>
      </w:tblPr>
      <w:tblGrid>
        <w:gridCol w:w="2325"/>
        <w:gridCol w:w="2040"/>
        <w:gridCol w:w="2055"/>
        <w:gridCol w:w="211"/>
        <w:gridCol w:w="976"/>
        <w:gridCol w:w="109"/>
        <w:gridCol w:w="109"/>
        <w:gridCol w:w="109"/>
        <w:gridCol w:w="109"/>
        <w:gridCol w:w="211"/>
        <w:gridCol w:w="97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lease related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the carrying amount of 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write-off of 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de-designated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 and divestitures: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treasury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rates on 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and restricted cash, beginning of period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end of period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1 — Business and Basis of Presentation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color w:val="000000"/>
          <w:sz w:val="20"/>
          <w:shd w:fill="FFFFFF" w:val="clear"/>
        </w:rPr>
        <w:t>Gartner, Inc. (NYSE: IT)</w:t>
      </w:r>
      <w:r>
        <w:rPr>
          <w:color w:val="000000"/>
        </w:rPr>
        <w:t xml:space="preserve"> </w:t>
      </w:r>
      <w:r>
        <w:rPr>
          <w:rFonts w:ascii="Times New Roman;sans-serif" w:hAnsi="Times New Roman;sans-serif"/>
          <w:b w:val="false"/>
          <w:color w:val="000000"/>
          <w:sz w:val="20"/>
        </w:rPr>
        <w:t xml:space="preserve">delivers actionable, objective insight that drives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Segments</w:t>
      </w:r>
      <w:r>
        <w:rPr>
          <w:rFonts w:ascii="Times New Roman;sans-serif" w:hAnsi="Times New Roman;sans-serif"/>
          <w:b w:val="false"/>
          <w:color w:val="000000"/>
          <w:sz w:val="20"/>
        </w:rPr>
        <w:t>. Gartner delivers its products and services globally through three business segments: Research, Conferences and Consulting. Revenues and other financial information for the Company’s segments are discussed in Note 6 —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The accompanying interim Condensed Consolidated Financial Statements have been prepared in accordance with generally accepted 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may not be indicative of the results of operations for the remainder of 2025 or beyond. When used in these notes, the terms “Gartner,” the “Company,” “we,” “us,” or “our” refer to Gartner, Inc. and its consolidated subsidiaries.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Principles of consolidation</w:t>
      </w:r>
      <w:r>
        <w:rPr>
          <w:rFonts w:ascii="Times New Roman;sans-serif" w:hAnsi="Times New Roman;sans-serif"/>
          <w:b w:val="false"/>
          <w:color w:val="000000"/>
          <w:sz w:val="20"/>
        </w:rPr>
        <w:t>. The accompanying interim Condensed Consolidated Financial Statements include the accounts of the Company and its wholly-owned subsidiaries. All intercompany transactions and balances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Use of estimates</w:t>
      </w:r>
      <w:r>
        <w:rPr>
          <w:rFonts w:ascii="Times New Roman;sans-serif" w:hAnsi="Times New Roman;sans-serif"/>
          <w:b w:val="false"/>
          <w:color w:val="000000"/>
          <w:sz w:val="20"/>
        </w:rPr>
        <w:t>. The preparation of the accompanying interim Condensed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Cash and cash equivalents and restricted cash.</w:t>
      </w:r>
      <w:r>
        <w:rPr>
          <w:color w:val="000000"/>
        </w:rPr>
        <w:t xml:space="preserve"> </w:t>
      </w:r>
      <w:r>
        <w:rPr>
          <w:rFonts w:ascii="Times New Roman;sans-serif" w:hAnsi="Times New Roman;sans-serif"/>
          <w:b w:val="false"/>
          <w:color w:val="000000"/>
          <w:sz w:val="20"/>
        </w:rPr>
        <w:t>During the three months ended March 31, 2024, the Company paid $0.6 million of restricted cash for deferred consideration related to a 2022 acquisition.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Revenue recognition. </w:t>
      </w:r>
      <w:r>
        <w:rPr>
          <w:rFonts w:ascii="Times New Roman;sans-serif" w:hAnsi="Times New Roman;sans-serif"/>
          <w:b w:val="false"/>
          <w:color w:val="000000"/>
          <w:sz w:val="20"/>
        </w:rPr>
        <w:t xml:space="preserve">Revenue is recognized in accordance with the requirements of FASB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3 — Revenue and Related Matters provides additional information regarding the Company’s revenues.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Adoption of new accounting standard</w:t>
      </w:r>
      <w:r>
        <w:rPr>
          <w:rFonts w:ascii="Times New Roman;sans-serif" w:hAnsi="Times New Roman;sans-serif"/>
          <w:b w:val="false"/>
          <w:color w:val="000000"/>
          <w:sz w:val="20"/>
        </w:rPr>
        <w:t>. The Company adopted the accounting standard described below during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Improvements in Reportable Segment Disclosures </w:t>
      </w:r>
      <w:r>
        <w:rPr>
          <w:rFonts w:ascii="Times New Roman;sans-serif" w:hAnsi="Times New Roman;sans-serif"/>
          <w:b w:val="false"/>
          <w:color w:val="000000"/>
          <w:sz w:val="20"/>
        </w:rPr>
        <w:t>(“ASU 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are required to report segment information in accordance with the new guidance starting in annual periods beginning after December 15, 2023, and interim periods within fiscal years beginning after December 15, 2024. The Company adopted ASU 2023-07 effective with the 2024 10-K and the adoption only impacted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Accounting standards issued but not yet adopted. </w:t>
      </w:r>
      <w:r>
        <w:rPr>
          <w:rFonts w:ascii="Times New Roman;sans-serif" w:hAnsi="Times New Roman;sans-serif"/>
          <w:b w:val="false"/>
          <w:color w:val="000000"/>
          <w:sz w:val="20"/>
        </w:rPr>
        <w:t>The FASB has issued accounting standards that have not yet become effective as of March 31, 2025 and may impact the Company’s Consolidated Financial Statements or related disclosures in future periods. The standards and their potential impacts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(“ASU 2023-09”). The amendments in 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Income Statement</w:t>
      </w:r>
      <w:r>
        <w:rPr>
          <w:color w:val="000000"/>
        </w:rPr>
        <w:t xml:space="preserve">— </w:t>
      </w: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Statement-Reporting Comprehensive Income- Expense Disaggregation Disclosures </w:t>
      </w:r>
      <w:r>
        <w:rPr>
          <w:rFonts w:ascii="Times New Roman;sans-serif" w:hAnsi="Times New Roman;sans-serif"/>
          <w:b w:val="false"/>
          <w:color w:val="000000"/>
          <w:sz w:val="20"/>
        </w:rPr>
        <w:t>(“ASU 2024-03”). The amendments in this ASU are expected to improve the 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2 —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recent annual impairment test of goodwill was a qualitative analysis conducted during the quarter ended September 30, 2024 that indicated no impairment. Subsequent to completing the 2024 annual impairment test, there were no events or changes in circumstances noted that required an interim impairment test.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changes to the carrying amount of goodwill by segment during the three months ended March 31, 2025 (in thousands).</w:t>
      </w:r>
    </w:p>
    <w:tbl>
      <w:tblPr>
        <w:tblW w:w="8864" w:type="dxa"/>
        <w:jc w:val="left"/>
        <w:tblInd w:w="0" w:type="dxa"/>
        <w:tblLayout w:type="fixed"/>
        <w:tblCellMar>
          <w:top w:w="28" w:type="dxa"/>
          <w:left w:w="28" w:type="dxa"/>
          <w:bottom w:w="28" w:type="dxa"/>
          <w:right w:w="28" w:type="dxa"/>
        </w:tblCellMar>
      </w:tblPr>
      <w:tblGrid>
        <w:gridCol w:w="1107"/>
        <w:gridCol w:w="973"/>
        <w:gridCol w:w="97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impact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does not have any accumulated goodwill impairment losses.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reconciliations of the carrying amounts of the Company’s finite-lived intangible assets as of the dates indicated (in thousands).</w:t>
      </w:r>
    </w:p>
    <w:tbl>
      <w:tblPr>
        <w:tblW w:w="7719"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fully amortized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impact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Finite-lived intangible assets are amortized using the straight-line method over the following periods: Customer relationships—6 to 13 years and Other—11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finite-lived intangible assets was $21.9 million and $23.0 million during the three months ended March 31, 2025 and 2024, respectively. The estimated future amortization expense by year for finite-lived intangible assets is presented in the table below (in thousands).</w:t>
      </w:r>
    </w:p>
    <w:p>
      <w:pPr>
        <w:pStyle w:val="TextBody"/>
        <w:bidi w:val="0"/>
        <w:spacing w:before="0" w:after="0"/>
        <w:jc w:val="both"/>
        <w:rPr/>
      </w:pPr>
      <w:r>
        <w:rPr/>
      </w:r>
    </w:p>
    <w:tbl>
      <w:tblPr>
        <w:tblW w:w="3770" w:type="dxa"/>
        <w:jc w:val="left"/>
        <w:tblInd w:w="0" w:type="dxa"/>
        <w:tblLayout w:type="fixed"/>
        <w:tblCellMar>
          <w:top w:w="28" w:type="dxa"/>
          <w:left w:w="28" w:type="dxa"/>
          <w:bottom w:w="28" w:type="dxa"/>
          <w:right w:w="28" w:type="dxa"/>
        </w:tblCellMar>
      </w:tblPr>
      <w:tblGrid>
        <w:gridCol w:w="933"/>
        <w:gridCol w:w="820"/>
        <w:gridCol w:w="826"/>
        <w:gridCol w:w="211"/>
        <w:gridCol w:w="82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3 — Revenue and Related Matters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Disaggregated Revenue</w:t>
      </w:r>
      <w:r>
        <w:rPr>
          <w:color w:val="000000"/>
        </w:rPr>
        <w:t xml:space="preserve"> — </w:t>
      </w:r>
      <w:r>
        <w:rPr>
          <w:rFonts w:ascii="Times New Roman;sans-serif" w:hAnsi="Times New Roman;sans-serif"/>
          <w:b w:val="false"/>
          <w:color w:val="000000"/>
          <w:sz w:val="20"/>
        </w:rPr>
        <w:t>The Company’s disaggregated revenue by reportable segment is presented in the tables below for the periods indicated (in thousands).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By Primary Geographic Market</w:t>
      </w:r>
      <w:r>
        <w:rPr>
          <w:color w:val="000000"/>
          <w:u w:val="single"/>
        </w:rPr>
        <w:t xml:space="preserve"> </w:t>
      </w:r>
      <w:r>
        <w:rPr>
          <w:rFonts w:ascii="Times New Roman;sans-serif" w:hAnsi="Times New Roman;sans-serif"/>
          <w:b w:val="false"/>
          <w:color w:val="000000"/>
          <w:sz w:val="20"/>
          <w:u w:val="single"/>
        </w:rPr>
        <w:t>(1)</w:t>
      </w:r>
    </w:p>
    <w:p>
      <w:pPr>
        <w:pStyle w:val="TextBody"/>
        <w:bidi w:val="0"/>
        <w:spacing w:before="0" w:after="0"/>
        <w:jc w:val="both"/>
        <w:rPr/>
      </w:pPr>
      <w:r>
        <w:rPr/>
      </w:r>
    </w:p>
    <w:tbl>
      <w:tblPr>
        <w:tblW w:w="8193" w:type="dxa"/>
        <w:jc w:val="left"/>
        <w:tblInd w:w="0" w:type="dxa"/>
        <w:tblLayout w:type="fixed"/>
        <w:tblCellMar>
          <w:top w:w="28" w:type="dxa"/>
          <w:left w:w="28" w:type="dxa"/>
          <w:bottom w:w="28" w:type="dxa"/>
          <w:right w:w="28" w:type="dxa"/>
        </w:tblCellMar>
      </w:tblPr>
      <w:tblGrid>
        <w:gridCol w:w="1184"/>
        <w:gridCol w:w="1040"/>
        <w:gridCol w:w="1045"/>
        <w:gridCol w:w="211"/>
        <w:gridCol w:w="976"/>
        <w:gridCol w:w="109"/>
        <w:gridCol w:w="231"/>
        <w:gridCol w:w="790"/>
        <w:gridCol w:w="120"/>
        <w:gridCol w:w="211"/>
        <w:gridCol w:w="826"/>
        <w:gridCol w:w="109"/>
        <w:gridCol w:w="211"/>
        <w:gridCol w:w="97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(1)Revenue is reported based on where the sale is fulfilled.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is generated primarily through direct sales to clients by domestic and international sales forces and a network of independent international sales agents.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Timing of Revenue Recognition</w:t>
      </w:r>
    </w:p>
    <w:p>
      <w:pPr>
        <w:pStyle w:val="TextBody"/>
        <w:bidi w:val="0"/>
        <w:spacing w:before="0" w:after="0"/>
        <w:jc w:val="both"/>
        <w:rPr/>
      </w:pPr>
      <w:r>
        <w:rPr/>
      </w:r>
    </w:p>
    <w:tbl>
      <w:tblPr>
        <w:tblW w:w="8193" w:type="dxa"/>
        <w:jc w:val="left"/>
        <w:tblInd w:w="0" w:type="dxa"/>
        <w:tblLayout w:type="fixed"/>
        <w:tblCellMar>
          <w:top w:w="28" w:type="dxa"/>
          <w:left w:w="28" w:type="dxa"/>
          <w:bottom w:w="28" w:type="dxa"/>
          <w:right w:w="28" w:type="dxa"/>
        </w:tblCellMar>
      </w:tblPr>
      <w:tblGrid>
        <w:gridCol w:w="1184"/>
        <w:gridCol w:w="1040"/>
        <w:gridCol w:w="1045"/>
        <w:gridCol w:w="211"/>
        <w:gridCol w:w="976"/>
        <w:gridCol w:w="109"/>
        <w:gridCol w:w="231"/>
        <w:gridCol w:w="790"/>
        <w:gridCol w:w="120"/>
        <w:gridCol w:w="211"/>
        <w:gridCol w:w="826"/>
        <w:gridCol w:w="109"/>
        <w:gridCol w:w="211"/>
        <w:gridCol w:w="97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(1)Research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revenues in this category are recognized in connection with performance obligations that are satisfied at the point in time that the contractual deliverables are provided to the customer.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Performance Obligations</w:t>
      </w:r>
      <w:r>
        <w:rPr>
          <w:color w:val="000000"/>
        </w:rPr>
        <w:t xml:space="preserve"> — </w:t>
      </w:r>
      <w:r>
        <w:rPr>
          <w:rFonts w:ascii="Times New Roman;sans-serif" w:hAnsi="Times New Roman;sans-serif"/>
          <w:b w:val="false"/>
          <w:color w:val="000000"/>
          <w:sz w:val="20"/>
        </w:rPr>
        <w:t xml:space="preserve">For customer contracts that are greater than one year in duration, the aggregate amount of the transaction price allocated to performance obligations that were unsatisfied (or partially unsatisfied) as of March 31, 2025 was approximately $6.1 billion. The Company expects to recognize $2.9 billion, $2.4 billion and $0.8 billion of this revenue (most of which pertains to Research) during the remainder of 2025, the year ending December 31, 2026 and thereafter,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Customer Contract Assets and Liabilities</w:t>
      </w:r>
      <w:r>
        <w:rPr>
          <w:color w:val="000000"/>
        </w:rPr>
        <w:t xml:space="preserve"> — </w:t>
      </w:r>
      <w:r>
        <w:rPr>
          <w:rFonts w:ascii="Times New Roman;sans-serif" w:hAnsi="Times New Roman;sans-serif"/>
          <w:b w:val="false"/>
          <w:color w:val="000000"/>
          <w:sz w:val="20"/>
        </w:rPr>
        <w:t>The timing of the recognition of revenue and the amount and timing of the Company’s billings and cash 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pStyle w:val="TextBody"/>
        <w:bidi w:val="0"/>
        <w:spacing w:before="0" w:after="0"/>
        <w:jc w:val="both"/>
        <w:rPr/>
      </w:pPr>
      <w:r>
        <w:rPr/>
      </w:r>
    </w:p>
    <w:tbl>
      <w:tblPr>
        <w:tblW w:w="8903" w:type="dxa"/>
        <w:jc w:val="center"/>
        <w:tblInd w:w="0" w:type="dxa"/>
        <w:tblLayout w:type="fixed"/>
        <w:tblCellMar>
          <w:top w:w="28" w:type="dxa"/>
          <w:left w:w="28" w:type="dxa"/>
          <w:bottom w:w="28" w:type="dxa"/>
          <w:right w:w="28" w:type="dxa"/>
        </w:tblCellMar>
      </w:tblPr>
      <w:tblGrid>
        <w:gridCol w:w="2143"/>
        <w:gridCol w:w="1888"/>
        <w:gridCol w:w="1908"/>
        <w:gridCol w:w="211"/>
        <w:gridCol w:w="976"/>
        <w:gridCol w:w="109"/>
        <w:gridCol w:w="109"/>
        <w:gridCol w:w="109"/>
        <w:gridCol w:w="109"/>
        <w:gridCol w:w="211"/>
        <w:gridCol w:w="97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gross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recorded in Prepaid expenses and other current assets (2)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Contract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(current liability) (3)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revenues recorded in Other liabilities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(1)Fees receivable represent an unconditional right to payment from the Company’s customers and include both billed and unbilled amounts.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recognized revenue of $1.0 billion during both the three months ended March 31, 2025 and 2024, that was attributable to deferred revenues that were recorded at the beginning of each such period. Those amounts primarily consisted of Research revenues that were recognized ratably as control of the goods or services passed to the customer during the reporting periods. During each of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and 2024, the Company did not record any material impairments related to its contract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4 — Computation of Earnings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calculation of basic and diluted income per share for the periods indicated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0"/>
        <w:gridCol w:w="2152"/>
        <w:gridCol w:w="2165"/>
        <w:gridCol w:w="109"/>
        <w:gridCol w:w="109"/>
        <w:gridCol w:w="109"/>
        <w:gridCol w:w="211"/>
        <w:gridCol w:w="826"/>
        <w:gridCol w:w="109"/>
        <w:gridCol w:w="109"/>
        <w:gridCol w:w="109"/>
        <w:gridCol w:w="109"/>
        <w:gridCol w:w="211"/>
        <w:gridCol w:w="826"/>
        <w:gridCol w:w="109"/>
        <w:gridCol w:w="109"/>
        <w:gridCol w:w="109"/>
        <w:gridCol w:w="109"/>
        <w:gridCol w:w="155"/>
      </w:tblGrid>
      <w:tr>
        <w:trPr/>
        <w:tc>
          <w:tcPr>
            <w:tcW w:w="246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used for calculating basic and 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used in the calculation of basic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outstanding awards associated with stock-based compensation plans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used in the calculation of 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ans-serif" w:hAnsi="Times New Roman;sans-serif"/>
          <w:b w:val="false"/>
          <w:color w:val="000000"/>
          <w:sz w:val="20"/>
        </w:rPr>
        <w:t xml:space="preserve">Certain outstanding awards associated with stock-based compensation plans were not included in the computation of diluted income per share because the effect would have been anti-dilutive. These anti-dilutive outstanding awards associated with stock-based compensation plans was 0.2 million and de minimis for the three months ended March 31, 2025 and 2024,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5 — 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March 31, 2025, the Company had 5.2 million shares of its common stock, par value $0.0005 per share, (the “Common Stock”) available for stock-based compensation awards under the Gartner, Inc. Long-Term Incentive Plan as amended and restated in June 2023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summarize the Company’s stock-based compensation expense by award type and expense category line item during the periods indicated (in millions).</w:t>
      </w:r>
    </w:p>
    <w:tbl>
      <w:tblPr>
        <w:tblW w:w="5137"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511"/>
        <w:gridCol w:w="109"/>
        <w:gridCol w:w="109"/>
        <w:gridCol w:w="109"/>
        <w:gridCol w:w="109"/>
        <w:gridCol w:w="211"/>
        <w:gridCol w:w="511"/>
        <w:gridCol w:w="109"/>
        <w:gridCol w:w="109"/>
        <w:gridCol w:w="109"/>
        <w:gridCol w:w="109"/>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1275"/>
        <w:gridCol w:w="1120"/>
        <w:gridCol w:w="1129"/>
        <w:gridCol w:w="109"/>
        <w:gridCol w:w="109"/>
        <w:gridCol w:w="109"/>
        <w:gridCol w:w="211"/>
        <w:gridCol w:w="511"/>
        <w:gridCol w:w="109"/>
        <w:gridCol w:w="109"/>
        <w:gridCol w:w="109"/>
        <w:gridCol w:w="109"/>
        <w:gridCol w:w="211"/>
        <w:gridCol w:w="511"/>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 category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ans-serif" w:hAnsi="Times New Roman;sans-serif"/>
          <w:b w:val="false"/>
          <w:color w:val="000000"/>
          <w:sz w:val="20"/>
        </w:rPr>
        <w:t>Includes costs of $28.0 million and $30.6 million during the three months ended March 31, 2025 and 2024, respectively, for awards to retirement-eligible employees. Those awards are expensed on an accelerated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6 — 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and services are delivered through three segments – Research, Conferences and Consulting, as described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Research</w:t>
      </w:r>
      <w:r>
        <w:rPr>
          <w:color w:val="000000"/>
        </w:rPr>
        <w:t xml:space="preserve"> </w:t>
      </w:r>
      <w:r>
        <w:rPr>
          <w:rFonts w:ascii="Times New Roman;sans-serif" w:hAnsi="Times New Roman;sans-serif"/>
          <w:b w:val="false"/>
          <w:color w:val="000000"/>
          <w:sz w:val="20"/>
        </w:rPr>
        <w:t>equips executives and their teams from every function and across all industries with actionable, objective insight,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Conferences</w:t>
      </w:r>
      <w:r>
        <w:rPr>
          <w:color w:val="000000"/>
        </w:rPr>
        <w:t xml:space="preserve"> </w:t>
      </w:r>
      <w:r>
        <w:rPr>
          <w:rFonts w:ascii="Times New Roman;sans-serif" w:hAnsi="Times New Roman;sans-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Consulting</w:t>
      </w:r>
      <w:r>
        <w:rPr>
          <w:color w:val="000000"/>
        </w:rPr>
        <w:t xml:space="preserve"> </w:t>
      </w:r>
      <w:r>
        <w:rPr>
          <w:rFonts w:ascii="Times New Roman;sans-serif" w:hAnsi="Times New Roman;sans-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and allocates resources based on gross contribution margin.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information about the Company’s reportable segments for the periods indicated (in thousands).</w:t>
      </w:r>
    </w:p>
    <w:p>
      <w:pPr>
        <w:pStyle w:val="TextBody"/>
        <w:bidi w:val="0"/>
        <w:spacing w:before="0" w:after="0"/>
        <w:jc w:val="left"/>
        <w:rPr/>
      </w:pPr>
      <w:r>
        <w:rPr/>
      </w:r>
    </w:p>
    <w:tbl>
      <w:tblPr>
        <w:tblW w:w="9828" w:type="dxa"/>
        <w:jc w:val="left"/>
        <w:tblInd w:w="0" w:type="dxa"/>
        <w:tblLayout w:type="fixed"/>
        <w:tblCellMar>
          <w:top w:w="28" w:type="dxa"/>
          <w:left w:w="28" w:type="dxa"/>
          <w:bottom w:w="28" w:type="dxa"/>
          <w:right w:w="28" w:type="dxa"/>
        </w:tblCellMar>
      </w:tblPr>
      <w:tblGrid>
        <w:gridCol w:w="1776"/>
        <w:gridCol w:w="1560"/>
        <w:gridCol w:w="1568"/>
        <w:gridCol w:w="211"/>
        <w:gridCol w:w="976"/>
        <w:gridCol w:w="109"/>
        <w:gridCol w:w="231"/>
        <w:gridCol w:w="790"/>
        <w:gridCol w:w="120"/>
        <w:gridCol w:w="211"/>
        <w:gridCol w:w="826"/>
        <w:gridCol w:w="109"/>
        <w:gridCol w:w="211"/>
        <w:gridCol w:w="976"/>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expenses and other,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828" w:type="dxa"/>
        <w:jc w:val="left"/>
        <w:tblInd w:w="0" w:type="dxa"/>
        <w:tblLayout w:type="fixed"/>
        <w:tblCellMar>
          <w:top w:w="28" w:type="dxa"/>
          <w:left w:w="28" w:type="dxa"/>
          <w:bottom w:w="28" w:type="dxa"/>
          <w:right w:w="28" w:type="dxa"/>
        </w:tblCellMar>
      </w:tblPr>
      <w:tblGrid>
        <w:gridCol w:w="1776"/>
        <w:gridCol w:w="1560"/>
        <w:gridCol w:w="1568"/>
        <w:gridCol w:w="211"/>
        <w:gridCol w:w="976"/>
        <w:gridCol w:w="109"/>
        <w:gridCol w:w="231"/>
        <w:gridCol w:w="790"/>
        <w:gridCol w:w="120"/>
        <w:gridCol w:w="211"/>
        <w:gridCol w:w="826"/>
        <w:gridCol w:w="109"/>
        <w:gridCol w:w="211"/>
        <w:gridCol w:w="976"/>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(1)Other consists primarily of travel and entertainment and workplace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7 —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total outstanding borrowings are summarized in the table below (in thousands).</w:t>
      </w:r>
    </w:p>
    <w:tbl>
      <w:tblPr>
        <w:tblW w:w="7550" w:type="dxa"/>
        <w:jc w:val="left"/>
        <w:tblInd w:w="0" w:type="dxa"/>
        <w:tblLayout w:type="fixed"/>
        <w:tblCellMar>
          <w:top w:w="28" w:type="dxa"/>
          <w:left w:w="28" w:type="dxa"/>
          <w:bottom w:w="28" w:type="dxa"/>
          <w:right w:w="28" w:type="dxa"/>
        </w:tblCellMar>
      </w:tblPr>
      <w:tblGrid>
        <w:gridCol w:w="1543"/>
        <w:gridCol w:w="1356"/>
        <w:gridCol w:w="1360"/>
        <w:gridCol w:w="109"/>
        <w:gridCol w:w="109"/>
        <w:gridCol w:w="109"/>
        <w:gridCol w:w="211"/>
        <w:gridCol w:w="976"/>
        <w:gridCol w:w="109"/>
        <w:gridCol w:w="109"/>
        <w:gridCol w:w="109"/>
        <w:gridCol w:w="109"/>
        <w:gridCol w:w="211"/>
        <w:gridCol w:w="97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Credit Agreement - Revolving facility (1),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 (“2028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3.625% Senior Notes due 2029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3.75% Senior Notes due 2030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outstanding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fees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sheet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contractual annualized interest rate as of March 31, 2025 on the 2024 Credit Agreement was 5.725%, which consisted of Term Secured Overnight Financing Rate (“SOFR”) of 4.375% plus a margin of 1.350%. However, the Company has an interest rate swap contract that effectively converts the floating SOFR on outstanding amounts to a fixed base rate.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had approximately $0.7 billion of available borrowing capacity on the 2024 Credit Agreement revolver (not including the expansion feature) as of March 31, 2025.</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(3)Consists of a State of Connecticut economic development loan originated in 2019 with a 10-year maturity and bears interest at a fixed rate of 1.75%. This loan may be repaid at any time by the Company without penalty.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weighted average annual effective rate on the Company’s outstanding debt for the three months ended March 31, 2025, including the effects of its interest rate swaps discussed below, was 4.89%.</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(5)Deferred financing fees are being amortized to Interest expense, net over the term of the related debt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2024, the Company entered into a Credit Agreement (the “2024 Credit Agreement”) among the Company, as borrower, the lenders party thereto and JPMorgan Chase Bank, N.A., as administrative agent (the “Administrative Agent”).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March 31, 2025,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2029 Notes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2029 Notes were issued at an issue price of 100.0% and bear interest at a rate of 3.625% per annum. Interest on the 2029 Notes is payable on June 15 and December 15 of each year, beginning on December 15, 2021. The 2029 Notes will mature on June 15, 2029.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some or all of the 2029 Notes at any time on or after June 15, 2024 for cash at the redemption prices set forth in the 2029 Notes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2024, in connection with the closing of the 2024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2030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2024, in connection with the closing of the 2024 Credit Agreement and as a result of the termination of the 2020 Credit Agreement, the Company’s subsidiaries that guaranteed the Company’s 2030 Notes were released from their guarantee obligations with respect to the Notes, in accordance with the terms of the indenture pursuant to which the 2030 Notes was issued.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2028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some or all of the 2028 Notes at any time on or after July 1, 2023 for cash at the redemption prices set forth in the 2028 Note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2024, in connection with the closing of the 2024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one fixed-for-floating interest rate swap contract with a notional value of $350.0 million that matures in September 2025. Under the contract, the Company pays a base fixed rate of 2.98% and in return receives a floating Term SOFR base rate on 30-day notional borrowings.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June 30, 2020, the Company de-designated all of its interest rate swaps and discontinued hedge accounting. Accordingly, subsequent changes to the fair value of the interest rate swap are recorded in Other income, net. The amounts previously recorded in Accumulated other comprehensive loss are amortized into Interest expense, net over the terms of the hedged forecasted interest payments. As of March 31, 2025, $8.7 million is remaining in Accumulated other comprehensive loss, net. See Note 10 — Derivatives and Hedging for the amounts remaining in Accumulated other comprehensive loss, net of tax effect, at March 31, 2025 and December 31, 2024. See Note 11 — Fair Value Disclosures for a discussion of the fair values of Company’s interest rate swaps.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8 —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 Authorization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Company’s Board of Directors (the “Board”) authorized a share repurchase program to repurchase up to $1.2 billion of the Company’s common stock. The Board authorized incremental share repurchases of up to an aggregate additional $4.1 billion of the Company’s common stock from February 2021 to July 2024. As of March 31, 2025, $0.9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share repurchase activity is presented in the table below for the periods indicated.</w:t>
      </w:r>
    </w:p>
    <w:tbl>
      <w:tblPr>
        <w:tblW w:w="7656" w:type="dxa"/>
        <w:jc w:val="left"/>
        <w:tblInd w:w="0" w:type="dxa"/>
        <w:tblLayout w:type="fixed"/>
        <w:tblCellMar>
          <w:top w:w="28" w:type="dxa"/>
          <w:left w:w="28" w:type="dxa"/>
          <w:bottom w:w="28" w:type="dxa"/>
          <w:right w:w="28" w:type="dxa"/>
        </w:tblCellMar>
      </w:tblPr>
      <w:tblGrid>
        <w:gridCol w:w="1532"/>
        <w:gridCol w:w="1346"/>
        <w:gridCol w:w="1351"/>
        <w:gridCol w:w="109"/>
        <w:gridCol w:w="109"/>
        <w:gridCol w:w="109"/>
        <w:gridCol w:w="211"/>
        <w:gridCol w:w="826"/>
        <w:gridCol w:w="109"/>
        <w:gridCol w:w="109"/>
        <w:gridCol w:w="109"/>
        <w:gridCol w:w="109"/>
        <w:gridCol w:w="211"/>
        <w:gridCol w:w="826"/>
        <w:gridCol w:w="109"/>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repurchased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repurchased shares (in thousands)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average purchase price for repurchased shares was $507.65 and $459.69 for the three months ended March 31, 2025 and 2024, respectively. The repurchased shares during the three months ended March 31, 2025 and 2024 included purchases for both open market purchases and stock-based compensation award settlements.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cash paid for repurchased shares during the three months ended March 31, 2025 included $10.0 million of open market purchases with trade dates in December 2024 that settled in January 2025.</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net (“AOCL”)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provide information about the changes in AOCL by component and the related amounts reclassified out of AOCL to income during the periods indicated (net of tax, in thousands) (1).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bl>
      <w:tblPr>
        <w:tblW w:w="10205" w:type="dxa"/>
        <w:jc w:val="left"/>
        <w:tblInd w:w="0" w:type="dxa"/>
        <w:tblLayout w:type="fixed"/>
        <w:tblCellMar>
          <w:top w:w="28" w:type="dxa"/>
          <w:left w:w="28" w:type="dxa"/>
          <w:bottom w:w="28" w:type="dxa"/>
          <w:right w:w="28" w:type="dxa"/>
        </w:tblCellMar>
      </w:tblPr>
      <w:tblGrid>
        <w:gridCol w:w="1629"/>
        <w:gridCol w:w="1324"/>
        <w:gridCol w:w="1332"/>
        <w:gridCol w:w="109"/>
        <w:gridCol w:w="109"/>
        <w:gridCol w:w="109"/>
        <w:gridCol w:w="238"/>
        <w:gridCol w:w="766"/>
        <w:gridCol w:w="122"/>
        <w:gridCol w:w="109"/>
        <w:gridCol w:w="109"/>
        <w:gridCol w:w="109"/>
        <w:gridCol w:w="252"/>
        <w:gridCol w:w="813"/>
        <w:gridCol w:w="130"/>
        <w:gridCol w:w="109"/>
        <w:gridCol w:w="109"/>
        <w:gridCol w:w="109"/>
        <w:gridCol w:w="227"/>
        <w:gridCol w:w="795"/>
        <w:gridCol w:w="119"/>
        <w:gridCol w:w="109"/>
        <w:gridCol w:w="109"/>
        <w:gridCol w:w="109"/>
        <w:gridCol w:w="211"/>
        <w:gridCol w:w="781"/>
        <w:gridCol w:w="158"/>
      </w:tblGrid>
      <w:tr>
        <w:trPr/>
        <w:tc>
          <w:tcPr>
            <w:tcW w:w="162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bl>
      <w:tblPr>
        <w:tblW w:w="10205" w:type="dxa"/>
        <w:jc w:val="left"/>
        <w:tblInd w:w="0" w:type="dxa"/>
        <w:tblLayout w:type="fixed"/>
        <w:tblCellMar>
          <w:top w:w="28" w:type="dxa"/>
          <w:left w:w="28" w:type="dxa"/>
          <w:bottom w:w="28" w:type="dxa"/>
          <w:right w:w="28" w:type="dxa"/>
        </w:tblCellMar>
      </w:tblPr>
      <w:tblGrid>
        <w:gridCol w:w="1623"/>
        <w:gridCol w:w="1316"/>
        <w:gridCol w:w="1324"/>
        <w:gridCol w:w="109"/>
        <w:gridCol w:w="109"/>
        <w:gridCol w:w="109"/>
        <w:gridCol w:w="220"/>
        <w:gridCol w:w="817"/>
        <w:gridCol w:w="113"/>
        <w:gridCol w:w="109"/>
        <w:gridCol w:w="109"/>
        <w:gridCol w:w="109"/>
        <w:gridCol w:w="252"/>
        <w:gridCol w:w="811"/>
        <w:gridCol w:w="129"/>
        <w:gridCol w:w="109"/>
        <w:gridCol w:w="109"/>
        <w:gridCol w:w="109"/>
        <w:gridCol w:w="227"/>
        <w:gridCol w:w="795"/>
        <w:gridCol w:w="119"/>
        <w:gridCol w:w="109"/>
        <w:gridCol w:w="109"/>
        <w:gridCol w:w="109"/>
        <w:gridCol w:w="211"/>
        <w:gridCol w:w="780"/>
        <w:gridCol w:w="160"/>
      </w:tblGrid>
      <w:tr>
        <w:trPr/>
        <w:tc>
          <w:tcPr>
            <w:tcW w:w="162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in parentheses represent debits (deferred losses).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(2)$4.5 million and $4.8 million of the reclassifications related to interest rate swaps (cash flow hedges) were recorded in Interest expense, net, for the three months ended March 31, 2025 and 2024, respectively. See Note 7 — Debt and Note 10 — Derivatives and Hedging for information regarding the cash flow hedges.</w:t>
      </w:r>
    </w:p>
    <w:p>
      <w:pPr>
        <w:pStyle w:val="TextBody"/>
        <w:bidi w:val="0"/>
        <w:spacing w:lineRule="auto" w:line="288" w:before="60" w:after="283"/>
        <w:ind w:left="0" w:right="0" w:hanging="360"/>
        <w:jc w:val="both"/>
        <w:rPr/>
      </w:pP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 xml:space="preserve">The reclassifications related to defined benefit pension plans were recorded in Other income, net. </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net amount of the existing losses on the Company’s interest rate swaps that are reported in Accumulated other comprehensive loss, net at March 31, 2025 that is expected to be reclassified into earnings during the remainder of 2025 is $8.7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9 — Income Taxes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provision for income taxes was $56.1 million and $49.0 million for the three months ended March 31, 2025 and 2024, respectively. The effective income tax rate was 21.0% and 18.9% for the three months ended March 31, 2025 and 2024, respectively. </w:t>
      </w:r>
      <w:r>
        <w:rPr>
          <w:rFonts w:ascii="Times New Roman;sans-serif" w:hAnsi="Times New Roman;sans-serif"/>
          <w:b w:val="false"/>
          <w:color w:val="000000"/>
          <w:sz w:val="24"/>
        </w:rPr>
        <w:t>T</w:t>
      </w:r>
      <w:r>
        <w:rPr>
          <w:rFonts w:ascii="Times New Roman;sans-serif" w:hAnsi="Times New Roman;sans-serif"/>
          <w:b w:val="false"/>
          <w:color w:val="000000"/>
          <w:sz w:val="20"/>
        </w:rPr>
        <w:t>he effective income tax rate is higher in the current year primarily due to larger unrecognized tax benefits compared to the same period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gross unrecognized tax benefits of $267.2 million on March 31, 2025 and $257.5 million on December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10 — Derivatives and Hedging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5"/>
        <w:gridCol w:w="632"/>
        <w:gridCol w:w="617"/>
        <w:gridCol w:w="109"/>
        <w:gridCol w:w="109"/>
        <w:gridCol w:w="109"/>
        <w:gridCol w:w="326"/>
        <w:gridCol w:w="326"/>
        <w:gridCol w:w="328"/>
        <w:gridCol w:w="109"/>
        <w:gridCol w:w="109"/>
        <w:gridCol w:w="109"/>
        <w:gridCol w:w="211"/>
        <w:gridCol w:w="826"/>
        <w:gridCol w:w="109"/>
        <w:gridCol w:w="109"/>
        <w:gridCol w:w="109"/>
        <w:gridCol w:w="109"/>
        <w:gridCol w:w="319"/>
        <w:gridCol w:w="931"/>
        <w:gridCol w:w="165"/>
        <w:gridCol w:w="109"/>
        <w:gridCol w:w="109"/>
        <w:gridCol w:w="109"/>
        <w:gridCol w:w="494"/>
        <w:gridCol w:w="466"/>
        <w:gridCol w:w="468"/>
        <w:gridCol w:w="109"/>
        <w:gridCol w:w="109"/>
        <w:gridCol w:w="109"/>
        <w:gridCol w:w="328"/>
        <w:gridCol w:w="991"/>
        <w:gridCol w:w="248"/>
      </w:tblGrid>
      <w:tr>
        <w:trPr/>
        <w:tc>
          <w:tcPr>
            <w:tcW w:w="7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Sheet</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Recorded</w:t>
              <w:br/>
              <w:t>in AOCL, net of tax</w:t>
            </w:r>
          </w:p>
        </w:tc>
      </w:tr>
      <w:tr>
        <w:trPr/>
        <w:tc>
          <w:tcPr>
            <w:tcW w:w="2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2"/>
        <w:gridCol w:w="564"/>
        <w:gridCol w:w="566"/>
        <w:gridCol w:w="109"/>
        <w:gridCol w:w="109"/>
        <w:gridCol w:w="109"/>
        <w:gridCol w:w="473"/>
        <w:gridCol w:w="473"/>
        <w:gridCol w:w="475"/>
        <w:gridCol w:w="109"/>
        <w:gridCol w:w="109"/>
        <w:gridCol w:w="109"/>
        <w:gridCol w:w="211"/>
        <w:gridCol w:w="976"/>
        <w:gridCol w:w="109"/>
        <w:gridCol w:w="109"/>
        <w:gridCol w:w="109"/>
        <w:gridCol w:w="109"/>
        <w:gridCol w:w="295"/>
        <w:gridCol w:w="862"/>
        <w:gridCol w:w="153"/>
        <w:gridCol w:w="109"/>
        <w:gridCol w:w="109"/>
        <w:gridCol w:w="109"/>
        <w:gridCol w:w="461"/>
        <w:gridCol w:w="418"/>
        <w:gridCol w:w="420"/>
        <w:gridCol w:w="109"/>
        <w:gridCol w:w="109"/>
        <w:gridCol w:w="109"/>
        <w:gridCol w:w="305"/>
        <w:gridCol w:w="918"/>
        <w:gridCol w:w="229"/>
      </w:tblGrid>
      <w:tr>
        <w:trPr/>
        <w:tc>
          <w:tcPr>
            <w:tcW w:w="6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Sheet</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Recorded</w:t>
              <w:br/>
              <w:t>in AOCL, net of tax</w:t>
            </w:r>
          </w:p>
        </w:tc>
      </w:tr>
      <w:tr>
        <w:trPr/>
        <w:tc>
          <w:tcPr>
            <w:tcW w:w="1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Effective June 30, 2020, the Company de-designated all of its interest rate swaps and discontinued hedge accounting. Accordingly, subsequent changes to fair value of the interest rate swap are recorded in Other income, net. The amounts previously recorded in Accumulated other comprehensive loss are amortized into Interest expense, net over the terms of the hedged forecasted interest payments. See</w:t>
      </w:r>
      <w:r>
        <w:rPr>
          <w:color w:val="000000"/>
          <w:shd w:fill="FFFFFF" w:val="clear"/>
        </w:rPr>
        <w:t xml:space="preserve"> </w:t>
      </w:r>
      <w:r>
        <w:rPr>
          <w:rFonts w:ascii="Times New Roman;sans-serif" w:hAnsi="Times New Roman;sans-serif"/>
          <w:b w:val="false"/>
          <w:color w:val="000000"/>
          <w:sz w:val="20"/>
          <w:shd w:fill="FFFFFF" w:val="clear"/>
        </w:rPr>
        <w:t>Note 7 — Debt for additional information regarding the Company’s interest rate swap contract.</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(2)</w:t>
      </w:r>
      <w:r>
        <w:rPr>
          <w:rFonts w:ascii="Times New Roman;sans-serif" w:hAnsi="Times New Roman;sans-serif"/>
          <w:b w:val="false"/>
          <w:color w:val="000000"/>
          <w:sz w:val="20"/>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March 31, 2025 matured before April 30, 2025.</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(3)See Note 11 — Fair Value Disclosures for the determination of the fair values of these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pStyle w:val="TextBody"/>
        <w:bidi w:val="0"/>
        <w:spacing w:before="0" w:after="0"/>
        <w:jc w:val="both"/>
        <w:rPr/>
      </w:pPr>
      <w:r>
        <w:rPr/>
      </w:r>
    </w:p>
    <w:tbl>
      <w:tblPr>
        <w:tblW w:w="5047"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211"/>
        <w:gridCol w:w="616"/>
        <w:gridCol w:w="109"/>
        <w:gridCol w:w="109"/>
        <w:gridCol w:w="109"/>
        <w:gridCol w:w="109"/>
        <w:gridCol w:w="211"/>
        <w:gridCol w:w="616"/>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 recorded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(1)Consists of interest expense from interest rate swap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(2)Consists of net realized and unrealized gains and losses on foreign currency forward contracts and gains and losses on de-designated interest rate swaps.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11 — Fair Value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2 — Goodwill and Intangible Assets. The Company does not typically transfer assets or liabilities between different levels of the valuation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values of certain financial assets and liabilities that are measured at fair value on a recurring basis in the Company's financial statements (in thousands).</w:t>
      </w:r>
    </w:p>
    <w:tbl>
      <w:tblPr>
        <w:tblW w:w="6643" w:type="dxa"/>
        <w:jc w:val="left"/>
        <w:tblInd w:w="0" w:type="dxa"/>
        <w:tblLayout w:type="fixed"/>
        <w:tblCellMar>
          <w:top w:w="28" w:type="dxa"/>
          <w:left w:w="28" w:type="dxa"/>
          <w:bottom w:w="28" w:type="dxa"/>
          <w:right w:w="28" w:type="dxa"/>
        </w:tblCellMar>
      </w:tblPr>
      <w:tblGrid>
        <w:gridCol w:w="1283"/>
        <w:gridCol w:w="1127"/>
        <w:gridCol w:w="1129"/>
        <w:gridCol w:w="109"/>
        <w:gridCol w:w="109"/>
        <w:gridCol w:w="109"/>
        <w:gridCol w:w="211"/>
        <w:gridCol w:w="826"/>
        <w:gridCol w:w="109"/>
        <w:gridCol w:w="109"/>
        <w:gridCol w:w="109"/>
        <w:gridCol w:w="109"/>
        <w:gridCol w:w="231"/>
        <w:gridCol w:w="905"/>
        <w:gridCol w:w="168"/>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2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compensation plan liabilities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150,432 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enters into foreign currency forward exchange contracts to hedge the effects of adverse fluctuations in foreign currency exchange rates (see Note 10 — Derivatives and Hedging). Valuation of these contracts is based on observable foreign currency exchange rates in active markets, which the Company considers to be a Level 2 input.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an interest rate swap contract that hedges the risk of variability from interest payments on its borrowings (see Note 7 — Debt). The fair value of the interest rate swap is based on mark-to-market valuations prepared by a third-party broker. This valuation is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 </w:t>
      </w:r>
    </w:p>
    <w:tbl>
      <w:tblPr>
        <w:tblW w:w="7633"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certain long-lived assets, including identifiable intangible assets, goodwill, right-of-use assets and other long-lived assets, are measured at fair value on a nonrecurring basis when there are indicators of impairment. The Company recorded an impairment loss during the three months ended March 31, 2024 and $0.5 million on right-of-use assets and other long-lived assets primarily related to certain office leases that the Company determined will no longer be used. The impairments were derived by comparing the fair value of the impacted assets to the carrying value of those assets as of the impairment measurement date, as required under ASC Topic 360 using Level 3 inputs. See Note 13 — Leases for additional discussion related to these impairment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12 —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The Company is involved in legal proceedings, claims and compliance matters arising in the ordinary course of 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Indemnifications.</w:t>
      </w:r>
      <w:r>
        <w:rPr>
          <w:color w:val="000000"/>
        </w:rPr>
        <w:t xml:space="preserve"> </w:t>
      </w:r>
      <w:r>
        <w:rPr>
          <w:rFonts w:ascii="Times New Roman;sans-serif" w:hAnsi="Times New Roman;sans-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agreements have not been material. As of March 31, 2025, the Company did not have any material payment obligations under any such indemnification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13 —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leasing activities are primarily for facilities under cancelable and non-cancelable lease agreements expiring during 2025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subleases certain office space that it does not intend to occupy. Such sublease arrangements expire during 2025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pStyle w:val="TextBody"/>
        <w:bidi w:val="0"/>
        <w:spacing w:before="0" w:after="0"/>
        <w:jc w:val="both"/>
        <w:rPr/>
      </w:pPr>
      <w:r>
        <w:rPr/>
      </w:r>
    </w:p>
    <w:tbl>
      <w:tblPr>
        <w:tblW w:w="9846" w:type="dxa"/>
        <w:jc w:val="center"/>
        <w:tblInd w:w="0" w:type="dxa"/>
        <w:tblLayout w:type="fixed"/>
        <w:tblCellMar>
          <w:top w:w="28" w:type="dxa"/>
          <w:left w:w="28" w:type="dxa"/>
          <w:bottom w:w="28" w:type="dxa"/>
          <w:right w:w="28" w:type="dxa"/>
        </w:tblCellMar>
      </w:tblPr>
      <w:tblGrid>
        <w:gridCol w:w="2400"/>
        <w:gridCol w:w="2110"/>
        <w:gridCol w:w="2119"/>
        <w:gridCol w:w="109"/>
        <w:gridCol w:w="109"/>
        <w:gridCol w:w="109"/>
        <w:gridCol w:w="211"/>
        <w:gridCol w:w="721"/>
        <w:gridCol w:w="109"/>
        <w:gridCol w:w="109"/>
        <w:gridCol w:w="109"/>
        <w:gridCol w:w="109"/>
        <w:gridCol w:w="211"/>
        <w:gridCol w:w="721"/>
        <w:gridCol w:w="109"/>
        <w:gridCol w:w="109"/>
        <w:gridCol w:w="109"/>
        <w:gridCol w:w="109"/>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 net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sublease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operating lease cost was $8.5 million and $9.2 million for the three months ended March 31, 2025 and 2024, respectively, for costs related to subleasing activities.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(2)These amounts are primarily variable lease and nonlease costs that are not fixed at the lease commencement date or are dependent on something other than an index or a rate.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did not capitalize any operating lease costs during any of the periods presented.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(4)Amount excludes impairment charges on lease related assets, as discussed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indicates where the discounted operating lease payments from the above table are classified in the accompanying Condensed Consolidated Balance Sheets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75"/>
        <w:gridCol w:w="2261"/>
        <w:gridCol w:w="2267"/>
        <w:gridCol w:w="109"/>
        <w:gridCol w:w="109"/>
        <w:gridCol w:w="109"/>
        <w:gridCol w:w="211"/>
        <w:gridCol w:w="826"/>
        <w:gridCol w:w="109"/>
        <w:gridCol w:w="109"/>
        <w:gridCol w:w="109"/>
        <w:gridCol w:w="109"/>
        <w:gridCol w:w="230"/>
        <w:gridCol w:w="902"/>
        <w:gridCol w:w="170"/>
      </w:tblGrid>
      <w:tr>
        <w:trPr/>
        <w:tc>
          <w:tcPr>
            <w:tcW w:w="257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included in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440,091 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 As a result of the evaluation, the Company recognized an impairment loss during the three months ended March 31, 2024 of $0.5 million which is included as a component of Selling, general and administrative expenses in the accompanying Condensed Consolidated Statements of Operations. The impairment losses recorded include $0.4 million related to right-of-use assets and $0.1 million related to other long-lived assets, primarily leasehold improvements, for the three months ended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for the asset groups relating to the impaired long-lived assets were estimated primarily using discounted cash flow models (income approach) with Level 3 inputs. The significant assumptions used in estimating fair values include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downtime prior to the commencement of future subleases, projected sublease income over the remaining lease periods and discount rates that reflect the level of risk associated with receiving future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purpose </w:t>
      </w:r>
      <w:r>
        <w:rPr>
          <w:rFonts w:ascii="Times New Roman;sans-serif" w:hAnsi="Times New Roman;sans-serif"/>
          <w:b w:val="false"/>
          <w:color w:val="000000"/>
          <w:sz w:val="20"/>
        </w:rPr>
        <w:t>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2024 (the “2024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In addition to historical inf</w:t>
      </w:r>
      <w:r>
        <w:rPr>
          <w:rFonts w:ascii="Times New Roman;sans-serif" w:hAnsi="Times New Roman;sans-serif"/>
          <w:b w:val="false"/>
          <w:color w:val="000000"/>
          <w:sz w:val="20"/>
        </w:rPr>
        <w:t>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We operate i</w:t>
      </w:r>
      <w:r>
        <w:rPr>
          <w:rFonts w:ascii="Times New Roman;sans-serif" w:hAnsi="Times New Roman;sans-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global economic and geopolitical conditions, including inflation, and recession; uncertain effects, both direct and indirect, of changes and volatility in tariffs and trade policies; risks associated with the creditworthiness, budget cuts, priorities and shutdown of governments and agencies;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(“AI”) and comply with evolving AI regulations;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cybersecurity incidents or other disruptions to our information systems;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2024 Form 10-K, which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Forward-looking</w:t>
      </w:r>
      <w:r>
        <w:rPr>
          <w:color w:val="000000"/>
        </w:rPr>
        <w:t xml:space="preserve"> </w:t>
      </w:r>
      <w:r>
        <w:rPr>
          <w:rFonts w:ascii="Times New Roman;sans-serif" w:hAnsi="Times New Roman;sans-serif"/>
          <w:b w:val="false"/>
          <w:color w:val="000000"/>
          <w:sz w:val="20"/>
        </w:rPr>
        <w:t>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2024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Gartner, Inc. (NYSE: IT)</w:t>
      </w:r>
      <w:r>
        <w:rPr>
          <w:color w:val="000000"/>
        </w:rPr>
        <w:t xml:space="preserve"> </w:t>
      </w:r>
      <w:r>
        <w:rPr>
          <w:rFonts w:ascii="Times New Roman;sans-serif" w:hAnsi="Times New Roman;sans-serif"/>
          <w:b w:val="false"/>
          <w:color w:val="000000"/>
          <w:sz w:val="20"/>
        </w:rPr>
        <w:t xml:space="preserve">delivers actionable, objective insight that drives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deliver our products and services globally through three business segments – Research, Conferences and Consulting, as described below.</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Research</w:t>
      </w:r>
      <w:r>
        <w:rPr>
          <w:color w:val="000000"/>
        </w:rPr>
        <w:t xml:space="preserve"> </w:t>
      </w:r>
      <w:r>
        <w:rPr>
          <w:rFonts w:ascii="Times New Roman;sans-serif" w:hAnsi="Times New Roman;sans-serif"/>
          <w:b w:val="false"/>
          <w:color w:val="000000"/>
          <w:sz w:val="20"/>
        </w:rPr>
        <w:t>equips executives and their teams from every function and across all industries with actionable, objective insight,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Conferences</w:t>
      </w:r>
      <w:r>
        <w:rPr>
          <w:color w:val="000000"/>
        </w:rPr>
        <w:t xml:space="preserve"> </w:t>
      </w:r>
      <w:r>
        <w:rPr>
          <w:rFonts w:ascii="Times New Roman;sans-serif" w:hAnsi="Times New Roman;sans-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Consulting</w:t>
      </w:r>
      <w:r>
        <w:rPr>
          <w:color w:val="000000"/>
        </w:rPr>
        <w:t xml:space="preserve"> </w:t>
      </w:r>
      <w:r>
        <w:rPr>
          <w:rFonts w:ascii="Times New Roman;sans-serif" w:hAnsi="Times New Roman;sans-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21,107 employees globally, an increase of 4.0% from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contract value with the US federal government was approximately $225.0 million at March 31, 2025, as compared to approximately $275.0 million at December 31, 2024. Nearly all of our US federal contracts will come to term during 2025, with about 40% having transacted in the first quarter of 2025, the largest quarter of this calendar year. Slightly less than half of the US federal government contract value that was eligible for renewal in the first quarter of 2025 was retained. In addition to the non-renewals, we received notices of termination-for-convenience from various US government agencies for approximately $30.0 million of contracts in the first quarter of 2025. These contracts are non-refundable, with nearly all scheduled to expire during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current geopolitical environment remains unpredictable, we continue to monitor and evaluate the impact, both direct and indirect, of government actions that could adversely impact our business operations and financial performance.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MEASUREMENTS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believe t</w:t>
      </w:r>
      <w:r>
        <w:rPr>
          <w:rFonts w:ascii="Times New Roman;sans-serif" w:hAnsi="Times New Roman;sans-serif"/>
          <w:b w:val="false"/>
          <w:color w:val="000000"/>
          <w:sz w:val="20"/>
        </w:rPr>
        <w:t xml:space="preserve">hat the following business measurements are important performance indicators for our business segments: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6"/>
        <w:gridCol w:w="377"/>
        <w:gridCol w:w="378"/>
        <w:gridCol w:w="109"/>
        <w:gridCol w:w="109"/>
        <w:gridCol w:w="109"/>
        <w:gridCol w:w="2582"/>
        <w:gridCol w:w="2514"/>
        <w:gridCol w:w="3571"/>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Contract value</w:t>
            </w:r>
            <w:r>
              <w:rPr>
                <w:color w:val="000000"/>
                <w:shd w:fill="FFFFFF" w:val="clear"/>
              </w:rPr>
              <w:t xml:space="preserve"> </w:t>
            </w:r>
            <w:r>
              <w:rPr>
                <w:rFonts w:ascii="Times New Roman;sans-serif" w:hAnsi="Times New Roman;sans-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Research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Research subscription business since it measures revenue that is highly likely to recur over a multi-year period. Our contract value consists of </w:t>
            </w:r>
            <w:r>
              <w:rPr>
                <w:rFonts w:ascii="Times New Roman;sans-serif" w:hAnsi="Times New Roman;sans-serif"/>
                <w:b/>
                <w:color w:val="000000"/>
                <w:sz w:val="20"/>
              </w:rPr>
              <w:t>Global Technology Sales</w:t>
            </w:r>
            <w:r>
              <w:rPr>
                <w:color w:val="000000"/>
              </w:rPr>
              <w:t xml:space="preserve"> </w:t>
            </w:r>
            <w:r>
              <w:rPr>
                <w:rFonts w:ascii="Times New Roman;sans-serif" w:hAnsi="Times New Roman;sans-serif"/>
                <w:b w:val="false"/>
                <w:color w:val="000000"/>
                <w:sz w:val="20"/>
              </w:rPr>
              <w:t xml:space="preserve">contract value, which includes sales to users and providers of technology, and </w:t>
            </w:r>
            <w:r>
              <w:rPr>
                <w:rFonts w:ascii="Times New Roman;sans-serif" w:hAnsi="Times New Roman;sans-serif"/>
                <w:b/>
                <w:color w:val="000000"/>
                <w:sz w:val="20"/>
              </w:rPr>
              <w:t>Global Business Sales</w:t>
            </w:r>
            <w:r>
              <w:rPr>
                <w:color w:val="000000"/>
              </w:rPr>
              <w:t xml:space="preserve"> </w:t>
            </w:r>
            <w:r>
              <w:rPr>
                <w:rFonts w:ascii="Times New Roman;sans-serif" w:hAnsi="Times New Roman;sans-serif"/>
                <w:b w:val="false"/>
                <w:color w:val="000000"/>
                <w:sz w:val="20"/>
              </w:rPr>
              <w:t>contract value, which includes sales to all other functional leaders.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Client retention rate</w:t>
            </w:r>
            <w:r>
              <w:rPr>
                <w:color w:val="000000"/>
                <w:shd w:fill="FFFFFF" w:val="clear"/>
              </w:rPr>
              <w:t xml:space="preserve"> </w:t>
            </w:r>
            <w:r>
              <w:rPr>
                <w:rFonts w:ascii="Times New Roman;sans-serif" w:hAnsi="Times New Roman;sans-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Wallet retention rate</w:t>
            </w:r>
            <w:r>
              <w:rPr>
                <w:color w:val="000000"/>
              </w:rPr>
              <w:t xml:space="preserve"> </w:t>
            </w:r>
            <w:r>
              <w:rPr>
                <w:rFonts w:ascii="Times New Roman;sans-serif" w:hAnsi="Times New Roman;sans-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Number of destination conferences</w:t>
            </w:r>
            <w:r>
              <w:rPr>
                <w:color w:val="000000"/>
              </w:rPr>
              <w:t xml:space="preserve"> </w:t>
            </w:r>
            <w:r>
              <w:rPr>
                <w:rFonts w:ascii="Times New Roman;sans-serif" w:hAnsi="Times New Roman;sans-serif"/>
                <w:b w:val="false"/>
                <w:color w:val="000000"/>
                <w:sz w:val="20"/>
              </w:rPr>
              <w:t>represents the total number of hosted in-person conferences completed during the period. Single day, local meetings are excluded.</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Number of destination conferences</w:t>
            </w:r>
            <w:r>
              <w:rPr>
                <w:color w:val="000000"/>
              </w:rPr>
              <w:t xml:space="preserve"> </w:t>
            </w:r>
            <w:r>
              <w:rPr>
                <w:rFonts w:ascii="Times New Roman;sans-serif" w:hAnsi="Times New Roman;sans-serif"/>
                <w:b/>
                <w:color w:val="000000"/>
                <w:sz w:val="20"/>
              </w:rPr>
              <w:t>attendees</w:t>
            </w:r>
            <w:r>
              <w:rPr>
                <w:color w:val="000000"/>
              </w:rPr>
              <w:t xml:space="preserve"> </w:t>
            </w:r>
            <w:r>
              <w:rPr>
                <w:rFonts w:ascii="Times New Roman;sans-serif" w:hAnsi="Times New Roman;sans-serif"/>
                <w:b w:val="false"/>
                <w:color w:val="000000"/>
                <w:sz w:val="20"/>
              </w:rPr>
              <w:t>represents the total number of people who attend in-person conferences. Single day, local meetings are excluded.</w:t>
            </w:r>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rPr>
              <w:t>Consulting backlog</w:t>
            </w:r>
            <w:r>
              <w:rPr>
                <w:color w:val="000000"/>
              </w:rPr>
              <w:t xml:space="preserve"> </w:t>
            </w:r>
            <w:r>
              <w:rPr>
                <w:rFonts w:ascii="Times New Roman;sans-serif" w:hAnsi="Times New Roman;sans-serif"/>
                <w:b w:val="false"/>
                <w:color w:val="000000"/>
                <w:sz w:val="20"/>
              </w:rPr>
              <w:t>represents future revenue to be derived from in-process consulting and benchmark analytics engagements.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0"/>
                <w:shd w:fill="FFFFFF" w:val="clear"/>
              </w:rPr>
              <w:t>Utilization rate</w:t>
            </w:r>
            <w:r>
              <w:rPr>
                <w:color w:val="000000"/>
              </w:rPr>
              <w:t xml:space="preserve"> </w:t>
            </w:r>
            <w:r>
              <w:rPr>
                <w:rFonts w:ascii="Times New Roman;sans-serif" w:hAnsi="Times New Roman;sans-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SUMMARY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fundamentals of our strategy include a focus on creating actionable insight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total revenues of $1.5 billion during the first quarter of 2025, an increase of 4% compared to the first quarter of 2024. During the first quarter of 2025, revenues for Research, Conferences and Consulting each increased by 4%, compared to the first quarter of 2024. For a more complete discussion of our results by segment, see Segment Results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2025 and 2024, we had net income of $210.9 million and $210.5 million, respectively, and diluted net income per share of $2.71 and $2.67, respectively. Cash provided by operating activities was $0.3 billion and $0.2 billion during the three months ended March 31, 2025 and 2024, respectively. As of March 31, 2025, we had $2.1 billion of cash and cash equivalents and approximately $0.7 billion of available borrowing capacity on our revolving credit facility. For a more complete discussion of our cash flows and financial position, see the Liquidity and Capital Resources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our critical accounting policies and estimates, please refer to Part II, Item 7, “Critical Accounting Policies and Estimates” contained in our Annual Report on Form 10-K for the fiscal year ended December 31, 2024. There have been no material changes to the critical accounting policies previously disclosed in that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an analysis of selected line items and period-over-period changes in our interim Condensed Consolidated Statements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986"/>
        <w:gridCol w:w="670"/>
        <w:gridCol w:w="665"/>
        <w:gridCol w:w="358"/>
        <w:gridCol w:w="1657"/>
        <w:gridCol w:w="184"/>
        <w:gridCol w:w="109"/>
        <w:gridCol w:w="109"/>
        <w:gridCol w:w="109"/>
        <w:gridCol w:w="358"/>
        <w:gridCol w:w="1657"/>
        <w:gridCol w:w="184"/>
        <w:gridCol w:w="109"/>
        <w:gridCol w:w="109"/>
        <w:gridCol w:w="109"/>
        <w:gridCol w:w="283"/>
        <w:gridCol w:w="968"/>
        <w:gridCol w:w="146"/>
        <w:gridCol w:w="109"/>
        <w:gridCol w:w="109"/>
        <w:gridCol w:w="109"/>
        <w:gridCol w:w="253"/>
        <w:gridCol w:w="254"/>
        <w:gridCol w:w="601"/>
      </w:tblGrid>
      <w:tr>
        <w:trPr/>
        <w:tc>
          <w:tcPr>
            <w:tcW w:w="98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b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1,534,130 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1,472,926 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273,885 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Provision for income taxes</w:t>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210,939 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three months ended March 31, 2025 were $1.5 billion, an increase of $61.2 million, or 4% compared to the same period in 2024 on a reported basis and 6% excluding the foreign currency impact. Refer to the section of this MD&amp;A below entitled “Segment Results” for a discussion of revenues and results by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product development was $475.0 million during the three months ended March 31, 2025, an increase of $15.6 million compared to the same period in 2024, or 3% on a reported basis and 4% excluding the foreign currency impact. The increase in Cost of services and product development was primarily due to a $19.0 million increase in personnel expenses associated with headcount increases. Cost of services and product development as a percent of revenues was 31% for each of the three months ended March 31, 2025 and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Selling, general and administrative (“SG&amp;A”) expense was $730.3 million during the three months ended March 31, 2025, an increase of </w:t>
      </w:r>
      <w:r>
        <w:rPr>
          <w:rFonts w:ascii="Times New Roman;sans-serif" w:hAnsi="Times New Roman;sans-serif"/>
          <w:b w:val="false"/>
          <w:color w:val="000000"/>
          <w:sz w:val="20"/>
          <w:shd w:fill="FFFFFF" w:val="clear"/>
        </w:rPr>
        <w:t>$40.5 million</w:t>
      </w:r>
      <w:r>
        <w:rPr>
          <w:color w:val="000000"/>
        </w:rPr>
        <w:t xml:space="preserve"> </w:t>
      </w:r>
      <w:r>
        <w:rPr>
          <w:rFonts w:ascii="Times New Roman;sans-serif" w:hAnsi="Times New Roman;sans-serif"/>
          <w:b w:val="false"/>
          <w:color w:val="000000"/>
          <w:sz w:val="20"/>
        </w:rPr>
        <w:t>compared to the same period in 2024, or 6% and on a reported basis and 7% excluding the foreign currency impact. The increase in SG&amp;A expense during the three months ended March 31, 2025 was primarily a result of a $40.8 million increase in personnel expenses due to increased headcount. The number of quota-bearing sales associates in Global Technology Sales increased by 3% to 3,707 and in Global Business Sales, increased by 9% to 1,331 compared to March 31, 2024. On a combined basis, the total number of quota-bearing sales associates increased by 4% when compared to March 31, 2024. SG&amp;A expense as a percent of revenues was 48% and 47% during the three months ended March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increased by 10% during the three months ended March 31, 2025, compared to the same periods in 2024. The increase for the three months ended March 31, 2025 was primarily due to increased software additions during the last twelve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decreased by 5% during the three months ended March 31, 2025, compared to the same periods in 2024, due to certain intangible assets becoming fully amortized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 decreased by $0.5 million during the three months ended March 31, 2025, respectively, compared to the same periods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was $278.0 million and $273.9 million during the three months ended March 31, 2025 and 2024, respectively. The slight increase in operating income for the three months ended March 31, 2025 as compared to the prior year period was primarily due to increased revenues, partially offset by increases in cost of services and product development and selling, general and administrative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decreased by $5.8 million during the three months ended March 31, 2025, compared to the same period in 2024. The decrease for the three months ended March 31, 2025 was due to increased interest income, primarily as a result of higher cash balances than the prior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for the periods presented herein included the net impact of foreign currency gains and losses from our hedging activities. Other income, net for the three months ended March 31, 2025 and 2024 also included gains of $0.2 million and $4.5 million, respectively, on de-designated interest rate swaps.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provision for income taxes was $56.1 million and $49.0 million for the three months ended March 31, 2025 and 2024, respectively. The effective income tax rate was 21.0% and 18.9% for the three months ended March 31, 2025 and 2024, respectively. </w:t>
      </w:r>
      <w:r>
        <w:rPr>
          <w:rFonts w:ascii="Times New Roman;sans-serif" w:hAnsi="Times New Roman;sans-serif"/>
          <w:b w:val="false"/>
          <w:color w:val="000000"/>
          <w:sz w:val="24"/>
        </w:rPr>
        <w:t>T</w:t>
      </w:r>
      <w:r>
        <w:rPr>
          <w:rFonts w:ascii="Times New Roman;sans-serif" w:hAnsi="Times New Roman;sans-serif"/>
          <w:b w:val="false"/>
          <w:color w:val="000000"/>
          <w:sz w:val="20"/>
        </w:rPr>
        <w:t>he effective income tax rate is higher in the current year primarily due to larger unrecognized tax benefits compared to the same period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March 31, 2025 and 2024 was $210.9 million and $210.5 million, respectively. Our diluted net income per share during </w:t>
      </w: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three </w:t>
      </w:r>
      <w:r>
        <w:rPr>
          <w:rFonts w:ascii="Times New Roman;sans-serif" w:hAnsi="Times New Roman;sans-serif"/>
          <w:b w:val="false"/>
          <w:color w:val="000000"/>
          <w:sz w:val="20"/>
        </w:rPr>
        <w:t>months ended March 31, 2025 increased b</w:t>
      </w:r>
      <w:r>
        <w:rPr>
          <w:rFonts w:ascii="Times New Roman;sans-serif" w:hAnsi="Times New Roman;sans-serif"/>
          <w:b w:val="false"/>
          <w:color w:val="000000"/>
          <w:sz w:val="20"/>
          <w:shd w:fill="FFFFFF" w:val="clear"/>
        </w:rPr>
        <w:t>y $0.04</w:t>
      </w:r>
      <w:r>
        <w:rPr>
          <w:rFonts w:ascii="Times New Roman;sans-serif" w:hAnsi="Times New Roman;sans-serif"/>
          <w:b w:val="false"/>
          <w:color w:val="000000"/>
          <w:sz w:val="20"/>
        </w:rPr>
        <w:t>. The slight increase in net income during the three months ended March 31, 2025 was primarily due to an increase in revenues and lower interest expense, net, partially offset by increases in operating expenses and the provision for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evaluate reportable</w:t>
      </w:r>
      <w:r>
        <w:rPr>
          <w:color w:val="000000"/>
        </w:rPr>
        <w:t xml:space="preserve"> </w:t>
      </w:r>
      <w:r>
        <w:rPr>
          <w:rFonts w:ascii="Times New Roman;sans-serif" w:hAnsi="Times New Roman;sans-serif"/>
          <w:b w:val="false"/>
          <w:color w:val="000000"/>
          <w:sz w:val="20"/>
        </w:rPr>
        <w:t>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sections below</w:t>
      </w:r>
      <w:r>
        <w:rPr>
          <w:color w:val="000000"/>
        </w:rPr>
        <w:t xml:space="preserve"> </w:t>
      </w:r>
      <w:r>
        <w:rPr>
          <w:rFonts w:ascii="Times New Roman;sans-serif" w:hAnsi="Times New Roman;sans-serif"/>
          <w:b w:val="false"/>
          <w:color w:val="000000"/>
          <w:sz w:val="20"/>
        </w:rPr>
        <w:t>present the results of the Company’s three reportable business segments: Research, Conferences and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w:t>
      </w:r>
    </w:p>
    <w:tbl>
      <w:tblPr>
        <w:tblW w:w="10205" w:type="dxa"/>
        <w:jc w:val="left"/>
        <w:tblInd w:w="0" w:type="dxa"/>
        <w:tblLayout w:type="fixed"/>
        <w:tblCellMar>
          <w:top w:w="28" w:type="dxa"/>
          <w:left w:w="28" w:type="dxa"/>
          <w:bottom w:w="28" w:type="dxa"/>
          <w:right w:w="28" w:type="dxa"/>
        </w:tblCellMar>
      </w:tblPr>
      <w:tblGrid>
        <w:gridCol w:w="576"/>
        <w:gridCol w:w="506"/>
        <w:gridCol w:w="507"/>
        <w:gridCol w:w="764"/>
        <w:gridCol w:w="664"/>
        <w:gridCol w:w="950"/>
        <w:gridCol w:w="109"/>
        <w:gridCol w:w="109"/>
        <w:gridCol w:w="109"/>
        <w:gridCol w:w="764"/>
        <w:gridCol w:w="664"/>
        <w:gridCol w:w="950"/>
        <w:gridCol w:w="109"/>
        <w:gridCol w:w="109"/>
        <w:gridCol w:w="109"/>
        <w:gridCol w:w="196"/>
        <w:gridCol w:w="736"/>
        <w:gridCol w:w="109"/>
        <w:gridCol w:w="109"/>
        <w:gridCol w:w="109"/>
        <w:gridCol w:w="109"/>
        <w:gridCol w:w="217"/>
        <w:gridCol w:w="217"/>
        <w:gridCol w:w="482"/>
        <w:gridCol w:w="109"/>
        <w:gridCol w:w="109"/>
        <w:gridCol w:w="109"/>
        <w:gridCol w:w="109"/>
        <w:gridCol w:w="109"/>
        <w:gridCol w:w="109"/>
        <w:gridCol w:w="109"/>
        <w:gridCol w:w="159"/>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(1)</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1,268,172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(1)</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984,523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944,570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Business Measurements</w:t>
            </w:r>
            <w:r>
              <w:rPr>
                <w:rFonts w:ascii="Times New Roman;sans-serif" w:hAnsi="Times New Roman;sans-serif"/>
                <w:b w:val="false"/>
                <w:color w:val="000000"/>
                <w:sz w:val="17"/>
              </w:rPr>
              <w:t>:</w:t>
            </w:r>
          </w:p>
        </w:tc>
        <w:tc>
          <w:tcPr>
            <w:tcW w:w="2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Value (1), (3)</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5,051,000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Global Technology Sales (2): </w:t>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value (1), (3)</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Client retention </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Wallet retention </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Global Business Sales (2): </w:t>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Contract value (1), (3)</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Client retention </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Wallet retention </w:t>
            </w:r>
          </w:p>
        </w:tc>
        <w:tc>
          <w:tcPr>
            <w:tcW w:w="14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9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9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 xml:space="preserve">Dollars </w:t>
      </w:r>
      <w:r>
        <w:rPr>
          <w:rFonts w:ascii="Times New Roman;sans-serif" w:hAnsi="Times New Roman;sans-serif"/>
          <w:b w:val="false"/>
          <w:color w:val="000000"/>
          <w:sz w:val="20"/>
        </w:rPr>
        <w:t>in thousands.</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Global Technology Sales</w:t>
      </w:r>
      <w:r>
        <w:rPr>
          <w:color w:val="000000"/>
        </w:rPr>
        <w:t xml:space="preserve"> </w:t>
      </w:r>
      <w:r>
        <w:rPr>
          <w:rFonts w:ascii="Times New Roman;sans-serif" w:hAnsi="Times New Roman;sans-serif"/>
          <w:b w:val="false"/>
          <w:color w:val="000000"/>
          <w:sz w:val="20"/>
        </w:rPr>
        <w:t>includes sales to users and providers of technology. Global Business Sales includes sales to all other functional leaders.</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 xml:space="preserve">Contract values </w:t>
      </w:r>
      <w:r>
        <w:rPr>
          <w:rFonts w:ascii="Times New Roman;sans-serif" w:hAnsi="Times New Roman;sans-serif"/>
          <w:b w:val="false"/>
          <w:color w:val="000000"/>
          <w:sz w:val="20"/>
        </w:rPr>
        <w:t xml:space="preserve">are on a foreign currency neutral basis. Contract values as of March 31, 2024 have been calculated using the same foreign currency rates as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Research revenues i</w:t>
      </w:r>
      <w:r>
        <w:rPr>
          <w:rFonts w:ascii="Times New Roman;sans-serif" w:hAnsi="Times New Roman;sans-serif"/>
          <w:b w:val="false"/>
          <w:color w:val="000000"/>
          <w:sz w:val="20"/>
        </w:rPr>
        <w:t xml:space="preserve">ncreased by $53.7 million during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compared to the same period in 2024, or 4% on a reported basis and 6% excluding the foreign currency impact. The increase in revenues during 2025 was primarily due to Research contract value growth in 2024. The segment gross contribution margin was 74% for both the three months ended March 31, 2025 and </w:t>
      </w:r>
      <w:r>
        <w:rPr>
          <w:rFonts w:ascii="Times New Roman;sans-serif" w:hAnsi="Times New Roman;sans-serif"/>
          <w:b w:val="false"/>
          <w:color w:val="000000"/>
          <w:sz w:val="20"/>
          <w:shd w:fill="FFFFFF" w:val="clear"/>
        </w:rPr>
        <w:t>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value increased to $5.1 billion at March 31, 2025, or 7% compared to March 31, 2024 excluding the foreign currency impact. The majority of industry sectors grew high single-digit rates. Growth was led by the energy, manufacturing and healthcare sectors, with public sector lagging in the low single digits. Global Technology Sales (“GTS”) contract value increased by 6% at March 31, 2025 when compared to March 31, 2024. The increase in GTS contract value was primarily due to new business from existing clients. GTS contract value increased by mid single-digit rates or faster for all enterprise sizes except small enterprises and public sector and nearly all industry sectors. Global Business Sales (“GBS”) contract value increased by 11% year-over-year, also primarily driven by new business from existing clients. The majority of our GBS practices achieved double-digit growth rates, with the majority of enterprise sizes and sectors growing double-digits year-over-year as well.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GTS client retention was 84% and 83% as of March 31, 2025 and 2024, respectively while wallet retention was 101% for both periods. GBS client retention was 87% as of both March 31, 2025 and 2024, while wallet retention was 105% and 107%, respectively. The decrease in GBS wallet retention was largely due to lower levels of spending by existing clients compared to the same period in 2024.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Conferences </w:t>
      </w:r>
    </w:p>
    <w:tbl>
      <w:tblPr>
        <w:tblW w:w="10205" w:type="dxa"/>
        <w:jc w:val="left"/>
        <w:tblInd w:w="0" w:type="dxa"/>
        <w:tblLayout w:type="fixed"/>
        <w:tblCellMar>
          <w:top w:w="28" w:type="dxa"/>
          <w:left w:w="28" w:type="dxa"/>
          <w:bottom w:w="28" w:type="dxa"/>
          <w:right w:w="28" w:type="dxa"/>
        </w:tblCellMar>
      </w:tblPr>
      <w:tblGrid>
        <w:gridCol w:w="887"/>
        <w:gridCol w:w="779"/>
        <w:gridCol w:w="780"/>
        <w:gridCol w:w="368"/>
        <w:gridCol w:w="1216"/>
        <w:gridCol w:w="453"/>
        <w:gridCol w:w="109"/>
        <w:gridCol w:w="109"/>
        <w:gridCol w:w="109"/>
        <w:gridCol w:w="368"/>
        <w:gridCol w:w="1216"/>
        <w:gridCol w:w="453"/>
        <w:gridCol w:w="109"/>
        <w:gridCol w:w="109"/>
        <w:gridCol w:w="109"/>
        <w:gridCol w:w="197"/>
        <w:gridCol w:w="559"/>
        <w:gridCol w:w="109"/>
        <w:gridCol w:w="109"/>
        <w:gridCol w:w="109"/>
        <w:gridCol w:w="109"/>
        <w:gridCol w:w="217"/>
        <w:gridCol w:w="217"/>
        <w:gridCol w:w="482"/>
        <w:gridCol w:w="109"/>
        <w:gridCol w:w="109"/>
        <w:gridCol w:w="109"/>
        <w:gridCol w:w="109"/>
        <w:gridCol w:w="109"/>
        <w:gridCol w:w="109"/>
        <w:gridCol w:w="109"/>
        <w:gridCol w:w="160"/>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72,597 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(1)</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27,382 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23,255 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Measurements:</w:t>
            </w:r>
          </w:p>
        </w:tc>
        <w:tc>
          <w:tcPr>
            <w:tcW w:w="2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destination conferences (2)</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destination conferences attendees (2)</w:t>
            </w:r>
          </w:p>
        </w:tc>
        <w:tc>
          <w:tcPr>
            <w:tcW w:w="1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11,911 </w:t>
            </w:r>
          </w:p>
        </w:tc>
        <w:tc>
          <w:tcPr>
            <w:tcW w:w="4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13,857 </w:t>
            </w:r>
          </w:p>
        </w:tc>
        <w:tc>
          <w:tcPr>
            <w:tcW w:w="4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4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(1)Dollars in thousands.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(2)Single day, local meetings are excluded.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Conferences revenues increased by $2.5 million during the three months ended March 31, 2025 compared to the same period in 2024, or 4% on a reported basis and 5% excluding the foreign currency impact. The increase in revenues for the three months ended March 31, 2025 was primarily due to increased exhibitor revenue compared to the same period in 2024. We held 10 and 12 in-person destination conferences during the three months ended March 31, 2025 and 2024, respectively. Gross contribution increased to $27.4 million during the three months ended March 31, 2025 compared to $23.3 million in the same period last year. The increase in gross contribution during the three months ended March 31, 2025 was primarily the result of the increase in revenues, as well as a decrease in conference-related expenses as a result of two destination conferences moving from the first quarter to the second quarter in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Consulting</w:t>
      </w:r>
    </w:p>
    <w:tbl>
      <w:tblPr>
        <w:tblW w:w="10205" w:type="dxa"/>
        <w:jc w:val="left"/>
        <w:tblInd w:w="0" w:type="dxa"/>
        <w:tblLayout w:type="fixed"/>
        <w:tblCellMar>
          <w:top w:w="28" w:type="dxa"/>
          <w:left w:w="28" w:type="dxa"/>
          <w:bottom w:w="28" w:type="dxa"/>
          <w:right w:w="28" w:type="dxa"/>
        </w:tblCellMar>
      </w:tblPr>
      <w:tblGrid>
        <w:gridCol w:w="540"/>
        <w:gridCol w:w="475"/>
        <w:gridCol w:w="476"/>
        <w:gridCol w:w="413"/>
        <w:gridCol w:w="1552"/>
        <w:gridCol w:w="508"/>
        <w:gridCol w:w="109"/>
        <w:gridCol w:w="109"/>
        <w:gridCol w:w="109"/>
        <w:gridCol w:w="413"/>
        <w:gridCol w:w="1552"/>
        <w:gridCol w:w="508"/>
        <w:gridCol w:w="109"/>
        <w:gridCol w:w="109"/>
        <w:gridCol w:w="109"/>
        <w:gridCol w:w="196"/>
        <w:gridCol w:w="646"/>
        <w:gridCol w:w="109"/>
        <w:gridCol w:w="109"/>
        <w:gridCol w:w="109"/>
        <w:gridCol w:w="109"/>
        <w:gridCol w:w="217"/>
        <w:gridCol w:w="217"/>
        <w:gridCol w:w="482"/>
        <w:gridCol w:w="109"/>
        <w:gridCol w:w="109"/>
        <w:gridCol w:w="109"/>
        <w:gridCol w:w="109"/>
        <w:gridCol w:w="109"/>
        <w:gridCol w:w="109"/>
        <w:gridCol w:w="109"/>
        <w:gridCol w:w="157"/>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Revenues (1)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139,706 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134,685 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Gross contribution (1)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53,392 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54,287 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Measurements:</w:t>
            </w:r>
          </w:p>
        </w:tc>
        <w:tc>
          <w:tcPr>
            <w:tcW w:w="2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Backlog (1), (2)</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213,500 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183,700 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Billable headcount</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17"/>
              </w:rPr>
            </w:pPr>
            <w:r>
              <w:rPr>
                <w:rFonts w:ascii="Times New Roman;sans-serif" w:hAnsi="Times New Roman;sans-serif"/>
                <w:b w:val="false"/>
                <w:color w:val="000000"/>
                <w:sz w:val="17"/>
              </w:rPr>
              <w:t>Consultant utilization</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(1)Dollars in thousands.</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 xml:space="preserve">(2)Backlog is </w:t>
      </w:r>
      <w:r>
        <w:rPr>
          <w:rFonts w:ascii="Times New Roman;sans-serif" w:hAnsi="Times New Roman;sans-serif"/>
          <w:b w:val="false"/>
          <w:color w:val="000000"/>
          <w:sz w:val="20"/>
        </w:rPr>
        <w:t>on a foreign currency neutral basis. Backlog as of March 31, 2024 has been calculated using the same foreign currency rates as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Consulting revenues</w:t>
      </w:r>
      <w:r>
        <w:rPr>
          <w:color w:val="000000"/>
        </w:rPr>
        <w:t xml:space="preserve"> </w:t>
      </w:r>
      <w:r>
        <w:rPr>
          <w:rFonts w:ascii="Times New Roman;sans-serif" w:hAnsi="Times New Roman;sans-serif"/>
          <w:b w:val="false"/>
          <w:color w:val="000000"/>
          <w:sz w:val="20"/>
        </w:rPr>
        <w:t xml:space="preserve">increased by 4% during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compared to the same period in 2024 on a reported basis and 5% excluding the foreign currency impact, with a decrease in labor-based consulting revenue of 4% and an increase in contract optimization revenue of 36%, each on a reported basis. Contract optimization revenue may vary significantly and, as such, revenues for the first quarter of 2025 may not be indicative of results for the remainder of 2025 or beyond. The segment gross contribution margin was 38% and </w:t>
      </w:r>
      <w:r>
        <w:rPr>
          <w:rFonts w:ascii="Times New Roman;sans-serif" w:hAnsi="Times New Roman;sans-serif"/>
          <w:b w:val="false"/>
          <w:color w:val="000000"/>
          <w:sz w:val="20"/>
          <w:shd w:fill="FFFFFF" w:val="clear"/>
        </w:rPr>
        <w:t>40%</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2025 and 2024, respectively. The decrease in gross contribution margin for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months ended March 31, 2025 was primarily due to an increase in personnel expenses due to higher headcount.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Backlog</w:t>
      </w:r>
      <w:r>
        <w:rPr>
          <w:color w:val="000000"/>
        </w:rPr>
        <w:t xml:space="preserve"> </w:t>
      </w:r>
      <w:r>
        <w:rPr>
          <w:rFonts w:ascii="Times New Roman;sans-serif" w:hAnsi="Times New Roman;sans-serif"/>
          <w:b w:val="false"/>
          <w:color w:val="000000"/>
          <w:sz w:val="20"/>
        </w:rPr>
        <w:t>increased by $29.8 million, or 16%, from March 31, 2024 to March 31, 2025, excluding the foreign currency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We finance </w:t>
      </w:r>
      <w:r>
        <w:rPr>
          <w:rFonts w:ascii="Times New Roman;sans-serif" w:hAnsi="Times New Roman;sans-serif"/>
          <w:b w:val="false"/>
          <w:color w:val="000000"/>
          <w:sz w:val="20"/>
        </w:rPr>
        <w:t>our operations through cash generated from our operating activities and, to a lesser extent, borrowings. Note 7 — Debt in the Notes to Condensed Consolidated Financial Statements provides additional information regarding the Company’s outstanding debt obligations. At March 31, 2025, we had $2.1 billion of cash and cash equivalents and approximately $0.7 billion of available borrowing capacity on the revolving credit facility under our 2024 Credit Agreement. We believe that the Company has adequate liquidity to meet its currently anticipated needs for both the next twelve months and the foreseeable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2024, we entered into an amended lease agreement to significantly reduce the square footage and reduce future lease payments at one of our leased locations. We made an installment payment of $24.0 million during the fourth quarter of 2024, and will make an equal installment payment during the second quarter of 2025 in consideration for the lease amendment.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cash and cash </w:t>
      </w:r>
      <w:r>
        <w:rPr>
          <w:rFonts w:ascii="Times New Roman;sans-serif" w:hAnsi="Times New Roman;sans-serif"/>
          <w:b w:val="false"/>
          <w:color w:val="000000"/>
          <w:sz w:val="20"/>
        </w:rPr>
        <w:t>equivalents are held in numerous locations throughout the world with 41% held outside the U.S. at March 31, 2025. We intend to distribute a portion of the accumulated undistributed earnings of non-U.S. subsidiaries as of March 31, 2025 in conjunction with global restructuring activity and have recorded a modest tax expense for the anticipated impact of such distribution. We continue to assert our intention to reinvest substantially all remaining accumulated undistributed foreign earnings, except in instances where repatriation would result in minimal additional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table below</w:t>
      </w:r>
      <w:r>
        <w:rPr>
          <w:color w:val="000000"/>
        </w:rPr>
        <w:t xml:space="preserve"> </w:t>
      </w:r>
      <w:r>
        <w:rPr>
          <w:rFonts w:ascii="Times New Roman;sans-serif" w:hAnsi="Times New Roman;sans-serif"/>
          <w:b w:val="false"/>
          <w:color w:val="000000"/>
          <w:sz w:val="20"/>
        </w:rPr>
        <w:t xml:space="preserve">summarizes the changes in our cash balances for the periods indicated (in thousands). </w:t>
      </w:r>
    </w:p>
    <w:tbl>
      <w:tblPr>
        <w:tblW w:w="10205" w:type="dxa"/>
        <w:jc w:val="left"/>
        <w:tblInd w:w="0" w:type="dxa"/>
        <w:tblLayout w:type="fixed"/>
        <w:tblCellMar>
          <w:top w:w="28" w:type="dxa"/>
          <w:left w:w="28" w:type="dxa"/>
          <w:bottom w:w="28" w:type="dxa"/>
          <w:right w:w="28" w:type="dxa"/>
        </w:tblCellMar>
      </w:tblPr>
      <w:tblGrid>
        <w:gridCol w:w="1370"/>
        <w:gridCol w:w="1139"/>
        <w:gridCol w:w="1144"/>
        <w:gridCol w:w="383"/>
        <w:gridCol w:w="1772"/>
        <w:gridCol w:w="197"/>
        <w:gridCol w:w="109"/>
        <w:gridCol w:w="109"/>
        <w:gridCol w:w="109"/>
        <w:gridCol w:w="383"/>
        <w:gridCol w:w="1772"/>
        <w:gridCol w:w="197"/>
        <w:gridCol w:w="109"/>
        <w:gridCol w:w="109"/>
        <w:gridCol w:w="109"/>
        <w:gridCol w:w="211"/>
        <w:gridCol w:w="826"/>
        <w:gridCol w:w="157"/>
      </w:tblGrid>
      <w:tr>
        <w:trPr/>
        <w:tc>
          <w:tcPr>
            <w:tcW w:w="137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rates on cash and cash equivalents</w:t>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 and restricted cash</w:t>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cash and cash equivalents</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2,091,048 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1,236,401 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$313.5 million and $188.8 million during the three months ended March 31, 2025 and 2024, respectively. The year-over-year increase was primarily due to the improved timing of collections.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$25.6 million and $24.7 million during the three months ended March 31, 2025 and 2024, respectively. The increase from 2024 to 2025 was primarily the result of higher leasehold improvements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$152.9 million and $219.7 million during the three months ended March 31, 2025 and 2024, respectively. We used $162.7 million and $225.1 million of cash for share repurchases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2025 and 2024, respectively. In March 2024, the Company borrowed $274.4 million under the 2024 Credit Agreement. The initial borrowing was used to repay the outstanding amounts under the 2020 Credit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$2.5 billion of principal amount of debt outstanding. Note 7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January 1, 2025 through March 31, 2025, the Company has not entered into any material off-balance sheet arrangements or transactions with unconsolidated entities or other persons.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As of March 31, 2025,</w:t>
      </w:r>
      <w:r>
        <w:rPr>
          <w:color w:val="000000"/>
        </w:rPr>
        <w:t xml:space="preserve"> </w:t>
      </w:r>
      <w:r>
        <w:rPr>
          <w:rFonts w:ascii="Times New Roman;sans-serif" w:hAnsi="Times New Roman;sans-serif"/>
          <w:b w:val="false"/>
          <w:color w:val="000000"/>
          <w:sz w:val="20"/>
        </w:rPr>
        <w:t xml:space="preserve">the Company had $2.5 billion in total debt principal outstanding. Note 7 — Debt in the Notes to Condensed Consolidated Financial Statements provides additional information regarding the Company’s outstanding debt obligations.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$274.4 million of the Company’s total debt outstanding as of March 31, 2025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 significant portion o</w:t>
      </w:r>
      <w:r>
        <w:rPr>
          <w:rFonts w:ascii="Times New Roman;sans-serif" w:hAnsi="Times New Roman;sans-serif"/>
          <w:b w:val="false"/>
          <w:color w:val="000000"/>
          <w:sz w:val="20"/>
        </w:rPr>
        <w:t>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Translation risk</w:t>
      </w:r>
      <w:r>
        <w:rPr>
          <w:color w:val="000000"/>
        </w:rPr>
        <w:t xml:space="preserve"> </w:t>
      </w:r>
      <w:r>
        <w:rPr>
          <w:rFonts w:ascii="Times New Roman;sans-serif" w:hAnsi="Times New Roman;sans-serif"/>
          <w:b w:val="false"/>
          <w:color w:val="000000"/>
          <w:sz w:val="20"/>
        </w:rPr>
        <w:t>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March 31, 2025, we had $2.1 billion of cash and cash equivalents, with a substantial portion denominated in foreign currencies. If the exchange rates of the foreign currencies we hold all changed in comparison to the U.S. dollar by 10%, the amount of cash and cash equivalents we would have reported on March 31, 2025 could have increased or decreased by approximately $79.9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Transaction risk</w:t>
      </w:r>
      <w:r>
        <w:rPr>
          <w:color w:val="000000"/>
        </w:rPr>
        <w:t xml:space="preserve"> </w:t>
      </w:r>
      <w:r>
        <w:rPr>
          <w:rFonts w:ascii="Times New Roman;sans-serif" w:hAnsi="Times New Roman;sans-serif"/>
          <w:b w:val="false"/>
          <w:color w:val="000000"/>
          <w:sz w:val="20"/>
        </w:rPr>
        <w:t>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March 31, 2025 had an immaterial net unrealized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Financial instruments</w:t>
      </w:r>
      <w:r>
        <w:rPr>
          <w:color w:val="000000"/>
        </w:rPr>
        <w:t xml:space="preserve"> </w:t>
      </w:r>
      <w:r>
        <w:rPr>
          <w:rFonts w:ascii="Times New Roman;sans-serif" w:hAnsi="Times New Roman;sans-serif"/>
          <w:b w:val="false"/>
          <w:color w:val="000000"/>
          <w:sz w:val="20"/>
        </w:rPr>
        <w:t>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as of March 31, 2025,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March 31, 2025, the Company’s disclosure controls and procedures were effective.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There have been no changes in our internal control over financial reporting identified in connection with the evaluation required by paragraph (d) of Exchange Act</w:t>
      </w:r>
      <w:r>
        <w:rPr>
          <w:color w:val="0067B1"/>
          <w:u w:val="single"/>
        </w:rPr>
        <w:t xml:space="preserve"> </w:t>
      </w:r>
      <w:r>
        <w:rPr>
          <w:rFonts w:ascii="Times New Roman;sans-serif" w:hAnsi="Times New Roman;sans-serif"/>
          <w:b w:val="false"/>
          <w:color w:val="000000"/>
          <w:sz w:val="20"/>
        </w:rPr>
        <w:t>Rules 13a-15 or 15d-15 that occurred during the quarter ended March 31,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We are involved </w:t>
      </w:r>
      <w:r>
        <w:rPr>
          <w:rFonts w:ascii="Times New Roman;sans-serif" w:hAnsi="Times New Roman;sans-serif"/>
          <w:b w:val="false"/>
          <w:color w:val="000000"/>
          <w:sz w:val="20"/>
        </w:rPr>
        <w:t>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the risk factors disclosed in Part I, Item 1A of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unregistered sales of equity securities during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May 2015,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 xml:space="preserve">Board of Directors </w:t>
      </w:r>
      <w:r>
        <w:rPr>
          <w:rFonts w:ascii="Times New Roman;sans-serif" w:hAnsi="Times New Roman;sans-serif"/>
          <w:b w:val="false"/>
          <w:color w:val="000000"/>
          <w:sz w:val="20"/>
        </w:rPr>
        <w:t xml:space="preserve">(the “Board”) </w:t>
      </w:r>
      <w:r>
        <w:rPr>
          <w:rFonts w:ascii="Times New Roman;sans-serif" w:hAnsi="Times New Roman;sans-serif"/>
          <w:b w:val="false"/>
          <w:color w:val="000000"/>
          <w:sz w:val="20"/>
          <w:shd w:fill="FFFFFF" w:val="clear"/>
        </w:rPr>
        <w:t xml:space="preserve">authorized a share repurchase program to repurchase up to </w:t>
      </w:r>
      <w:r>
        <w:rPr>
          <w:rFonts w:ascii="Times New Roman;sans-serif" w:hAnsi="Times New Roman;sans-serif"/>
          <w:b w:val="false"/>
          <w:color w:val="000000"/>
          <w:sz w:val="20"/>
        </w:rPr>
        <w:t>$1.2 billion</w:t>
      </w:r>
      <w:r>
        <w:rPr>
          <w:color w:val="000000"/>
          <w:shd w:fill="FFFFFF" w:val="clear"/>
        </w:rPr>
        <w:t xml:space="preserve"> </w:t>
      </w:r>
      <w:r>
        <w:rPr>
          <w:rFonts w:ascii="Times New Roman;sans-serif" w:hAnsi="Times New Roman;sans-serif"/>
          <w:b w:val="false"/>
          <w:color w:val="000000"/>
          <w:sz w:val="20"/>
          <w:shd w:fill="FFFFFF" w:val="clear"/>
        </w:rPr>
        <w:t xml:space="preserve">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common stoc</w:t>
      </w:r>
      <w:r>
        <w:rPr>
          <w:rFonts w:ascii="Times New Roman;sans-serif" w:hAnsi="Times New Roman;sans-serif"/>
          <w:b w:val="false"/>
          <w:color w:val="000000"/>
          <w:sz w:val="20"/>
        </w:rPr>
        <w:t>k. The Board authorized incremental share repurchases of up to an aggregate additional $4.1 billion of the Company’s common stock from February 2021 to July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March 31, 2025.</w:t>
      </w:r>
    </w:p>
    <w:tbl>
      <w:tblPr>
        <w:tblW w:w="10205" w:type="dxa"/>
        <w:jc w:val="left"/>
        <w:tblInd w:w="0" w:type="dxa"/>
        <w:tblLayout w:type="fixed"/>
        <w:tblCellMar>
          <w:top w:w="28" w:type="dxa"/>
          <w:left w:w="28" w:type="dxa"/>
          <w:bottom w:w="28" w:type="dxa"/>
          <w:right w:w="28" w:type="dxa"/>
        </w:tblCellMar>
      </w:tblPr>
      <w:tblGrid>
        <w:gridCol w:w="679"/>
        <w:gridCol w:w="551"/>
        <w:gridCol w:w="555"/>
        <w:gridCol w:w="109"/>
        <w:gridCol w:w="109"/>
        <w:gridCol w:w="109"/>
        <w:gridCol w:w="419"/>
        <w:gridCol w:w="411"/>
        <w:gridCol w:w="366"/>
        <w:gridCol w:w="109"/>
        <w:gridCol w:w="109"/>
        <w:gridCol w:w="109"/>
        <w:gridCol w:w="224"/>
        <w:gridCol w:w="768"/>
        <w:gridCol w:w="116"/>
        <w:gridCol w:w="109"/>
        <w:gridCol w:w="109"/>
        <w:gridCol w:w="109"/>
        <w:gridCol w:w="1048"/>
        <w:gridCol w:w="972"/>
        <w:gridCol w:w="975"/>
        <w:gridCol w:w="109"/>
        <w:gridCol w:w="109"/>
        <w:gridCol w:w="109"/>
        <w:gridCol w:w="320"/>
        <w:gridCol w:w="1252"/>
        <w:gridCol w:w="241"/>
      </w:tblGrid>
      <w:tr>
        <w:trPr/>
        <w:tc>
          <w:tcPr>
            <w:tcW w:w="6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Number of</w:t>
              <w:br/>
              <w:t>Shares</w:t>
              <w:br/>
              <w:t>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Under Announced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w:t>
              <w:br/>
              <w:t xml:space="preserve">Dollar Value of Shares </w:t>
              <w:br/>
              <w:t xml:space="preserve">That May Yet Be Purchased </w:t>
              <w:br/>
              <w:t>Under the Plans or Programs</w:t>
              <w:br/>
              <w:t>(in thousands)</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163,201 </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300,745 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507.65 </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163,201 </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 xml:space="preserve">The repurchased shares during the three months ended March 31, 2025 included 137,544 shares purchased for the settlement of stock-based compensation awards and 163,201 shares purchased in the open market. Amounts presented exclude the excise tax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Insider Trading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Section 16 officer adopted or terminated a trading arrangement intended to satisfy the affirmative defense conditions of Rule 10b5-1(c) or a non-Rule 10b5–1 trading arrangement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8412"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081"/>
        <w:gridCol w:w="2081"/>
        <w:gridCol w:w="294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Company.</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By-laws of Gartner, Inc. (as amended and restated through October 31, 2024).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5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5xex311.htm">
              <w:r>
                <w:rPr>
                  <w:rStyle w:val="InternetLink"/>
                  <w:rFonts w:ascii="Times New Roman;sans-serif" w:hAnsi="Times New Roman;sans-serif"/>
                  <w:b w:val="false"/>
                  <w:color w:val="0000FF"/>
                  <w:sz w:val="20"/>
                  <w:u w:val="single"/>
                </w:rPr>
                <w:t>Certification of chief executive officer under Rule 13a — 14(a)/15d — 14(a).</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5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5xex312.htm">
              <w:r>
                <w:rPr>
                  <w:rStyle w:val="InternetLink"/>
                  <w:rFonts w:ascii="Times New Roman;sans-serif" w:hAnsi="Times New Roman;sans-serif"/>
                  <w:b w:val="false"/>
                  <w:color w:val="0000FF"/>
                  <w:sz w:val="20"/>
                  <w:u w:val="single"/>
                </w:rPr>
                <w:t>Certification of chief financial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3312025xex32.htm">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3312025xex32.htm">
              <w:r>
                <w:rPr>
                  <w:rStyle w:val="InternetLink"/>
                  <w:rFonts w:ascii="Times New Roman;sans-serif" w:hAnsi="Times New Roman;sans-serif"/>
                  <w:b w:val="false"/>
                  <w:color w:val="0000FF"/>
                  <w:sz w:val="20"/>
                  <w:u w:val="single"/>
                </w:rPr>
                <w:t>Certification under 18 U.S.C. 1350.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Calculation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Label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shd w:fill="FFFFFF" w:val="clear"/>
        </w:rPr>
        <w:t>*     Filed with</w:t>
      </w:r>
      <w:r>
        <w:rPr>
          <w:color w:val="000000"/>
        </w:rPr>
        <w:t xml:space="preserve"> </w:t>
      </w:r>
      <w:r>
        <w:rPr>
          <w:rFonts w:ascii="Times New Roman;sans-serif" w:hAnsi="Times New Roman;sans-serif"/>
          <w:b w:val="false"/>
          <w:color w:val="000000"/>
          <w:sz w:val="20"/>
        </w:rPr>
        <w:t>this report.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Incorporated by reference from the Company’s Current Report on Form 8-K filed on July 6, 2005.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Incorporated by reference from the Company’s Quarterly Report on Form 10-Q filed on November 5, 2024.</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Items 3 and 4</w:t>
      </w:r>
      <w:r>
        <w:rPr>
          <w:color w:val="000000"/>
        </w:rPr>
        <w:t xml:space="preserve"> </w:t>
      </w:r>
      <w:r>
        <w:rPr>
          <w:rFonts w:ascii="Times New Roman;sans-serif" w:hAnsi="Times New Roman;sans-serif"/>
          <w:b w:val="false"/>
          <w:color w:val="000000"/>
          <w:sz w:val="20"/>
        </w:rPr>
        <w:t>of Part II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Pursuant to</w:t>
      </w:r>
      <w:r>
        <w:rPr>
          <w:color w:val="000000"/>
        </w:rPr>
        <w:t xml:space="preserve"> </w:t>
      </w:r>
      <w:r>
        <w:rPr>
          <w:rFonts w:ascii="Times New Roman;sans-serif" w:hAnsi="Times New Roman;sans-serif"/>
          <w:b w:val="false"/>
          <w:color w:val="000000"/>
          <w:sz w:val="20"/>
        </w:rPr>
        <w:t>the requirements of the Securities Exchange Act of 1934, the registrant has caused this report to be signed on its behalf by the undersigned thereunto duly authorized.</w:t>
      </w:r>
    </w:p>
    <w:tbl>
      <w:tblPr>
        <w:tblW w:w="6177"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298"/>
        <w:gridCol w:w="1298"/>
        <w:gridCol w:w="18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Gartner,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Eugene A. Hall,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5"/>
        <w:gridCol w:w="583"/>
        <w:gridCol w:w="837"/>
      </w:tblGrid>
      <w:tr>
        <w:trPr/>
        <w:tc>
          <w:tcPr>
            <w:tcW w:w="6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Eugene A. Hall</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Eugene A. Hall</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Craig W. Safian,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2025,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both"/>
        <w:rPr/>
      </w:pPr>
      <w:r>
        <w:rPr/>
      </w:r>
    </w:p>
    <w:tbl>
      <w:tblPr>
        <w:tblW w:w="2025" w:type="dxa"/>
        <w:jc w:val="left"/>
        <w:tblInd w:w="0" w:type="dxa"/>
        <w:tblLayout w:type="fixed"/>
        <w:tblCellMar>
          <w:top w:w="28" w:type="dxa"/>
          <w:left w:w="28" w:type="dxa"/>
          <w:bottom w:w="28" w:type="dxa"/>
          <w:right w:w="28" w:type="dxa"/>
        </w:tblCellMar>
      </w:tblPr>
      <w:tblGrid>
        <w:gridCol w:w="647"/>
        <w:gridCol w:w="569"/>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 Safian</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Gartner, Inc. (the “Company”) on Form 10-Q for the quarter ended March 31, 2025,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bidi w:val="0"/>
        <w:spacing w:lineRule="auto" w:line="312" w:before="0" w:after="0"/>
        <w:ind w:left="0" w:right="0" w:firstLine="720"/>
        <w:jc w:val="both"/>
        <w:rPr>
          <w:color w:val="000000"/>
        </w:rPr>
      </w:pPr>
      <w:r>
        <w:rPr>
          <w:color w:val="000000"/>
        </w:rPr>
        <w:t> </w:t>
      </w:r>
    </w:p>
    <w:p>
      <w:pPr>
        <w:pStyle w:val="TextBody"/>
        <w:bidi w:val="0"/>
        <w:spacing w:lineRule="auto" w:line="312"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ind w:left="0" w:right="0" w:hanging="450"/>
        <w:jc w:val="both"/>
        <w:rPr/>
      </w:pPr>
      <w:r>
        <w:rPr/>
      </w:r>
    </w:p>
    <w:p>
      <w:pPr>
        <w:pStyle w:val="TextBody"/>
        <w:bidi w:val="0"/>
        <w:spacing w:lineRule="auto" w:line="312"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450"/>
        <w:jc w:val="both"/>
        <w:rPr/>
      </w:pPr>
      <w:r>
        <w:rPr/>
      </w:r>
    </w:p>
    <w:tbl>
      <w:tblPr>
        <w:tblW w:w="2997" w:type="dxa"/>
        <w:jc w:val="left"/>
        <w:tblInd w:w="0" w:type="dxa"/>
        <w:tblLayout w:type="fixed"/>
        <w:tblCellMar>
          <w:top w:w="28" w:type="dxa"/>
          <w:left w:w="28" w:type="dxa"/>
          <w:bottom w:w="28" w:type="dxa"/>
          <w:right w:w="28" w:type="dxa"/>
        </w:tblCellMar>
      </w:tblPr>
      <w:tblGrid>
        <w:gridCol w:w="946"/>
        <w:gridCol w:w="834"/>
        <w:gridCol w:w="845"/>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Eugene A. Hall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Eugene A. Hall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Craig W. Safian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95012305008192/y10586exv3w1.htm" TargetMode="External"/><Relationship Id="rId4" Type="http://schemas.openxmlformats.org/officeDocument/2006/relationships/hyperlink" Target="https://www.sec.gov/Archives/edgar/data/749251/000074925124000041/exhibit32-gartnerbylawsoct.htm" TargetMode="External"/><Relationship Id="rId5" Type="http://schemas.openxmlformats.org/officeDocument/2006/relationships/hyperlink" Target="https://www.sec.gov/Archives/edgar/data/749251/000074925124000041/exhibit32-gartnerbylawsoc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17417</Words>
  <Characters>98358</Characters>
  <CharactersWithSpaces>114749</CharactersWithSpaces>
  <Paragraphs>2120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