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348" w:lineRule="exact"/>
        <w:rPr>
          <w:sz w:val="20"/>
          <w:szCs w:val="20"/>
          <w:color w:val="auto"/>
        </w:rPr>
      </w:pPr>
    </w:p>
    <w:p>
      <w:pPr>
        <w:ind w:left="560" w:hanging="245"/>
        <w:spacing w:after="0"/>
        <w:tabs>
          <w:tab w:leader="none" w:pos="5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THE FISCAL YEAR ENDED DECEMBER 31, 2004</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 1934</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COMMISSION FILE NUMBER 1-14443</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300" w:type="dxa"/>
            <w:vAlign w:val="bottom"/>
          </w:tcPr>
          <w:p>
            <w:pPr>
              <w:spacing w:after="0"/>
              <w:rPr>
                <w:sz w:val="24"/>
                <w:szCs w:val="24"/>
                <w:color w:val="auto"/>
              </w:rPr>
            </w:pPr>
          </w:p>
        </w:tc>
        <w:tc>
          <w:tcPr>
            <w:tcW w:w="7240" w:type="dxa"/>
            <w:vAlign w:val="bottom"/>
            <w:gridSpan w:val="4"/>
          </w:tcPr>
          <w:p>
            <w:pPr>
              <w:jc w:val="center"/>
              <w:ind w:right="420"/>
              <w:spacing w:after="0"/>
              <w:rPr>
                <w:sz w:val="20"/>
                <w:szCs w:val="20"/>
                <w:color w:val="auto"/>
              </w:rPr>
            </w:pPr>
            <w:r>
              <w:rPr>
                <w:rFonts w:ascii="Arial" w:cs="Arial" w:eastAsia="Arial" w:hAnsi="Arial"/>
                <w:sz w:val="43"/>
                <w:szCs w:val="43"/>
                <w:b w:val="1"/>
                <w:bCs w:val="1"/>
                <w:color w:val="auto"/>
              </w:rPr>
              <w:t>GARTNER, INC.</w:t>
            </w:r>
          </w:p>
        </w:tc>
        <w:tc>
          <w:tcPr>
            <w:tcW w:w="0" w:type="dxa"/>
            <w:vAlign w:val="bottom"/>
          </w:tcPr>
          <w:p>
            <w:pPr>
              <w:spacing w:after="0"/>
              <w:rPr>
                <w:sz w:val="1"/>
                <w:szCs w:val="1"/>
                <w:color w:val="auto"/>
              </w:rPr>
            </w:pPr>
          </w:p>
        </w:tc>
      </w:tr>
      <w:tr>
        <w:trPr>
          <w:trHeight w:val="626"/>
        </w:trPr>
        <w:tc>
          <w:tcPr>
            <w:tcW w:w="2300" w:type="dxa"/>
            <w:vAlign w:val="bottom"/>
          </w:tcPr>
          <w:p>
            <w:pPr>
              <w:spacing w:after="0"/>
              <w:rPr>
                <w:sz w:val="24"/>
                <w:szCs w:val="24"/>
                <w:color w:val="auto"/>
              </w:rPr>
            </w:pPr>
          </w:p>
        </w:tc>
        <w:tc>
          <w:tcPr>
            <w:tcW w:w="7240" w:type="dxa"/>
            <w:vAlign w:val="bottom"/>
            <w:gridSpan w:val="4"/>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3240" w:type="dxa"/>
            <w:vAlign w:val="bottom"/>
          </w:tcPr>
          <w:p>
            <w:pPr>
              <w:jc w:val="center"/>
              <w:ind w:right="2292"/>
              <w:spacing w:after="0"/>
              <w:rPr>
                <w:sz w:val="20"/>
                <w:szCs w:val="20"/>
                <w:color w:val="auto"/>
              </w:rPr>
            </w:pPr>
            <w:r>
              <w:rPr>
                <w:rFonts w:ascii="Arial" w:cs="Arial" w:eastAsia="Arial" w:hAnsi="Arial"/>
                <w:sz w:val="18"/>
                <w:szCs w:val="18"/>
                <w:color w:val="auto"/>
                <w:w w:val="89"/>
              </w:rPr>
              <w:t>Delaware</w:t>
            </w:r>
          </w:p>
        </w:tc>
        <w:tc>
          <w:tcPr>
            <w:tcW w:w="4000" w:type="dxa"/>
            <w:vAlign w:val="bottom"/>
            <w:gridSpan w:val="3"/>
          </w:tcPr>
          <w:p>
            <w:pPr>
              <w:jc w:val="center"/>
              <w:ind w:left="2257"/>
              <w:spacing w:after="0"/>
              <w:rPr>
                <w:sz w:val="20"/>
                <w:szCs w:val="20"/>
                <w:color w:val="auto"/>
              </w:rPr>
            </w:pPr>
            <w:r>
              <w:rPr>
                <w:rFonts w:ascii="Arial" w:cs="Arial" w:eastAsia="Arial" w:hAnsi="Arial"/>
                <w:sz w:val="18"/>
                <w:szCs w:val="18"/>
                <w:color w:val="auto"/>
                <w:w w:val="89"/>
              </w:rPr>
              <w:t>04-3099750</w:t>
            </w:r>
          </w:p>
        </w:tc>
        <w:tc>
          <w:tcPr>
            <w:tcW w:w="0" w:type="dxa"/>
            <w:vAlign w:val="bottom"/>
          </w:tcPr>
          <w:p>
            <w:pPr>
              <w:spacing w:after="0"/>
              <w:rPr>
                <w:sz w:val="1"/>
                <w:szCs w:val="1"/>
                <w:color w:val="auto"/>
              </w:rPr>
            </w:pPr>
          </w:p>
        </w:tc>
      </w:tr>
      <w:tr>
        <w:trPr>
          <w:trHeight w:val="216"/>
        </w:trPr>
        <w:tc>
          <w:tcPr>
            <w:tcW w:w="554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1420" w:type="dxa"/>
            <w:vAlign w:val="bottom"/>
          </w:tcPr>
          <w:p>
            <w:pPr>
              <w:spacing w:after="0"/>
              <w:rPr>
                <w:sz w:val="18"/>
                <w:szCs w:val="18"/>
                <w:color w:val="auto"/>
              </w:rPr>
            </w:pPr>
          </w:p>
        </w:tc>
        <w:tc>
          <w:tcPr>
            <w:tcW w:w="2580" w:type="dxa"/>
            <w:vAlign w:val="bottom"/>
            <w:gridSpan w:val="2"/>
          </w:tcPr>
          <w:p>
            <w:pPr>
              <w:jc w:val="center"/>
              <w:ind w:left="8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5540" w:type="dxa"/>
            <w:vAlign w:val="bottom"/>
            <w:gridSpan w:val="2"/>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420" w:type="dxa"/>
            <w:vAlign w:val="bottom"/>
          </w:tcPr>
          <w:p>
            <w:pPr>
              <w:spacing w:after="0"/>
              <w:rPr>
                <w:sz w:val="20"/>
                <w:szCs w:val="20"/>
                <w:color w:val="auto"/>
              </w:rPr>
            </w:pPr>
          </w:p>
        </w:tc>
        <w:tc>
          <w:tcPr>
            <w:tcW w:w="2580" w:type="dxa"/>
            <w:vAlign w:val="bottom"/>
            <w:gridSpan w:val="2"/>
          </w:tcPr>
          <w:p>
            <w:pPr>
              <w:jc w:val="center"/>
              <w:ind w:left="830"/>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r>
        <w:trPr>
          <w:trHeight w:val="414"/>
        </w:trPr>
        <w:tc>
          <w:tcPr>
            <w:tcW w:w="5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P.O. Box 10212</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56 Top Gallant Road</w:t>
            </w:r>
          </w:p>
        </w:tc>
        <w:tc>
          <w:tcPr>
            <w:tcW w:w="1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Stamford, CT</w:t>
            </w:r>
          </w:p>
        </w:tc>
        <w:tc>
          <w:tcPr>
            <w:tcW w:w="4000" w:type="dxa"/>
            <w:vAlign w:val="bottom"/>
            <w:gridSpan w:val="3"/>
          </w:tcPr>
          <w:p>
            <w:pPr>
              <w:jc w:val="center"/>
              <w:ind w:left="2257"/>
              <w:spacing w:after="0"/>
              <w:rPr>
                <w:sz w:val="20"/>
                <w:szCs w:val="20"/>
                <w:color w:val="auto"/>
              </w:rPr>
            </w:pPr>
            <w:r>
              <w:rPr>
                <w:rFonts w:ascii="Arial" w:cs="Arial" w:eastAsia="Arial" w:hAnsi="Arial"/>
                <w:sz w:val="18"/>
                <w:szCs w:val="18"/>
                <w:b w:val="1"/>
                <w:bCs w:val="1"/>
                <w:color w:val="auto"/>
                <w:w w:val="89"/>
              </w:rPr>
              <w:t>06902-7747</w:t>
            </w:r>
          </w:p>
        </w:tc>
        <w:tc>
          <w:tcPr>
            <w:tcW w:w="0" w:type="dxa"/>
            <w:vAlign w:val="bottom"/>
          </w:tcPr>
          <w:p>
            <w:pPr>
              <w:spacing w:after="0"/>
              <w:rPr>
                <w:sz w:val="1"/>
                <w:szCs w:val="1"/>
                <w:color w:val="auto"/>
              </w:rPr>
            </w:pPr>
          </w:p>
        </w:tc>
      </w:tr>
      <w:tr>
        <w:trPr>
          <w:trHeight w:val="230"/>
        </w:trPr>
        <w:tc>
          <w:tcPr>
            <w:tcW w:w="5540" w:type="dxa"/>
            <w:vAlign w:val="bottom"/>
            <w:gridSpan w:val="2"/>
          </w:tcPr>
          <w:p>
            <w:pPr>
              <w:jc w:val="center"/>
              <w:ind w:right="12"/>
              <w:spacing w:after="0"/>
              <w:rPr>
                <w:sz w:val="20"/>
                <w:szCs w:val="20"/>
                <w:color w:val="auto"/>
              </w:rPr>
            </w:pPr>
            <w:r>
              <w:rPr>
                <w:rFonts w:ascii="Arial" w:cs="Arial" w:eastAsia="Arial" w:hAnsi="Arial"/>
                <w:sz w:val="18"/>
                <w:szCs w:val="18"/>
                <w:color w:val="auto"/>
                <w:w w:val="92"/>
              </w:rPr>
              <w:t>(Address of principal executive offices)</w:t>
            </w:r>
          </w:p>
        </w:tc>
        <w:tc>
          <w:tcPr>
            <w:tcW w:w="1420" w:type="dxa"/>
            <w:vAlign w:val="bottom"/>
          </w:tcPr>
          <w:p>
            <w:pPr>
              <w:spacing w:after="0"/>
              <w:rPr>
                <w:sz w:val="20"/>
                <w:szCs w:val="20"/>
                <w:color w:val="auto"/>
              </w:rPr>
            </w:pPr>
          </w:p>
        </w:tc>
        <w:tc>
          <w:tcPr>
            <w:tcW w:w="2580" w:type="dxa"/>
            <w:vAlign w:val="bottom"/>
            <w:gridSpan w:val="2"/>
          </w:tcPr>
          <w:p>
            <w:pPr>
              <w:jc w:val="center"/>
              <w:ind w:left="8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392"/>
        </w:trPr>
        <w:tc>
          <w:tcPr>
            <w:tcW w:w="5540" w:type="dxa"/>
            <w:vAlign w:val="bottom"/>
            <w:gridSpan w:val="2"/>
          </w:tcPr>
          <w:p>
            <w:pPr>
              <w:spacing w:after="0"/>
              <w:rPr>
                <w:sz w:val="20"/>
                <w:szCs w:val="20"/>
                <w:color w:val="auto"/>
              </w:rPr>
            </w:pPr>
            <w:r>
              <w:rPr>
                <w:rFonts w:ascii="Arial" w:cs="Arial" w:eastAsia="Arial" w:hAnsi="Arial"/>
                <w:sz w:val="18"/>
                <w:szCs w:val="18"/>
                <w:color w:val="auto"/>
              </w:rPr>
              <w:t>Registrant’s telephone number, including area code: (203) 316-1111</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300" w:type="dxa"/>
            <w:vAlign w:val="bottom"/>
          </w:tcPr>
          <w:p>
            <w:pPr>
              <w:spacing w:after="0"/>
              <w:rPr>
                <w:sz w:val="24"/>
                <w:szCs w:val="24"/>
                <w:color w:val="auto"/>
              </w:rPr>
            </w:pPr>
          </w:p>
        </w:tc>
        <w:tc>
          <w:tcPr>
            <w:tcW w:w="3240" w:type="dxa"/>
            <w:vAlign w:val="bottom"/>
            <w:vMerge w:val="restart"/>
          </w:tcPr>
          <w:p>
            <w:pPr>
              <w:jc w:val="center"/>
              <w:ind w:right="2332"/>
              <w:spacing w:after="0"/>
              <w:rPr>
                <w:sz w:val="20"/>
                <w:szCs w:val="20"/>
                <w:color w:val="auto"/>
              </w:rPr>
            </w:pPr>
            <w:r>
              <w:rPr>
                <w:rFonts w:ascii="Arial" w:cs="Arial" w:eastAsia="Arial" w:hAnsi="Arial"/>
                <w:sz w:val="14"/>
                <w:szCs w:val="14"/>
                <w:b w:val="1"/>
                <w:bCs w:val="1"/>
                <w:color w:val="auto"/>
                <w:w w:val="91"/>
              </w:rPr>
              <w:t>Title of Class</w:t>
            </w:r>
          </w:p>
        </w:tc>
        <w:tc>
          <w:tcPr>
            <w:tcW w:w="4000" w:type="dxa"/>
            <w:vAlign w:val="bottom"/>
            <w:gridSpan w:val="3"/>
          </w:tcPr>
          <w:p>
            <w:pPr>
              <w:ind w:left="1420"/>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4000" w:type="dxa"/>
            <w:vAlign w:val="bottom"/>
            <w:gridSpan w:val="3"/>
          </w:tcPr>
          <w:p>
            <w:pPr>
              <w:ind w:left="1420"/>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3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Common Stock, Class A, $.0005 Par Value</w:t>
            </w:r>
          </w:p>
        </w:tc>
        <w:tc>
          <w:tcPr>
            <w:tcW w:w="1420" w:type="dxa"/>
            <w:vAlign w:val="bottom"/>
          </w:tcPr>
          <w:p>
            <w:pPr>
              <w:spacing w:after="0"/>
              <w:rPr>
                <w:sz w:val="16"/>
                <w:szCs w:val="16"/>
                <w:color w:val="auto"/>
              </w:rPr>
            </w:pPr>
          </w:p>
        </w:tc>
        <w:tc>
          <w:tcPr>
            <w:tcW w:w="2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New York Stock Exchange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3"/>
              </w:rPr>
              <w:t>Common Stock, Class B, $.0005 Par Value</w:t>
            </w:r>
          </w:p>
        </w:tc>
        <w:tc>
          <w:tcPr>
            <w:tcW w:w="4000" w:type="dxa"/>
            <w:vAlign w:val="bottom"/>
            <w:gridSpan w:val="3"/>
          </w:tcPr>
          <w:p>
            <w:pPr>
              <w:ind w:left="142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85" w:lineRule="exact"/>
        <w:rPr>
          <w:sz w:val="20"/>
          <w:szCs w:val="20"/>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0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aggregate market value of the voting stock held by persons other than those who may be deemed affiliates of the Registrant, as of June 30, 2004, was approximately $745.8 million. This calculation does not reflect a determination that persons are affiliates for any other purposes.</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shares outstanding of the Registrant’s capital stock as of February 28, 2005 was 89,502,496 shares of Common Stock, Class A and 22,612,954 shares of Common Stock, 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GARTNER,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2004 ANNUAL REPORT ON 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122" w:right="279" w:bottom="0" w:gutter="0" w:footer="0" w:header="0"/>
        </w:sectPr>
      </w:pPr>
    </w:p>
    <w:p>
      <w:pPr>
        <w:spacing w:after="0" w:line="39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p>
      <w:pPr>
        <w:sectPr>
          <w:pgSz w:w="11900" w:h="16838" w:orient="portrait"/>
          <w:cols w:equalWidth="0" w:num="1">
            <w:col w:w="11380"/>
          </w:cols>
          <w:pgMar w:left="240" w:top="122" w:right="27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8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2. Properties</w:t>
              </w:r>
            </w:hyperlink>
          </w:p>
        </w:tc>
        <w:tc>
          <w:tcPr>
            <w:tcW w:w="858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Item 3. Legal Proceedings</w:t>
              </w:r>
            </w:hyperlink>
          </w:p>
        </w:tc>
        <w:tc>
          <w:tcPr>
            <w:tcW w:w="7980" w:type="dxa"/>
            <w:vAlign w:val="bottom"/>
            <w:gridSpan w:val="1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4. Submission of Matters to a Vote of Security Holders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432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II</w:t>
              </w:r>
            </w:hyperlink>
          </w:p>
        </w:tc>
        <w:tc>
          <w:tcPr>
            <w:tcW w:w="5560" w:type="dxa"/>
            <w:vAlign w:val="bottom"/>
            <w:gridSpan w:val="7"/>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86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Item 5. Market for Registrant’s Common Equity, Related Stockholder Matters and Issuer Purchases of Equity Securities</w:t>
              </w:r>
            </w:hyperlink>
          </w:p>
        </w:tc>
        <w:tc>
          <w:tcPr>
            <w:tcW w:w="1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22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Item 6. Selected Financial Data</w:t>
              </w:r>
            </w:hyperlink>
          </w:p>
        </w:tc>
        <w:tc>
          <w:tcPr>
            <w:tcW w:w="760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7. 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50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tcPr>
          <w:p>
            <w:pPr>
              <w:spacing w:after="0"/>
              <w:rPr>
                <w:sz w:val="17"/>
                <w:szCs w:val="17"/>
                <w:color w:val="auto"/>
              </w:rPr>
            </w:pPr>
          </w:p>
        </w:tc>
        <w:tc>
          <w:tcPr>
            <w:tcW w:w="28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8. Consolidated Financial Statements and Supplementary Data</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9. Changes In and Disagreements With Accountants on Accounting and Financial Disclosure</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9A. Controls and Procedures</w:t>
              </w:r>
            </w:hyperlink>
          </w:p>
        </w:tc>
        <w:tc>
          <w:tcPr>
            <w:tcW w:w="4600" w:type="dxa"/>
            <w:vAlign w:val="bottom"/>
            <w:tcBorders>
              <w:top w:val="single" w:sz="8" w:color="0000EE"/>
            </w:tcBorders>
            <w:gridSpan w:val="10"/>
          </w:tcPr>
          <w:p>
            <w:pPr>
              <w:spacing w:after="0"/>
              <w:rPr>
                <w:sz w:val="17"/>
                <w:szCs w:val="17"/>
                <w:color w:val="auto"/>
              </w:rPr>
            </w:pPr>
          </w:p>
        </w:tc>
        <w:tc>
          <w:tcPr>
            <w:tcW w:w="280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Item 9B. Other Information</w:t>
              </w:r>
            </w:hyperlink>
          </w:p>
        </w:tc>
        <w:tc>
          <w:tcPr>
            <w:tcW w:w="7880" w:type="dxa"/>
            <w:vAlign w:val="bottom"/>
            <w:gridSpan w:val="1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III</w:t>
              </w:r>
            </w:hyperlink>
          </w:p>
        </w:tc>
        <w:tc>
          <w:tcPr>
            <w:tcW w:w="9140" w:type="dxa"/>
            <w:vAlign w:val="bottom"/>
            <w:gridSpan w:val="21"/>
          </w:tcPr>
          <w:p>
            <w:pPr>
              <w:spacing w:after="0"/>
              <w:rPr>
                <w:sz w:val="24"/>
                <w:szCs w:val="24"/>
                <w:color w:val="auto"/>
              </w:rPr>
            </w:pPr>
          </w:p>
        </w:tc>
        <w:tc>
          <w:tcPr>
            <w:tcW w:w="1440" w:type="dxa"/>
            <w:vAlign w:val="bottom"/>
          </w:tcPr>
          <w:p>
            <w:pPr>
              <w:spacing w:after="0"/>
              <w:rPr>
                <w:sz w:val="24"/>
                <w:szCs w:val="24"/>
                <w:color w:val="auto"/>
              </w:rPr>
            </w:pPr>
          </w:p>
        </w:tc>
      </w:tr>
      <w:tr>
        <w:trPr>
          <w:trHeight w:val="412"/>
        </w:trPr>
        <w:tc>
          <w:tcPr>
            <w:tcW w:w="9880" w:type="dxa"/>
            <w:vAlign w:val="bottom"/>
            <w:gridSpan w:val="2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10. Directors and Executive Officers of the Registrant</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2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11. Executive Compensation</w:t>
              </w:r>
            </w:hyperlink>
          </w:p>
        </w:tc>
        <w:tc>
          <w:tcPr>
            <w:tcW w:w="1800" w:type="dxa"/>
            <w:vAlign w:val="bottom"/>
            <w:tcBorders>
              <w:top w:val="single" w:sz="8" w:color="0000EE"/>
            </w:tcBorders>
            <w:gridSpan w:val="6"/>
          </w:tcPr>
          <w:p>
            <w:pPr>
              <w:spacing w:after="0"/>
              <w:rPr>
                <w:sz w:val="17"/>
                <w:szCs w:val="17"/>
                <w:color w:val="auto"/>
              </w:rPr>
            </w:pPr>
          </w:p>
        </w:tc>
        <w:tc>
          <w:tcPr>
            <w:tcW w:w="5620" w:type="dxa"/>
            <w:vAlign w:val="bottom"/>
            <w:gridSpan w:val="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12. Security Ownership of Certain Beneficial Owners and Management and Related Stockholder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79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13. Certain Relationships and Related Transactions</w:t>
              </w:r>
            </w:hyperlink>
          </w:p>
        </w:tc>
        <w:tc>
          <w:tcPr>
            <w:tcW w:w="194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5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14. Principal Accountant Fees and Services</w:t>
              </w:r>
            </w:hyperlink>
          </w:p>
        </w:tc>
        <w:tc>
          <w:tcPr>
            <w:tcW w:w="540" w:type="dxa"/>
            <w:vAlign w:val="bottom"/>
            <w:tcBorders>
              <w:top w:val="single" w:sz="8" w:color="0000EE"/>
            </w:tcBorders>
            <w:gridSpan w:val="2"/>
          </w:tcPr>
          <w:p>
            <w:pPr>
              <w:spacing w:after="0"/>
              <w:rPr>
                <w:sz w:val="17"/>
                <w:szCs w:val="17"/>
                <w:color w:val="auto"/>
              </w:rPr>
            </w:pPr>
          </w:p>
        </w:tc>
        <w:tc>
          <w:tcPr>
            <w:tcW w:w="58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412"/>
        </w:trPr>
        <w:tc>
          <w:tcPr>
            <w:tcW w:w="9880" w:type="dxa"/>
            <w:vAlign w:val="bottom"/>
            <w:gridSpan w:val="25"/>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IV</w:t>
              </w:r>
            </w:hyperlink>
          </w:p>
        </w:tc>
        <w:tc>
          <w:tcPr>
            <w:tcW w:w="144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12"/>
        </w:trPr>
        <w:tc>
          <w:tcPr>
            <w:tcW w:w="38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15. Exhibits and Financial Statement Schedules</w:t>
              </w:r>
            </w:hyperlink>
          </w:p>
        </w:tc>
        <w:tc>
          <w:tcPr>
            <w:tcW w:w="6060" w:type="dxa"/>
            <w:vAlign w:val="bottom"/>
            <w:gridSpan w:val="10"/>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8"/>
        </w:trPr>
        <w:tc>
          <w:tcPr>
            <w:tcW w:w="9880" w:type="dxa"/>
            <w:vAlign w:val="bottom"/>
            <w:gridSpan w:val="25"/>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880" w:type="dxa"/>
            <w:vAlign w:val="bottom"/>
            <w:gridSpan w:val="25"/>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880" w:type="dxa"/>
            <w:vAlign w:val="bottom"/>
            <w:gridSpan w:val="25"/>
          </w:tcPr>
          <w:p>
            <w:pPr>
              <w:spacing w:after="0"/>
              <w:rPr>
                <w:sz w:val="20"/>
                <w:szCs w:val="20"/>
                <w:color w:val="auto"/>
              </w:rPr>
            </w:pPr>
            <w:r>
              <w:rPr>
                <w:rFonts w:ascii="Arial" w:cs="Arial" w:eastAsia="Arial" w:hAnsi="Arial"/>
                <w:sz w:val="18"/>
                <w:szCs w:val="18"/>
                <w:color w:val="auto"/>
              </w:rPr>
              <w:t>Consolidated Balance Sheets</w:t>
            </w: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880" w:type="dxa"/>
            <w:vAlign w:val="bottom"/>
            <w:gridSpan w:val="25"/>
          </w:tcPr>
          <w:p>
            <w:pPr>
              <w:spacing w:after="0"/>
              <w:rPr>
                <w:sz w:val="20"/>
                <w:szCs w:val="20"/>
                <w:color w:val="auto"/>
              </w:rPr>
            </w:pPr>
            <w:r>
              <w:rPr>
                <w:rFonts w:ascii="Arial" w:cs="Arial" w:eastAsia="Arial" w:hAnsi="Arial"/>
                <w:sz w:val="18"/>
                <w:szCs w:val="18"/>
                <w:color w:val="auto"/>
              </w:rPr>
              <w:t>Consolidated Statements of Operations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880" w:type="dxa"/>
            <w:vAlign w:val="bottom"/>
            <w:gridSpan w:val="25"/>
          </w:tcPr>
          <w:p>
            <w:pPr>
              <w:spacing w:after="0"/>
              <w:rPr>
                <w:sz w:val="20"/>
                <w:szCs w:val="20"/>
                <w:color w:val="auto"/>
              </w:rPr>
            </w:pPr>
            <w:r>
              <w:rPr>
                <w:rFonts w:ascii="Arial" w:cs="Arial" w:eastAsia="Arial" w:hAnsi="Arial"/>
                <w:sz w:val="18"/>
                <w:szCs w:val="18"/>
                <w:color w:val="auto"/>
              </w:rPr>
              <w:t>Consolidated Statements of Stockholders’ Equity (Deficit) and Comprehensive Income (Loss)</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880" w:type="dxa"/>
            <w:vAlign w:val="bottom"/>
            <w:gridSpan w:val="25"/>
          </w:tcPr>
          <w:p>
            <w:pPr>
              <w:spacing w:after="0"/>
              <w:rPr>
                <w:sz w:val="20"/>
                <w:szCs w:val="20"/>
                <w:color w:val="auto"/>
              </w:rPr>
            </w:pPr>
            <w:r>
              <w:rPr>
                <w:rFonts w:ascii="Arial" w:cs="Arial" w:eastAsia="Arial" w:hAnsi="Arial"/>
                <w:sz w:val="18"/>
                <w:szCs w:val="18"/>
                <w:color w:val="auto"/>
              </w:rPr>
              <w:t>Consolidated Statements of Cash Flows</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880" w:type="dxa"/>
            <w:vAlign w:val="bottom"/>
            <w:gridSpan w:val="25"/>
          </w:tcPr>
          <w:p>
            <w:pPr>
              <w:spacing w:after="0"/>
              <w:rPr>
                <w:sz w:val="20"/>
                <w:szCs w:val="20"/>
                <w:color w:val="auto"/>
              </w:rPr>
            </w:pPr>
            <w:r>
              <w:rPr>
                <w:rFonts w:ascii="Arial" w:cs="Arial" w:eastAsia="Arial" w:hAnsi="Arial"/>
                <w:sz w:val="18"/>
                <w:szCs w:val="18"/>
                <w:color w:val="auto"/>
              </w:rPr>
              <w:t>Notes to Consolidated Financial Statements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0"/>
        </w:trPr>
        <w:tc>
          <w:tcPr>
            <w:tcW w:w="9880" w:type="dxa"/>
            <w:vAlign w:val="bottom"/>
            <w:gridSpan w:val="25"/>
          </w:tcPr>
          <w:p>
            <w:pPr>
              <w:spacing w:after="0" w:line="190" w:lineRule="exact"/>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144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6700" w:type="dxa"/>
            <w:vAlign w:val="bottom"/>
            <w:gridSpan w:val="1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3"/>
              </w:rPr>
              <w:t>EX-10.15: EMPLOYMENT AGREEMENT</w:t>
            </w:r>
          </w:p>
        </w:tc>
        <w:tc>
          <w:tcPr>
            <w:tcW w:w="6700" w:type="dxa"/>
            <w:vAlign w:val="bottom"/>
            <w:gridSpan w:val="12"/>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3"/>
              </w:rPr>
              <w:t>EX-10.16: EMPLOYMENT AGREEMENT</w:t>
            </w:r>
          </w:p>
        </w:tc>
        <w:tc>
          <w:tcPr>
            <w:tcW w:w="6700" w:type="dxa"/>
            <w:vAlign w:val="bottom"/>
            <w:gridSpan w:val="12"/>
          </w:tcPr>
          <w:p>
            <w:pPr>
              <w:spacing w:after="0"/>
              <w:rPr>
                <w:sz w:val="17"/>
                <w:szCs w:val="17"/>
                <w:color w:val="auto"/>
              </w:rPr>
            </w:pPr>
          </w:p>
        </w:tc>
        <w:tc>
          <w:tcPr>
            <w:tcW w:w="144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 SUBSIDIARIES OF THE REGISTRANT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 CONSENT OF INDEPENDENT REGISTERED PUBLIC ACCOUNTING FIRM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24"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Gartner, Inc., founded in 1979, is a leading independent provider of research and analysis on information technology, computer hardware, software, communications and related technology industries (the “IT industry”). We provide comprehensive coverage of the IT industry to approximately 10,000 client organizations. We serve a global client base consisting primarily of chief information officers (“CIOs”) and other senior IT and business executives in corporations and government agencies. We also serve technology companies and the investment community.</w:t>
      </w:r>
    </w:p>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foundation for all Gartner products is our independent research on IT issues. The findings from this research can be delivered through several different media, depending on a client’s specific business needs, preferences and objectives:</w:t>
      </w:r>
    </w:p>
    <w:p>
      <w:pPr>
        <w:spacing w:after="0" w:line="170" w:lineRule="exact"/>
        <w:rPr>
          <w:sz w:val="20"/>
          <w:szCs w:val="20"/>
          <w:color w:val="auto"/>
        </w:rPr>
      </w:pPr>
    </w:p>
    <w:p>
      <w:pPr>
        <w:ind w:left="180" w:right="380" w:hanging="172"/>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Research </w:t>
      </w:r>
      <w:r>
        <w:rPr>
          <w:rFonts w:ascii="Arial" w:cs="Arial" w:eastAsia="Arial" w:hAnsi="Arial"/>
          <w:sz w:val="16"/>
          <w:szCs w:val="16"/>
          <w:color w:val="auto"/>
        </w:rPr>
        <w:t>– provides research content and advice for IT professionals, technology companies and the investment community in the form of reports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briefings, as well as peer networking services and membership programs designed specifically for CIOs and other senior executives.</w:t>
      </w:r>
    </w:p>
    <w:p>
      <w:pPr>
        <w:spacing w:after="0" w:line="123" w:lineRule="exact"/>
        <w:rPr>
          <w:rFonts w:ascii="Arial" w:cs="Arial" w:eastAsia="Arial" w:hAnsi="Arial"/>
          <w:sz w:val="16"/>
          <w:szCs w:val="16"/>
          <w:color w:val="auto"/>
        </w:rPr>
      </w:pPr>
    </w:p>
    <w:p>
      <w:pPr>
        <w:ind w:left="180" w:right="34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Consulting </w:t>
      </w:r>
      <w:r>
        <w:rPr>
          <w:rFonts w:ascii="Arial" w:cs="Arial" w:eastAsia="Arial" w:hAnsi="Arial"/>
          <w:sz w:val="18"/>
          <w:szCs w:val="18"/>
          <w:color w:val="auto"/>
        </w:rPr>
        <w:t>– consists primarily of consulting, measurement engagements and strategic advisory services (paid one-day analyst engagements) (“SAS”),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provide assessments of cost, performance, efficiency and quality focused on the IT industry.</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Events </w:t>
      </w:r>
      <w:r>
        <w:rPr>
          <w:rFonts w:ascii="Arial" w:cs="Arial" w:eastAsia="Arial" w:hAnsi="Arial"/>
          <w:sz w:val="18"/>
          <w:szCs w:val="18"/>
          <w:color w:val="auto"/>
        </w:rPr>
        <w:t>– consists of various symposia, conferences and exhibitions focused on the IT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8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today’s dynamic IT marketplace, vendors continually introduce new products with a wide variety of standards and shorter life cycles. The users of technology – almost all organizations – must keep abreast of these new developments, and make major financial commitments to new IT systems and products. To plan and purchase effectively, these users of technology need independent, objective, third-party research and consultative services. We believe that technology accounts for a significant portion of all capital spending. The intense scrutiny on technology spending ensures that our products and services remain necessary in the current economy because clients still need value-added, independent and objective research and analysis of the IT market.</w:t>
      </w:r>
    </w:p>
    <w:p>
      <w:pPr>
        <w:spacing w:after="0" w:line="118"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We are a leading provider of independent and objective research and analysis of the IT industry, and a source of insight about technology acquisition and deployment. Our global research community provides provocative thought leadership. We employ more research analysts than any competitor. Our experienced consultants combine our objective, independent research, with a practical, sought-after business perspective focused on the IT industry. Our events are among the world’s largest of their kind; gathering highly qualified audiences of senior business executives, IT professionals, purchasers and vendors of IT products and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services are Research, Consulting, and Events:</w:t>
      </w:r>
    </w:p>
    <w:p>
      <w:pPr>
        <w:spacing w:after="0" w:line="221" w:lineRule="exact"/>
        <w:rPr>
          <w:sz w:val="20"/>
          <w:szCs w:val="20"/>
          <w:color w:val="auto"/>
        </w:rPr>
      </w:pPr>
    </w:p>
    <w:p>
      <w:pPr>
        <w:ind w:left="200" w:hanging="192"/>
        <w:spacing w:after="0" w:line="303"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RESEARCH. </w:t>
      </w:r>
      <w:r>
        <w:rPr>
          <w:rFonts w:ascii="Arial" w:cs="Arial" w:eastAsia="Arial" w:hAnsi="Arial"/>
          <w:sz w:val="16"/>
          <w:szCs w:val="16"/>
          <w:color w:val="auto"/>
        </w:rPr>
        <w:t>Research on IT issues on a global scale is the fundamental building block for all Gartner services. Our research agenda is defined by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needs, focusing on the critical issues, opportunities and challenges they face every day. Research content, presented in the form of reports, briefings, updates and related tools, is delivered directly to the client’s desktop. Our research analysts provide in-depth analysis on all aspects of technology and telecommunications including: hardware, software and systems, services, IT management, market data and forecasts, and vertical industry issues.</w:t>
      </w:r>
    </w:p>
    <w:p>
      <w:pPr>
        <w:spacing w:after="0" w:line="15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Executive Programs (EXP) are exclusive membership programs designed to help CIOs and other executives become more effective in their enterprises. An EXP membership leverages the knowledge and expertise of Gartner in ways that are specific to the CIOs needs, and offers members-only communities for peer-based collaboration. Members also receive advice and counsel from a personal relationship manager who understands their goals and can ensure the most effective level of support from Gartner. Our Best Practices Programs bring together senior business and IT leaders for exclusive events, multi-client research studies and ad hoc peer exchange forums. These programs allow clients to learn from the experiences of their peers and share best practices in order to solve common business problems, improve corporate performance and drive greater effectiveness. At December 31, 2004, our various Executive Programs had a membership of approximately 2,700 CIOs and other senior IT leaders.</w:t>
      </w:r>
    </w:p>
    <w:p>
      <w:pPr>
        <w:spacing w:after="0" w:line="174" w:lineRule="exact"/>
        <w:rPr>
          <w:sz w:val="20"/>
          <w:szCs w:val="20"/>
          <w:color w:val="auto"/>
        </w:rPr>
      </w:pPr>
    </w:p>
    <w:p>
      <w:pPr>
        <w:ind w:left="200" w:right="360" w:hanging="192"/>
        <w:spacing w:after="0" w:line="313" w:lineRule="auto"/>
        <w:tabs>
          <w:tab w:leader="none" w:pos="2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CONSULTING. </w:t>
      </w:r>
      <w:r>
        <w:rPr>
          <w:rFonts w:ascii="Arial" w:cs="Arial" w:eastAsia="Arial" w:hAnsi="Arial"/>
          <w:sz w:val="17"/>
          <w:szCs w:val="17"/>
          <w:color w:val="auto"/>
        </w:rPr>
        <w:t>Our consulting staff provides customized project consulting on the delivery, deployment, and management of high-tech products and</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in four focus areas: IT Management and Measurement, Sourcing, Federal Government, and Market and Business Strategies:</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IT Management and Measurement. Successful IT organizations must operate with maximum effectiveness and efficiency while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color w:val="auto"/>
        </w:rPr>
        <w:t>delivering services that address the business and process issues of their enterprise. Our consultants provide advice and support that leverages the intelligence of our research to address and solve the top issues of the IT organization.</w:t>
      </w:r>
    </w:p>
    <w:p>
      <w:pPr>
        <w:spacing w:after="0" w:line="170" w:lineRule="exact"/>
        <w:rPr>
          <w:sz w:val="20"/>
          <w:szCs w:val="20"/>
          <w:color w:val="auto"/>
        </w:rPr>
      </w:pPr>
    </w:p>
    <w:p>
      <w:pPr>
        <w:ind w:left="180" w:right="280"/>
        <w:spacing w:after="0" w:line="264" w:lineRule="auto"/>
        <w:rPr>
          <w:sz w:val="20"/>
          <w:szCs w:val="20"/>
          <w:color w:val="auto"/>
        </w:rPr>
      </w:pPr>
      <w:r>
        <w:rPr>
          <w:rFonts w:ascii="Arial" w:cs="Arial" w:eastAsia="Arial" w:hAnsi="Arial"/>
          <w:sz w:val="18"/>
          <w:szCs w:val="18"/>
          <w:color w:val="auto"/>
        </w:rPr>
        <w:t>Sourcing. Virtually every major enterprise today is considering the issue of IT outsourcing, offshore resources and business process outsourcing. Our consultants provide advice and project management support across the four stages of the sourcing process: strategy, evaluation and selection of partners, contract development, and relationship management.</w:t>
      </w:r>
    </w:p>
    <w:p>
      <w:pPr>
        <w:spacing w:after="0" w:line="181" w:lineRule="exact"/>
        <w:rPr>
          <w:sz w:val="20"/>
          <w:szCs w:val="20"/>
          <w:color w:val="auto"/>
        </w:rPr>
      </w:pPr>
    </w:p>
    <w:p>
      <w:pPr>
        <w:ind w:left="180" w:right="180"/>
        <w:spacing w:after="0" w:line="342" w:lineRule="auto"/>
        <w:rPr>
          <w:sz w:val="20"/>
          <w:szCs w:val="20"/>
          <w:color w:val="auto"/>
        </w:rPr>
      </w:pPr>
      <w:r>
        <w:rPr>
          <w:rFonts w:ascii="Arial" w:cs="Arial" w:eastAsia="Arial" w:hAnsi="Arial"/>
          <w:sz w:val="16"/>
          <w:szCs w:val="16"/>
          <w:color w:val="auto"/>
        </w:rPr>
        <w:t>Federal Government. We are highly experienced in developing IT solutions that meet the unique challenges faced by federal agencies as they attempt to serve the public’s needs. Budgeting, procurement and re-engineering are just some of the issues our consultants have addressed in the public sector arena.</w:t>
      </w:r>
    </w:p>
    <w:p>
      <w:pPr>
        <w:spacing w:after="0" w:line="124" w:lineRule="exact"/>
        <w:rPr>
          <w:sz w:val="20"/>
          <w:szCs w:val="20"/>
          <w:color w:val="auto"/>
        </w:rPr>
      </w:pPr>
    </w:p>
    <w:p>
      <w:pPr>
        <w:jc w:val="both"/>
        <w:ind w:left="180" w:right="500"/>
        <w:spacing w:after="0" w:line="264" w:lineRule="auto"/>
        <w:rPr>
          <w:sz w:val="20"/>
          <w:szCs w:val="20"/>
          <w:color w:val="auto"/>
        </w:rPr>
      </w:pPr>
      <w:r>
        <w:rPr>
          <w:rFonts w:ascii="Arial" w:cs="Arial" w:eastAsia="Arial" w:hAnsi="Arial"/>
          <w:sz w:val="18"/>
          <w:szCs w:val="18"/>
          <w:color w:val="auto"/>
        </w:rPr>
        <w:t>Market and Business Strategies. The intelligence we gather through market research, client interaction and analysis is unique in the marketplace. Our consultants leverage this intelligence to assist technology companies in identifying market demand, improving products and defining the competitive landscape.</w:t>
      </w:r>
    </w:p>
    <w:p>
      <w:pPr>
        <w:spacing w:after="0" w:line="177" w:lineRule="exact"/>
        <w:rPr>
          <w:sz w:val="20"/>
          <w:szCs w:val="20"/>
          <w:color w:val="auto"/>
        </w:rPr>
      </w:pPr>
    </w:p>
    <w:p>
      <w:pPr>
        <w:ind w:left="180" w:right="160" w:hanging="172"/>
        <w:spacing w:after="0" w:line="258"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EVENTS. </w:t>
      </w:r>
      <w:r>
        <w:rPr>
          <w:rFonts w:ascii="Arial" w:cs="Arial" w:eastAsia="Arial" w:hAnsi="Arial"/>
          <w:sz w:val="18"/>
          <w:szCs w:val="18"/>
          <w:color w:val="auto"/>
        </w:rPr>
        <w:t>Symposia and conferences give clients live access to insights developed from our research in a concentrated way. In 2004, Gartner events</w:t>
      </w:r>
      <w:r>
        <w:rPr>
          <w:rFonts w:ascii="Arial" w:cs="Arial" w:eastAsia="Arial" w:hAnsi="Arial"/>
          <w:sz w:val="18"/>
          <w:szCs w:val="18"/>
          <w:b w:val="1"/>
          <w:bCs w:val="1"/>
          <w:color w:val="auto"/>
        </w:rPr>
        <w:t xml:space="preserve"> </w:t>
      </w:r>
      <w:r>
        <w:rPr>
          <w:rFonts w:ascii="Arial" w:cs="Arial" w:eastAsia="Arial" w:hAnsi="Arial"/>
          <w:sz w:val="18"/>
          <w:szCs w:val="18"/>
          <w:color w:val="auto"/>
        </w:rPr>
        <w:t>attracted nearly 31,000 participants. Gartner Symposium, offered each spring and fall in various international locations, is a large, strategic conference for senior IT and business professionals. Symposium is combined with ITxpo, an exhibition where the latest technology products and solutions are demonstrated. We also offer conferences on specialized topics such as: outsourcing, mobile wireless, customer relationship management, and application integration and business intelligence in many locations around the world.</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Note 15 – Segment Information to the Consolidated Financial Statements within this Form 10-K includes financial information about our geographic areas and our three business segments: research, consulting and events.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principal competitive factors that differentiate us from our competitors are:</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 quality, independence and objectivity of our research and analysis;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multi-faceted expertise across the IT industry and its technologies, both legacy and emerging;</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position as a research company with broad consulting capabilities;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position as a consulting firm with research analysts;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timely delivery of information;</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offer products that meet changing market needs at competitive prices;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superior customer service.</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face competition from a significant number of independent providers of information products and services. We compete indirectly against consulting firms and other information providers, including electronic and print media companies. These indirect competitors could choose to compete directly with us in the future. Additionally, we face competition from our clients receiving information from free sources through the Internet. Limited barriers to entry exist in the markets in which we do business. As a result, new competitors may emerge and existing competitors may start to provide additional or complementary services. However, we believe the breadth and depth of our research assets position us well versus our competition. Increased competition may result in us losing market share, diminished value in our products and services, reduced pricing and increased sales and marketing expenditures.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success has resulted in part from proprietary methodologies, software, reusable knowledge capital and other intellectual property rights. We rely on a combination of copyright, patent, trademark, trade secret, confidentiality, non-compete and other contractual provisions to protect our intellectual property rights. We have policies related to confidentiality and ownership and to the use and protection of Gartner’s intellectual property, and we also enter into agreements with our employees as appropriate.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recognize the value of our intellectual property in the marketplace and vigorously identify, create and protect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2004, we had 3,625 employees, of which 661 were located at our headquarters in Stamford, Connecticut; 1,649 were located at our other facilities in the United States; and 1,315 were located outside of the United States. Our employees may be subject to</w:t>
      </w:r>
    </w:p>
    <w:p>
      <w:pPr>
        <w:sectPr>
          <w:pgSz w:w="11900" w:h="16838" w:orient="portrait"/>
          <w:cols w:equalWidth="0" w:num="1">
            <w:col w:w="11420"/>
          </w:cols>
          <w:pgMar w:left="240" w:top="41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collective bargaining agreements at a company or industry level in those countries where this is part of the local labor law or practice. We have experienced no work stoppages and consider our relations with our employees to be favorable. In December 2004, we announced a restructuring plan that included a severance charge of $5.9 million as part of a workforce reduction as we continue to align our business resources with revenue expectations. Pursuant to that plan, during the fourth quarter of Calendar 2004, we reduced our workforce by 40 employees, or approximately 1% of our total workforce as of December 31, 2004. We expect additional reductions to occur during the first quarter of Calendar 2005, which will result in an additional severance charge estimated at between $5.0 to $6.0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www.gartner.com</w:t>
      </w:r>
      <w:r>
        <w:rPr>
          <w:rFonts w:ascii="Arial" w:cs="Arial" w:eastAsia="Arial" w:hAnsi="Arial"/>
          <w:sz w:val="17"/>
          <w:szCs w:val="17"/>
          <w:color w:val="auto"/>
        </w:rPr>
        <w:t xml:space="preserve"> and the investor relations section of our Web site is located at </w:t>
      </w:r>
      <w:r>
        <w:rPr>
          <w:rFonts w:ascii="Arial" w:cs="Arial" w:eastAsia="Arial" w:hAnsi="Arial"/>
          <w:sz w:val="17"/>
          <w:szCs w:val="17"/>
          <w:u w:val="single" w:color="auto"/>
          <w:color w:val="auto"/>
        </w:rPr>
        <w:t>www.gartner.com/investors</w:t>
      </w:r>
      <w:r>
        <w:rPr>
          <w:rFonts w:ascii="Arial" w:cs="Arial" w:eastAsia="Arial" w:hAnsi="Arial"/>
          <w:sz w:val="17"/>
          <w:szCs w:val="17"/>
          <w:color w:val="auto"/>
        </w:rPr>
        <w:t>. We make available free of charge, on or through the investor relations section of our Web site,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Also available at </w:t>
      </w:r>
      <w:r>
        <w:rPr>
          <w:rFonts w:ascii="Arial" w:cs="Arial" w:eastAsia="Arial" w:hAnsi="Arial"/>
          <w:sz w:val="18"/>
          <w:szCs w:val="18"/>
          <w:u w:val="single" w:color="auto"/>
          <w:color w:val="auto"/>
        </w:rPr>
        <w:t>www.gartner.com/investors</w:t>
      </w:r>
      <w:r>
        <w:rPr>
          <w:rFonts w:ascii="Arial" w:cs="Arial" w:eastAsia="Arial" w:hAnsi="Arial"/>
          <w:sz w:val="18"/>
          <w:szCs w:val="18"/>
          <w:color w:val="auto"/>
        </w:rPr>
        <w:t xml:space="preserve"> is information relating to our corporate governance. This includes (i) CEO &amp; CFO Code of Ethics which applies to our Chief Executive Officer, Chief Financial Officer, controller and other financial managers, (ii) Principles of Ethical Conduct which applies to all employees, (iii) Governance Guidelines, the corporate governance principles that have been adopted by our Board and (iv) charters for each of the Board’s committees. This information is also available in print to any shareholder who requests it by writing to Investor Relations, Gartner, Inc., 56 Top Gallant Road, Stamford, CT 06902.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corporate headquarters is located in approximately 213,000 square feet of leased office space in three buildings located in Stamford, Connecticut, USA. These facilities accommodate research and analysis, marketing, sales, client support, production and corporate administration. The leases on these facilities expire in 2010. We have a significant presence in the United Kingdom with approximately 72,000 square feet of leased office space in two buildings located in Egham, UK, for which the leases expire in 2020 and 2025, respectively. We have an additional 36 domestic and 50 international locations that support our research and analysis, domestic and international sales efforts and other functions. As part of our continuing effort to adjust our office space as needs change, we announced plans to reduce our office space in San Jose, California by consolidating employees from two buildings into one building in the second or third quarter of Calendar 2005, which we estimate will result in a charge from $6.0 to $7.0 million. We believe that our existing facilities are adequate for our current needs and that additional space will be available as needed.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are involved in legal proceedings and litigation arising in the ordinary course of business. We believe the outcome of all current proceedings, claims and litigation will not have a material effect on our financial position or results of operations when resolved in a future period.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did not submit any matter to a vote of our stockholders during the fourth quarter of the year covered by this Annual Report.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As of February 28, 2005, there were approximately 200 holders of record of our Class A Common Stock and approximately 3,029 holders of record of our Class B Common Stock. Our Class A and Class B Common Stock trade on the New York Stock Exchange under the symbols IT and ITB, respectively. The Class B Common Stock is identical in all respects to the Class A Common Stock, except that the Class B Common Stock is entitled to elect at least 80% of the members of our Board of Directors.</w:t>
      </w:r>
    </w:p>
    <w:p>
      <w:pPr>
        <w:spacing w:after="0" w:line="14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February 2005, we announced that the Board of Directors approved the combination of our Class A and Class B Common Stock. The combination is subject to stockholder approval at our annual meeting to take place in the late spring or early summer of 2005.</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high and low closing prices for our Class A Common Stock and Class B Common Stock as reported on the New York Stock Exchange for the periods indicated.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96"/>
              </w:rPr>
              <w:t>2004</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96"/>
              </w:rPr>
              <w:t>2003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High</w:t>
            </w:r>
          </w:p>
        </w:tc>
        <w:tc>
          <w:tcPr>
            <w:tcW w:w="5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High</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1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Quarter ended June 30</w:t>
            </w:r>
          </w:p>
        </w:tc>
        <w:tc>
          <w:tcPr>
            <w:tcW w:w="2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13.38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11.70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Quarter ended December 31</w:t>
            </w:r>
          </w:p>
        </w:tc>
        <w:tc>
          <w:tcPr>
            <w:tcW w:w="2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11.43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r>
      <w:tr>
        <w:trPr>
          <w:trHeight w:val="391"/>
        </w:trPr>
        <w:tc>
          <w:tcPr>
            <w:tcW w:w="474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96"/>
              </w:rPr>
              <w:t>2004</w:t>
            </w:r>
          </w:p>
        </w:tc>
        <w:tc>
          <w:tcPr>
            <w:tcW w:w="5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96"/>
              </w:rPr>
              <w:t>2003</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High</w:t>
            </w:r>
          </w:p>
        </w:tc>
        <w:tc>
          <w:tcPr>
            <w:tcW w:w="5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High</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Low</w:t>
            </w:r>
          </w:p>
        </w:tc>
        <w:tc>
          <w:tcPr>
            <w:tcW w:w="1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Quarter ended June 30</w:t>
            </w:r>
          </w:p>
        </w:tc>
        <w:tc>
          <w:tcPr>
            <w:tcW w:w="2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11.52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Quarter ended December 31</w:t>
            </w:r>
          </w:p>
        </w:tc>
        <w:tc>
          <w:tcPr>
            <w:tcW w:w="2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11.33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r>
    </w:tbl>
    <w:p>
      <w:pPr>
        <w:spacing w:after="0" w:line="14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did not purchase shares of our common stock for treasury during the fourth quarter of Calendar 2004. However, see “Executive Summary of Operations and Financial Position” in Item 7 for a discussion of shares repurchased during the first three-quarters of Calendar 2004.</w:t>
      </w:r>
    </w:p>
    <w:p>
      <w:pPr>
        <w:spacing w:after="0" w:line="120" w:lineRule="exact"/>
        <w:rPr>
          <w:sz w:val="20"/>
          <w:szCs w:val="20"/>
          <w:color w:val="auto"/>
        </w:rPr>
      </w:pPr>
    </w:p>
    <w:p>
      <w:pPr>
        <w:ind w:right="640"/>
        <w:spacing w:after="0" w:line="454" w:lineRule="auto"/>
        <w:rPr>
          <w:sz w:val="20"/>
          <w:szCs w:val="20"/>
          <w:color w:val="auto"/>
        </w:rPr>
      </w:pPr>
      <w:r>
        <w:rPr>
          <w:rFonts w:ascii="Arial" w:cs="Arial" w:eastAsia="Arial" w:hAnsi="Arial"/>
          <w:sz w:val="18"/>
          <w:szCs w:val="18"/>
          <w:color w:val="auto"/>
        </w:rPr>
        <w:t xml:space="preserve">The equity compensation plan information set forth in Part III, Item 12 of this Form 10-K is hereby incorporated by reference into this Part II, Item 5. </w:t>
      </w:r>
      <w:r>
        <w:rPr>
          <w:rFonts w:ascii="Arial" w:cs="Arial" w:eastAsia="Arial" w:hAnsi="Arial"/>
          <w:sz w:val="18"/>
          <w:szCs w:val="18"/>
          <w:b w:val="1"/>
          <w:bCs w:val="1"/>
          <w:color w:val="auto"/>
        </w:rPr>
        <w:t>DIVIDEND POLICY</w:t>
      </w:r>
    </w:p>
    <w:p>
      <w:pPr>
        <w:ind w:right="200"/>
        <w:spacing w:after="0" w:line="259" w:lineRule="auto"/>
        <w:rPr>
          <w:sz w:val="20"/>
          <w:szCs w:val="20"/>
          <w:color w:val="auto"/>
        </w:rPr>
      </w:pPr>
      <w:r>
        <w:rPr>
          <w:rFonts w:ascii="Arial" w:cs="Arial" w:eastAsia="Arial" w:hAnsi="Arial"/>
          <w:sz w:val="18"/>
          <w:szCs w:val="18"/>
          <w:color w:val="auto"/>
        </w:rPr>
        <w:t>We currently do not pay cash dividends on our Class A or Class B Common Stock. While subject to periodic review, the current policy of our Board of Directors is to retain all earnings primarily to provide funds for continued growth. Our Credit Agreement, dated August 12, 2004, contains a negative covenant, which may limit our ability to pay dividends. In addition, our Amended and Restated Security Holders Agreement with Silver Lake Partners, L.P. requires us to obtain Silver Lake’s consent prior to declaring or paying dividends.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changed our fiscal year-end from September 30 to December 31, effective January 1, 2003. References to Transition 2002, unless otherwise indicated, refer to the three-month transitional period ended December 31, 2002. References to Fiscal 2002 and Fiscal 2001, unless otherwise indicated, are to the respective fiscal year period from October 1 through September 30. References to Calendar 2004, Calendar 2003, and Calendar 2002, unless otherwise indicated, are to the respective twelve-month period from January 1 through December 31. We have included unaudited Statement of Operations Data for Calendar 2002 for informational purposes. This data was derived from Fiscal 2002 information, adjusted by information from Transition 2002 and the first quarter of Fiscal 2002. All of the information was derived from our audited financial statements included herein or in submissions of our Form 10-K in prior years. The selected financial data should be read in conjunction with our consolidated financial statements and related notes.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Calendar Year</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4"/>
              </w:rPr>
              <w:t>Transition</w:t>
            </w: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4"/>
                <w:szCs w:val="14"/>
                <w:color w:val="auto"/>
              </w:rPr>
              <w:t>Fiscal Year Ended September 30,</w:t>
            </w:r>
          </w:p>
        </w:tc>
        <w:tc>
          <w:tcPr>
            <w:tcW w:w="0" w:type="dxa"/>
            <w:vAlign w:val="bottom"/>
          </w:tcPr>
          <w:p>
            <w:pPr>
              <w:spacing w:after="0"/>
              <w:rPr>
                <w:sz w:val="1"/>
                <w:szCs w:val="1"/>
                <w:color w:val="auto"/>
              </w:rPr>
            </w:pPr>
          </w:p>
        </w:tc>
      </w:tr>
      <w:tr>
        <w:trPr>
          <w:trHeight w:val="149"/>
        </w:trPr>
        <w:tc>
          <w:tcPr>
            <w:tcW w:w="3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2004</w:t>
            </w:r>
          </w:p>
        </w:tc>
        <w:tc>
          <w:tcPr>
            <w:tcW w:w="340" w:type="dxa"/>
            <w:vAlign w:val="bottom"/>
          </w:tcPr>
          <w:p>
            <w:pPr>
              <w:spacing w:after="0"/>
              <w:rPr>
                <w:sz w:val="12"/>
                <w:szCs w:val="12"/>
                <w:color w:val="auto"/>
              </w:rPr>
            </w:pPr>
          </w:p>
        </w:tc>
        <w:tc>
          <w:tcPr>
            <w:tcW w:w="860" w:type="dxa"/>
            <w:vAlign w:val="bottom"/>
          </w:tcPr>
          <w:p>
            <w:pPr>
              <w:jc w:val="right"/>
              <w:ind w:right="171"/>
              <w:spacing w:after="0" w:line="142" w:lineRule="exact"/>
              <w:rPr>
                <w:sz w:val="20"/>
                <w:szCs w:val="20"/>
                <w:color w:val="auto"/>
              </w:rPr>
            </w:pPr>
            <w:r>
              <w:rPr>
                <w:rFonts w:ascii="Arial" w:cs="Arial" w:eastAsia="Arial" w:hAnsi="Arial"/>
                <w:sz w:val="14"/>
                <w:szCs w:val="14"/>
                <w:color w:val="auto"/>
              </w:rPr>
              <w:t>2003</w:t>
            </w:r>
          </w:p>
        </w:tc>
        <w:tc>
          <w:tcPr>
            <w:tcW w:w="280" w:type="dxa"/>
            <w:vAlign w:val="bottom"/>
          </w:tcPr>
          <w:p>
            <w:pPr>
              <w:spacing w:after="0"/>
              <w:rPr>
                <w:sz w:val="12"/>
                <w:szCs w:val="12"/>
                <w:color w:val="auto"/>
              </w:rPr>
            </w:pPr>
          </w:p>
        </w:tc>
        <w:tc>
          <w:tcPr>
            <w:tcW w:w="860" w:type="dxa"/>
            <w:vAlign w:val="bottom"/>
          </w:tcPr>
          <w:p>
            <w:pPr>
              <w:jc w:val="right"/>
              <w:ind w:right="171"/>
              <w:spacing w:after="0" w:line="142" w:lineRule="exact"/>
              <w:rPr>
                <w:sz w:val="20"/>
                <w:szCs w:val="20"/>
                <w:color w:val="auto"/>
              </w:rPr>
            </w:pPr>
            <w:r>
              <w:rPr>
                <w:rFonts w:ascii="Arial" w:cs="Arial" w:eastAsia="Arial" w:hAnsi="Arial"/>
                <w:sz w:val="14"/>
                <w:szCs w:val="14"/>
                <w:color w:val="auto"/>
              </w:rPr>
              <w:t>2002</w:t>
            </w:r>
          </w:p>
        </w:tc>
        <w:tc>
          <w:tcPr>
            <w:tcW w:w="280" w:type="dxa"/>
            <w:vAlign w:val="bottom"/>
          </w:tcPr>
          <w:p>
            <w:pPr>
              <w:spacing w:after="0"/>
              <w:rPr>
                <w:sz w:val="12"/>
                <w:szCs w:val="12"/>
                <w:color w:val="auto"/>
              </w:rPr>
            </w:pPr>
          </w:p>
        </w:tc>
        <w:tc>
          <w:tcPr>
            <w:tcW w:w="860" w:type="dxa"/>
            <w:vAlign w:val="bottom"/>
          </w:tcPr>
          <w:p>
            <w:pPr>
              <w:jc w:val="right"/>
              <w:ind w:right="172"/>
              <w:spacing w:after="0" w:line="142" w:lineRule="exact"/>
              <w:rPr>
                <w:sz w:val="20"/>
                <w:szCs w:val="20"/>
                <w:color w:val="auto"/>
              </w:rPr>
            </w:pPr>
            <w:r>
              <w:rPr>
                <w:rFonts w:ascii="Arial" w:cs="Arial" w:eastAsia="Arial" w:hAnsi="Arial"/>
                <w:sz w:val="14"/>
                <w:szCs w:val="14"/>
                <w:color w:val="auto"/>
              </w:rPr>
              <w:t>2002</w:t>
            </w:r>
          </w:p>
        </w:tc>
        <w:tc>
          <w:tcPr>
            <w:tcW w:w="300" w:type="dxa"/>
            <w:vAlign w:val="bottom"/>
          </w:tcPr>
          <w:p>
            <w:pPr>
              <w:spacing w:after="0"/>
              <w:rPr>
                <w:sz w:val="12"/>
                <w:szCs w:val="12"/>
                <w:color w:val="auto"/>
              </w:rPr>
            </w:pPr>
          </w:p>
        </w:tc>
        <w:tc>
          <w:tcPr>
            <w:tcW w:w="84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2002</w:t>
            </w:r>
          </w:p>
        </w:tc>
        <w:tc>
          <w:tcPr>
            <w:tcW w:w="300" w:type="dxa"/>
            <w:vAlign w:val="bottom"/>
          </w:tcPr>
          <w:p>
            <w:pPr>
              <w:spacing w:after="0"/>
              <w:rPr>
                <w:sz w:val="12"/>
                <w:szCs w:val="12"/>
                <w:color w:val="auto"/>
              </w:rPr>
            </w:pPr>
          </w:p>
        </w:tc>
        <w:tc>
          <w:tcPr>
            <w:tcW w:w="860" w:type="dxa"/>
            <w:vAlign w:val="bottom"/>
          </w:tcPr>
          <w:p>
            <w:pPr>
              <w:jc w:val="right"/>
              <w:ind w:right="171"/>
              <w:spacing w:after="0" w:line="142" w:lineRule="exact"/>
              <w:rPr>
                <w:sz w:val="20"/>
                <w:szCs w:val="20"/>
                <w:color w:val="auto"/>
              </w:rPr>
            </w:pPr>
            <w:r>
              <w:rPr>
                <w:rFonts w:ascii="Arial" w:cs="Arial" w:eastAsia="Arial" w:hAnsi="Arial"/>
                <w:sz w:val="14"/>
                <w:szCs w:val="14"/>
                <w:color w:val="auto"/>
              </w:rPr>
              <w:t>2001</w:t>
            </w:r>
          </w:p>
        </w:tc>
        <w:tc>
          <w:tcPr>
            <w:tcW w:w="300" w:type="dxa"/>
            <w:vAlign w:val="bottom"/>
          </w:tcPr>
          <w:p>
            <w:pPr>
              <w:spacing w:after="0"/>
              <w:rPr>
                <w:sz w:val="12"/>
                <w:szCs w:val="12"/>
                <w:color w:val="auto"/>
              </w:rPr>
            </w:pPr>
          </w:p>
        </w:tc>
        <w:tc>
          <w:tcPr>
            <w:tcW w:w="700" w:type="dxa"/>
            <w:vAlign w:val="bottom"/>
          </w:tcPr>
          <w:p>
            <w:pPr>
              <w:jc w:val="right"/>
              <w:ind w:right="11"/>
              <w:spacing w:after="0" w:line="142"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9"/>
              </w:rPr>
              <w:t>480,486</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466,907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486,967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120,038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496,403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535,114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509,781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Consulting</w:t>
            </w:r>
          </w:p>
        </w:tc>
        <w:tc>
          <w:tcPr>
            <w:tcW w:w="100" w:type="dxa"/>
            <w:vAlign w:val="bottom"/>
          </w:tcPr>
          <w:p>
            <w:pPr>
              <w:spacing w:after="0"/>
              <w:rPr>
                <w:sz w:val="18"/>
                <w:szCs w:val="18"/>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w w:val="89"/>
              </w:rPr>
              <w:t>259,419</w:t>
            </w:r>
          </w:p>
        </w:tc>
        <w:tc>
          <w:tcPr>
            <w:tcW w:w="34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258,628</w:t>
            </w: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276,059</w:t>
            </w:r>
          </w:p>
        </w:tc>
        <w:tc>
          <w:tcPr>
            <w:tcW w:w="28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58,098</w:t>
            </w:r>
          </w:p>
        </w:tc>
        <w:tc>
          <w:tcPr>
            <w:tcW w:w="3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w w:val="89"/>
              </w:rPr>
              <w:t>273,692</w:t>
            </w:r>
          </w:p>
        </w:tc>
        <w:tc>
          <w:tcPr>
            <w:tcW w:w="3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276,292</w:t>
            </w:r>
          </w:p>
        </w:tc>
        <w:tc>
          <w:tcPr>
            <w:tcW w:w="3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216,667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Events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9"/>
              </w:rPr>
              <w:t>138,393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119,355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109,694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47,169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121,991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132,684</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108,589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15,523</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13,556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14,873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4,509</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15,088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18,794</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9"/>
              </w:rPr>
              <w:t>893,821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858,446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887,593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229,814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907,174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962,884</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862,451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42,659</w:t>
            </w:r>
          </w:p>
        </w:tc>
        <w:tc>
          <w:tcPr>
            <w:tcW w:w="34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47,333</w:t>
            </w: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49,541</w:t>
            </w:r>
          </w:p>
        </w:tc>
        <w:tc>
          <w:tcPr>
            <w:tcW w:w="28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5"/>
              </w:rPr>
              <w:t>(12,886)</w:t>
            </w:r>
          </w:p>
        </w:tc>
        <w:tc>
          <w:tcPr>
            <w:tcW w:w="3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96,183</w:t>
            </w:r>
          </w:p>
        </w:tc>
        <w:tc>
          <w:tcPr>
            <w:tcW w:w="3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42,043</w:t>
            </w:r>
          </w:p>
        </w:tc>
        <w:tc>
          <w:tcPr>
            <w:tcW w:w="3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16,889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23,589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15,118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5"/>
              </w:rPr>
              <w:t>(14,418)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48,423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(691)</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Loss from discontinued operation</w:t>
            </w:r>
          </w:p>
        </w:tc>
        <w:tc>
          <w:tcPr>
            <w:tcW w:w="100" w:type="dxa"/>
            <w:vAlign w:val="bottom"/>
          </w:tcPr>
          <w:p>
            <w:pPr>
              <w:spacing w:after="0"/>
              <w:rPr>
                <w:sz w:val="18"/>
                <w:szCs w:val="18"/>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w w:val="95"/>
              </w:rPr>
              <w:t>(65,983)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16,889</w:t>
            </w:r>
          </w:p>
        </w:tc>
        <w:tc>
          <w:tcPr>
            <w:tcW w:w="3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23,589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15,118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5"/>
              </w:rPr>
              <w:t>(14,418)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48,423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5"/>
              </w:rPr>
              <w:t>(66,674)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25,546</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0.14</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0.26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0.58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(0.01)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discontinued operation</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(0.77)</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0.14</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0.26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(0.18)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0.58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(0.78)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1"/>
              <w:spacing w:after="0"/>
              <w:rPr>
                <w:sz w:val="20"/>
                <w:szCs w:val="20"/>
                <w:color w:val="auto"/>
              </w:rPr>
            </w:pPr>
            <w:r>
              <w:rPr>
                <w:rFonts w:ascii="Arial" w:cs="Arial" w:eastAsia="Arial" w:hAnsi="Arial"/>
                <w:sz w:val="18"/>
                <w:szCs w:val="18"/>
                <w:color w:val="auto"/>
              </w:rPr>
              <w:t>0.13</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0.25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0.18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0.46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(0.01)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discontinued operation</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(0.77)</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0.13</w:t>
            </w: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(0.18)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0.46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(0.78)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w w:val="89"/>
              </w:rPr>
              <w:t>123,603</w:t>
            </w:r>
          </w:p>
        </w:tc>
        <w:tc>
          <w:tcPr>
            <w:tcW w:w="34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91,123</w:t>
            </w: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83,329</w:t>
            </w:r>
          </w:p>
        </w:tc>
        <w:tc>
          <w:tcPr>
            <w:tcW w:w="28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81,379</w:t>
            </w:r>
          </w:p>
        </w:tc>
        <w:tc>
          <w:tcPr>
            <w:tcW w:w="3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83,586</w:t>
            </w:r>
          </w:p>
        </w:tc>
        <w:tc>
          <w:tcPr>
            <w:tcW w:w="3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85,862</w:t>
            </w:r>
          </w:p>
        </w:tc>
        <w:tc>
          <w:tcPr>
            <w:tcW w:w="3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9"/>
              </w:rPr>
              <w:t>126,326</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92,579</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85,040</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81,379</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89"/>
              </w:rPr>
              <w:t>130,882</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85,862</w:t>
            </w: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97,889</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DATA</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Cash, cash equivalents and marketable equity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9"/>
              </w:rPr>
              <w:t>160,126</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229,962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109,657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109,657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124,793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40,378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color w:val="auto"/>
                <w:w w:val="89"/>
              </w:rPr>
              <w:t>861,194</w:t>
            </w:r>
          </w:p>
        </w:tc>
        <w:tc>
          <w:tcPr>
            <w:tcW w:w="34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918,732</w:t>
            </w:r>
          </w:p>
        </w:tc>
        <w:tc>
          <w:tcPr>
            <w:tcW w:w="28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808,909</w:t>
            </w:r>
          </w:p>
        </w:tc>
        <w:tc>
          <w:tcPr>
            <w:tcW w:w="28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w w:val="89"/>
              </w:rPr>
              <w:t>808,909</w:t>
            </w:r>
          </w:p>
        </w:tc>
        <w:tc>
          <w:tcPr>
            <w:tcW w:w="3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w w:val="89"/>
              </w:rPr>
              <w:t>814,003</w:t>
            </w:r>
          </w:p>
        </w:tc>
        <w:tc>
          <w:tcPr>
            <w:tcW w:w="3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835,148</w:t>
            </w:r>
          </w:p>
        </w:tc>
        <w:tc>
          <w:tcPr>
            <w:tcW w:w="30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972,361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9"/>
              </w:rPr>
              <w:t>150,000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351,539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351,539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89"/>
              </w:rPr>
              <w:t>346,300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326,200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307,254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9"/>
              </w:rPr>
              <w:t>130,048</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89"/>
              </w:rPr>
              <w:t>374,790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5"/>
              </w:rPr>
              <w:t>(29,408)</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5"/>
              </w:rPr>
              <w:t>(29,408)</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(5,596)</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5"/>
              </w:rPr>
              <w:t>(34,998)</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data from continuing operations:</w:t>
      </w:r>
    </w:p>
    <w:p>
      <w:pPr>
        <w:spacing w:after="0" w:line="225" w:lineRule="exact"/>
        <w:rPr>
          <w:sz w:val="20"/>
          <w:szCs w:val="20"/>
          <w:color w:val="auto"/>
        </w:rPr>
      </w:pPr>
    </w:p>
    <w:p>
      <w:pPr>
        <w:ind w:left="180" w:right="40" w:hanging="172"/>
        <w:spacing w:after="0" w:line="259"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third quarter of Calendar 2004, we completed a tender offer in which we repurchased approximately 11.3 million shares of our Class A common stock and 5.5 million shares of our Class B common stock. Additionally, we also repurchased approximately 9.2 million Class A shares from Silver Lake Partners and certain of its affiliates. We borrowed $200.0 million in connection with these purchases. During Calendar 2003, our long-term debt was converted into equity.</w:t>
      </w:r>
    </w:p>
    <w:p>
      <w:pPr>
        <w:spacing w:after="0" w:line="186" w:lineRule="exact"/>
        <w:rPr>
          <w:rFonts w:ascii="Arial" w:cs="Arial" w:eastAsia="Arial" w:hAnsi="Arial"/>
          <w:sz w:val="18"/>
          <w:szCs w:val="18"/>
          <w:color w:val="auto"/>
        </w:rPr>
      </w:pPr>
    </w:p>
    <w:p>
      <w:pPr>
        <w:ind w:left="180" w:right="100" w:hanging="172"/>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charges, which included costs for severance, excess facilities, impairment of long-lived assets and exit from certain non-core product lines, on a pre-tax basis, of $35.8 million for Calendar 2004, $29.7 million for Calendar 2003, $49.4 million for Calendar 2002, $32.2 million for Transition 2002, $17.2 million for Fiscal 2002, $46.6 million for Fiscal 2001, and $0 for Fiscal 2000.</w:t>
      </w:r>
    </w:p>
    <w:p>
      <w:pPr>
        <w:spacing w:after="0" w:line="181" w:lineRule="exact"/>
        <w:rPr>
          <w:rFonts w:ascii="Arial" w:cs="Arial" w:eastAsia="Arial" w:hAnsi="Arial"/>
          <w:sz w:val="18"/>
          <w:szCs w:val="18"/>
          <w:color w:val="auto"/>
        </w:rPr>
      </w:pPr>
    </w:p>
    <w:p>
      <w:pPr>
        <w:ind w:left="180" w:right="480" w:hanging="172"/>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Pre-tax charges for the impairment of investments of $3.0 million for Calendar 2004, $0.9 million for Calendar 2003, $4.2 million for Calendar 2002, $1.7 million for Transition 2002, $2.5 million for Fiscal 2002, $30.4 million for Fiscal 2001, and $0 for Fiscal 2000.</w:t>
      </w:r>
    </w:p>
    <w:p>
      <w:pPr>
        <w:spacing w:after="0" w:line="170" w:lineRule="exact"/>
        <w:rPr>
          <w:rFonts w:ascii="Arial" w:cs="Arial" w:eastAsia="Arial" w:hAnsi="Arial"/>
          <w:sz w:val="18"/>
          <w:szCs w:val="18"/>
          <w:color w:val="auto"/>
        </w:rPr>
      </w:pPr>
    </w:p>
    <w:p>
      <w:pPr>
        <w:ind w:left="180" w:right="100" w:hanging="172"/>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Pre-tax goodwill impairment charges of $2.7 million for Calendar 2004. In the same year, $3.1 million of foreign currency charges related to the closing of certain operations in South America.</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(losses) on investments or assets and associated insurance claims, on a pre-tax basis, of $5.5 million for Calendar 2003, $0.5</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million for Calendar 2002, $1.3 million for Fiscal 2002, $(0.6) million for Fiscal 2001, and $29.6 million for Fiscal 2000.</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tax benefit of $14.5 million for Fiscal 2001 due to the utilization of foreign tax credits.</w:t>
      </w:r>
    </w:p>
    <w:p>
      <w:pPr>
        <w:spacing w:after="0" w:line="225" w:lineRule="exact"/>
        <w:rPr>
          <w:rFonts w:ascii="Arial" w:cs="Arial" w:eastAsia="Arial" w:hAnsi="Arial"/>
          <w:sz w:val="18"/>
          <w:szCs w:val="18"/>
          <w:color w:val="auto"/>
        </w:rPr>
      </w:pPr>
    </w:p>
    <w:p>
      <w:pPr>
        <w:ind w:left="180" w:right="420" w:hanging="172"/>
        <w:spacing w:after="0" w:line="31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Calendar 2003, Fiscal 2002, and Fiscal 2001 have been adjusted to reflect the impact of $0.1 million, $0.1 million, and $0.5 million, respectively, of additional pension expense, net. The effect of the adjustments on each of the aforementioned previously reported annual financial statements was not material. See Note 3 – Correction of SFAS 87 Accounting Treatment in the Notes to the Consolidated Financial Statements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historical information, this Annual Report contains forward-looking statements. Forward-looking statements are any statements other than statements of historical fact, including statements regarding our expectations, beliefs, hopes, intentions or strategies regarding the future. In some cases, forward-looking statements can be identified by the use of words such as “may,” “will,” “expect,” “should,” “could,” “believe,” ‘plan,” “anticipate,” “estimate,” “predict,” “potential,” “continue,” or other words of similar meaning. Forward-looking statements are subject to risks and uncertainties that could cause actual results to differ materially from those discussed in, or implied by, the forward-looking statements. Factors that might cause such a difference include, but are not limited to, those discussed in “Factors That May Affect Future Results” below. Readers should not place undue reliance on these forward-looking statements, which reflect management’s opinion only as of the date on which they were made. Except as required by law, we disclaim any obligation to review or update these forward-looking statements to reflect events or circumstances as they occur. Readers should review carefully any risk factors described in our reports filed with the Securities and Exchange Commission.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With the convergence of IT and business, technology has become increasingly more important – not just to technology professionals, but also to business executives. We are an independent and objective research and advisory firm that helps IT and business executives use technology to build, guide and grow their enterprises.</w:t>
      </w:r>
    </w:p>
    <w:p>
      <w:pPr>
        <w:spacing w:after="0" w:line="14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employ a diversified business model that leverages the breadth and depth of our research intellectual capital while enabling us to maintain and grow our market-leading position and brand franchise. Our strategy is to align our resources and our infrastructure to leverage that intellectual capital into additional revenue streams through effective packaging, campaigning and cross-selling of our products and services. Our diversified business model provides multiple entry points and synergies that facilitate increased client spending on our research, consulting and events. A key strategy is to increase business volume with our most valuable clients, identifying relationships with the greatest sales potential and expanding those relationships by offering strategically relevant research and analysis.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We intend to maintain a balance between (1) pursuing opportunities and applying resources with a strict focus on growing our three core businesses and</w:t>
      </w:r>
    </w:p>
    <w:p>
      <w:pPr>
        <w:spacing w:after="0" w:line="46" w:lineRule="exact"/>
        <w:rPr>
          <w:sz w:val="20"/>
          <w:szCs w:val="20"/>
          <w:color w:val="auto"/>
        </w:rPr>
      </w:pPr>
    </w:p>
    <w:p>
      <w:pPr>
        <w:ind w:right="6620" w:firstLine="8"/>
        <w:spacing w:after="0" w:line="534"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generating profitability through a streamlined cost structure. We have three business segments: research, consulting and events.</w:t>
      </w:r>
    </w:p>
    <w:p>
      <w:pPr>
        <w:ind w:left="180" w:right="520" w:hanging="172"/>
        <w:spacing w:after="0" w:line="347"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Research </w:t>
      </w:r>
      <w:r>
        <w:rPr>
          <w:rFonts w:ascii="Arial" w:cs="Arial" w:eastAsia="Arial" w:hAnsi="Arial"/>
          <w:sz w:val="16"/>
          <w:szCs w:val="16"/>
          <w:color w:val="auto"/>
        </w:rPr>
        <w:t>provides research content and advice for IT professionals, technology companies and the investment community in the form of reports and</w:t>
      </w:r>
      <w:r>
        <w:rPr>
          <w:rFonts w:ascii="Arial" w:cs="Arial" w:eastAsia="Arial" w:hAnsi="Arial"/>
          <w:sz w:val="16"/>
          <w:szCs w:val="16"/>
          <w:b w:val="1"/>
          <w:bCs w:val="1"/>
          <w:color w:val="auto"/>
        </w:rPr>
        <w:t xml:space="preserve"> </w:t>
      </w:r>
      <w:r>
        <w:rPr>
          <w:rFonts w:ascii="Arial" w:cs="Arial" w:eastAsia="Arial" w:hAnsi="Arial"/>
          <w:sz w:val="16"/>
          <w:szCs w:val="16"/>
          <w:color w:val="auto"/>
        </w:rPr>
        <w:t>briefings, as well as peer networking services and membership programs designed specifically for CIOs and other senior executives.</w:t>
      </w:r>
    </w:p>
    <w:p>
      <w:pPr>
        <w:spacing w:after="0" w:line="116" w:lineRule="exact"/>
        <w:rPr>
          <w:rFonts w:ascii="Arial" w:cs="Arial" w:eastAsia="Arial" w:hAnsi="Arial"/>
          <w:sz w:val="16"/>
          <w:szCs w:val="16"/>
          <w:color w:val="auto"/>
        </w:rPr>
      </w:pPr>
    </w:p>
    <w:p>
      <w:pPr>
        <w:ind w:left="180" w:right="460" w:hanging="172"/>
        <w:spacing w:after="0" w:line="282"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Consulting </w:t>
      </w:r>
      <w:r>
        <w:rPr>
          <w:rFonts w:ascii="Arial" w:cs="Arial" w:eastAsia="Arial" w:hAnsi="Arial"/>
          <w:sz w:val="18"/>
          <w:szCs w:val="18"/>
          <w:color w:val="auto"/>
        </w:rPr>
        <w:t>consists primarily of consulting, measurement engagements and strategic advisory services (paid one-day analyst engagements) (“SAS”),</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provide assessments of cost, performance, efficiency and quality focused on the IT industry.</w:t>
      </w:r>
    </w:p>
    <w:p>
      <w:pPr>
        <w:spacing w:after="0" w:line="161"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Events </w:t>
      </w:r>
      <w:r>
        <w:rPr>
          <w:rFonts w:ascii="Arial" w:cs="Arial" w:eastAsia="Arial" w:hAnsi="Arial"/>
          <w:sz w:val="18"/>
          <w:szCs w:val="18"/>
          <w:color w:val="auto"/>
        </w:rPr>
        <w:t>consists of various symposia, conferences and exhibitions focused on the IT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business measurements are important performance indicators for our business segments: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Business Segment</w:t>
            </w:r>
          </w:p>
        </w:tc>
        <w:tc>
          <w:tcPr>
            <w:tcW w:w="10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BUSINESS MEASUREMENTS</w:t>
            </w:r>
          </w:p>
        </w:tc>
      </w:tr>
      <w:tr>
        <w:trPr>
          <w:trHeight w:val="195"/>
        </w:trPr>
        <w:tc>
          <w:tcPr>
            <w:tcW w:w="1240" w:type="dxa"/>
            <w:vAlign w:val="bottom"/>
          </w:tcPr>
          <w:p>
            <w:pPr>
              <w:spacing w:after="0" w:line="195" w:lineRule="exact"/>
              <w:rPr>
                <w:sz w:val="20"/>
                <w:szCs w:val="20"/>
                <w:color w:val="auto"/>
              </w:rPr>
            </w:pPr>
            <w:r>
              <w:rPr>
                <w:rFonts w:ascii="Arial" w:cs="Arial" w:eastAsia="Arial" w:hAnsi="Arial"/>
                <w:sz w:val="18"/>
                <w:szCs w:val="18"/>
                <w:color w:val="auto"/>
              </w:rPr>
              <w:t>Research</w:t>
            </w:r>
          </w:p>
        </w:tc>
        <w:tc>
          <w:tcPr>
            <w:tcW w:w="10180" w:type="dxa"/>
            <w:vAlign w:val="bottom"/>
          </w:tcPr>
          <w:p>
            <w:pPr>
              <w:ind w:left="140"/>
              <w:spacing w:after="0" w:line="195" w:lineRule="exact"/>
              <w:rPr>
                <w:sz w:val="20"/>
                <w:szCs w:val="20"/>
                <w:color w:val="auto"/>
              </w:rPr>
            </w:pPr>
            <w:r>
              <w:rPr>
                <w:rFonts w:ascii="Arial" w:cs="Arial" w:eastAsia="Arial" w:hAnsi="Arial"/>
                <w:sz w:val="18"/>
                <w:szCs w:val="18"/>
                <w:b w:val="1"/>
                <w:bCs w:val="1"/>
                <w:color w:val="auto"/>
                <w:w w:val="92"/>
              </w:rPr>
              <w:t xml:space="preserve">Contract value </w:t>
            </w:r>
            <w:r>
              <w:rPr>
                <w:rFonts w:ascii="Arial" w:cs="Arial" w:eastAsia="Arial" w:hAnsi="Arial"/>
                <w:sz w:val="18"/>
                <w:szCs w:val="18"/>
                <w:color w:val="auto"/>
                <w:w w:val="92"/>
              </w:rPr>
              <w:t>represents the value attributable to all of our subscription-related research products that recognize revenue on a ratable</w:t>
            </w:r>
          </w:p>
        </w:tc>
      </w:tr>
      <w:tr>
        <w:trPr>
          <w:trHeight w:val="216"/>
        </w:trPr>
        <w:tc>
          <w:tcPr>
            <w:tcW w:w="1240" w:type="dxa"/>
            <w:vAlign w:val="bottom"/>
          </w:tcPr>
          <w:p>
            <w:pPr>
              <w:spacing w:after="0"/>
              <w:rPr>
                <w:sz w:val="18"/>
                <w:szCs w:val="18"/>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w w:val="91"/>
              </w:rPr>
              <w:t>basis. Contract value is calculated as the annualized value of all subscription research contracts in effect at a specific point in time, without</w:t>
            </w:r>
          </w:p>
        </w:tc>
      </w:tr>
      <w:tr>
        <w:trPr>
          <w:trHeight w:val="212"/>
        </w:trPr>
        <w:tc>
          <w:tcPr>
            <w:tcW w:w="1240" w:type="dxa"/>
            <w:vAlign w:val="bottom"/>
          </w:tcPr>
          <w:p>
            <w:pPr>
              <w:spacing w:after="0"/>
              <w:rPr>
                <w:sz w:val="18"/>
                <w:szCs w:val="18"/>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rPr>
              <w:t>regard to the duration of the contract.</w:t>
            </w:r>
          </w:p>
        </w:tc>
      </w:tr>
      <w:tr>
        <w:trPr>
          <w:trHeight w:val="220"/>
        </w:trPr>
        <w:tc>
          <w:tcPr>
            <w:tcW w:w="1240" w:type="dxa"/>
            <w:vAlign w:val="bottom"/>
          </w:tcPr>
          <w:p>
            <w:pPr>
              <w:spacing w:after="0"/>
              <w:rPr>
                <w:sz w:val="19"/>
                <w:szCs w:val="19"/>
                <w:color w:val="auto"/>
              </w:rPr>
            </w:pPr>
          </w:p>
        </w:tc>
        <w:tc>
          <w:tcPr>
            <w:tcW w:w="10180" w:type="dxa"/>
            <w:vAlign w:val="bottom"/>
          </w:tcPr>
          <w:p>
            <w:pPr>
              <w:ind w:left="140"/>
              <w:spacing w:after="0"/>
              <w:rPr>
                <w:sz w:val="20"/>
                <w:szCs w:val="20"/>
                <w:color w:val="auto"/>
              </w:rPr>
            </w:pPr>
            <w:r>
              <w:rPr>
                <w:rFonts w:ascii="Arial" w:cs="Arial" w:eastAsia="Arial" w:hAnsi="Arial"/>
                <w:sz w:val="18"/>
                <w:szCs w:val="18"/>
                <w:b w:val="1"/>
                <w:bCs w:val="1"/>
                <w:color w:val="auto"/>
                <w:w w:val="94"/>
              </w:rPr>
              <w:t xml:space="preserve">Client retention rate </w:t>
            </w:r>
            <w:r>
              <w:rPr>
                <w:rFonts w:ascii="Arial" w:cs="Arial" w:eastAsia="Arial" w:hAnsi="Arial"/>
                <w:sz w:val="18"/>
                <w:szCs w:val="18"/>
                <w:color w:val="auto"/>
                <w:w w:val="94"/>
              </w:rPr>
              <w:t>represents a measure of client satisfaction and renewed business relationships at a specific point in time. Client</w:t>
            </w:r>
          </w:p>
        </w:tc>
      </w:tr>
      <w:tr>
        <w:trPr>
          <w:trHeight w:val="216"/>
        </w:trPr>
        <w:tc>
          <w:tcPr>
            <w:tcW w:w="1240" w:type="dxa"/>
            <w:vAlign w:val="bottom"/>
          </w:tcPr>
          <w:p>
            <w:pPr>
              <w:spacing w:after="0"/>
              <w:rPr>
                <w:sz w:val="18"/>
                <w:szCs w:val="18"/>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w w:val="93"/>
              </w:rPr>
              <w:t>retention is calculated on a percentage basis by dividing our current clients, who were also clients a year ago, by all clients from a year</w:t>
            </w:r>
          </w:p>
        </w:tc>
      </w:tr>
      <w:tr>
        <w:trPr>
          <w:trHeight w:val="230"/>
        </w:trPr>
        <w:tc>
          <w:tcPr>
            <w:tcW w:w="124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rPr>
              <w:t>ago.</w:t>
            </w:r>
          </w:p>
        </w:tc>
      </w:tr>
    </w:tbl>
    <w:p>
      <w:pPr>
        <w:spacing w:after="0" w:line="161"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Business Segment</w:t>
            </w:r>
          </w:p>
        </w:tc>
        <w:tc>
          <w:tcPr>
            <w:tcW w:w="220" w:type="dxa"/>
            <w:vAlign w:val="bottom"/>
          </w:tcPr>
          <w:p>
            <w:pPr>
              <w:spacing w:after="0"/>
              <w:rPr>
                <w:sz w:val="14"/>
                <w:szCs w:val="14"/>
                <w:color w:val="auto"/>
              </w:rPr>
            </w:pPr>
          </w:p>
        </w:tc>
        <w:tc>
          <w:tcPr>
            <w:tcW w:w="10040" w:type="dxa"/>
            <w:vAlign w:val="bottom"/>
          </w:tcPr>
          <w:p>
            <w:pPr>
              <w:spacing w:after="0"/>
              <w:rPr>
                <w:sz w:val="20"/>
                <w:szCs w:val="20"/>
                <w:color w:val="auto"/>
              </w:rPr>
            </w:pPr>
            <w:r>
              <w:rPr>
                <w:rFonts w:ascii="Arial" w:cs="Arial" w:eastAsia="Arial" w:hAnsi="Arial"/>
                <w:sz w:val="14"/>
                <w:szCs w:val="14"/>
                <w:b w:val="1"/>
                <w:bCs w:val="1"/>
                <w:color w:val="auto"/>
              </w:rPr>
              <w:t>BUSINESS MEASUREMENTS</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w w:val="93"/>
              </w:rPr>
              <w:t xml:space="preserve">Wallet retention rate </w:t>
            </w:r>
            <w:r>
              <w:rPr>
                <w:rFonts w:ascii="Arial" w:cs="Arial" w:eastAsia="Arial" w:hAnsi="Arial"/>
                <w:sz w:val="18"/>
                <w:szCs w:val="18"/>
                <w:color w:val="auto"/>
                <w:w w:val="93"/>
              </w:rPr>
              <w:t>represents a measure of the amount of contract value we have retained with clients over a twelve-month period.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Wallet retention is calculated on a percentage basis by dividing the contract value of clients, who were clients one year earlier, by the total</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contract value from a year earlier. When wallet retention exceeds client retention, it is an indication of retention of higher-spending clients,</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or increased spending by retained clients, or both.</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 xml:space="preserve">Number of executive program members </w:t>
            </w:r>
            <w:r>
              <w:rPr>
                <w:rFonts w:ascii="Arial" w:cs="Arial" w:eastAsia="Arial" w:hAnsi="Arial"/>
                <w:sz w:val="18"/>
                <w:szCs w:val="18"/>
                <w:color w:val="auto"/>
              </w:rPr>
              <w:t>represents the number of paid participants in executive programs.</w:t>
            </w:r>
          </w:p>
        </w:tc>
      </w:tr>
      <w:tr>
        <w:trPr>
          <w:trHeight w:val="216"/>
        </w:trPr>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Consulting</w:t>
            </w:r>
          </w:p>
        </w:tc>
        <w:tc>
          <w:tcPr>
            <w:tcW w:w="220" w:type="dxa"/>
            <w:vAlign w:val="bottom"/>
            <w:tcBorders>
              <w:top w:val="single" w:sz="8" w:color="auto"/>
            </w:tcBorders>
          </w:tcPr>
          <w:p>
            <w:pPr>
              <w:spacing w:after="0"/>
              <w:rPr>
                <w:sz w:val="18"/>
                <w:szCs w:val="18"/>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3"/>
              </w:rPr>
              <w:t xml:space="preserve">Consulting backlog </w:t>
            </w:r>
            <w:r>
              <w:rPr>
                <w:rFonts w:ascii="Arial" w:cs="Arial" w:eastAsia="Arial" w:hAnsi="Arial"/>
                <w:sz w:val="18"/>
                <w:szCs w:val="18"/>
                <w:color w:val="auto"/>
                <w:w w:val="93"/>
              </w:rPr>
              <w:t>represents future revenue to be derived from in-process consulting, measurement and strategic advisory services</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engagements.</w:t>
            </w: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w w:val="96"/>
              </w:rPr>
              <w:t xml:space="preserve">Utilization rates </w:t>
            </w:r>
            <w:r>
              <w:rPr>
                <w:rFonts w:ascii="Arial" w:cs="Arial" w:eastAsia="Arial" w:hAnsi="Arial"/>
                <w:sz w:val="18"/>
                <w:szCs w:val="18"/>
                <w:color w:val="auto"/>
                <w:w w:val="96"/>
              </w:rPr>
              <w:t>represent a measure of productivity of our consultants. Utilization rates are calculated for billable headcount on a</w:t>
            </w: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percentage basis by dividing total hours billed by total hours available to bill.</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 xml:space="preserve">Billing Rate </w:t>
            </w:r>
            <w:r>
              <w:rPr>
                <w:rFonts w:ascii="Arial" w:cs="Arial" w:eastAsia="Arial" w:hAnsi="Arial"/>
                <w:sz w:val="18"/>
                <w:szCs w:val="18"/>
                <w:color w:val="auto"/>
              </w:rPr>
              <w:t>represents earned billable revenue divided by total billable hours.</w:t>
            </w:r>
          </w:p>
        </w:tc>
      </w:tr>
      <w:tr>
        <w:trPr>
          <w:trHeight w:val="216"/>
        </w:trPr>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114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color w:val="auto"/>
              </w:rPr>
              <w:t>Events</w:t>
            </w:r>
          </w:p>
        </w:tc>
        <w:tc>
          <w:tcPr>
            <w:tcW w:w="220" w:type="dxa"/>
            <w:vAlign w:val="bottom"/>
            <w:tcBorders>
              <w:top w:val="single" w:sz="8" w:color="auto"/>
            </w:tcBorders>
          </w:tcPr>
          <w:p>
            <w:pPr>
              <w:spacing w:after="0"/>
              <w:rPr>
                <w:sz w:val="17"/>
                <w:szCs w:val="17"/>
                <w:color w:val="auto"/>
              </w:rPr>
            </w:pPr>
          </w:p>
        </w:tc>
        <w:tc>
          <w:tcPr>
            <w:tcW w:w="1004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 xml:space="preserve">Number of events </w:t>
            </w:r>
            <w:r>
              <w:rPr>
                <w:rFonts w:ascii="Arial" w:cs="Arial" w:eastAsia="Arial" w:hAnsi="Arial"/>
                <w:sz w:val="18"/>
                <w:szCs w:val="18"/>
                <w:color w:val="auto"/>
              </w:rPr>
              <w:t>represents the total number of hosted events completed during the period.</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b w:val="1"/>
                <w:bCs w:val="1"/>
                <w:color w:val="auto"/>
              </w:rPr>
              <w:t xml:space="preserve">Number of attendees </w:t>
            </w:r>
            <w:r>
              <w:rPr>
                <w:rFonts w:ascii="Arial" w:cs="Arial" w:eastAsia="Arial" w:hAnsi="Arial"/>
                <w:sz w:val="18"/>
                <w:szCs w:val="18"/>
                <w:color w:val="auto"/>
              </w:rPr>
              <w:t>represents the total number of people who attended events during the period.</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ANNOUNCED ACQUISITION OF META GROUP, INC.</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December 27, 2004, we announced an agreement to acquire META Group, Inc. (“META”) in an all-cash transaction for $10.00 per share, or approximately $162 million, excluding transaction costs. META is a publicly owned, premier information technology and research firm based in Stamford, Connecticut with 715 employees. In 2004, META generated $141.5 million in revenue from 52 worldwide locations and had $90.8 million of assets at December 31, 2004. META trades on the NASDAQ National Market under the symbol “METG.” The Boards of Directors of both companies have approved the transaction, and on January 31, 2005, we announced that notice had been received from the Federal Trade Commission of early termination of the waiting period under the Hart-Scott-Rodino Antitrust Improvements Act. META filed its definitive proxy statement with the SEC on February 17, 2005 and is scheduled to hold a special meeting of stockholders to approve the transaction on March 23, 2005. Closing of the transaction, which is subject to customary closing conditions, including approval by META’s stockholders, is expected to be effective April 1, 2005.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OF OPERATIONS AND FINANCIAL POSITION</w:t>
      </w: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During Calendar 2004, we have continued to focus on stabilizing and then growing revenue in our core Research business. This continued focus began to yield the desired outcome during the latter half of Calendar 2003. We ended the latter half of Calendar 2003 with two consecutive quarters of sequential increases in contract value after seven consecutive quarters of sequentially decreasing contract value. Contract value increased sequentially again in the first quarter of Calendar 2004, decreased slightly during the second quarter of Calendar 2004, and increased sequentially again in both the third and fourth quarters of Calendar 2004. At December 31, 2004, contract value was $509.2 million, up 6% from the $482.2 million at December 31, 2003, with roughly half of the increase due to the effects of foreign currency. The $509.2 million contract value represents our highest contract value since the first quarter of Calendar 2002. Our Research client retention rate at December 31, 2004 increased to 80% from 78% at the prior year-end, while wallet retention increased to 95% from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89% over the same period.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Consulting revenue for Calendar 2004 was flat when compared to Calendar 2003, despite the impact of the realignment in which we reduced headcount when we exited certain practices and geographies. Excluding the effects of foreign currency exchange rates, revenues would have decreased approximately 4% in Calendar 2004 compared to Calendar 2003. Our Consulting business ended Calendar 2004 with the continuation of the positive trend that began in Calendar 2003, when we ended that year with two consecutive quarters of sequential increases in backlog after five consecutive quarters of sequential decreases. Due to the realignment, consulting backlog decreased to $91.7 million at March 31, 2004, but quickly increased to $97.7 million at June 30, 2004 and $103.4 million at September 30, 2004, as business ramped up in our areas of focus. We ended the year with a backlog of $111.8 million, a $12.1 million increase over December 31, 2003. The realignment has also had a positive impact on sub-optimal utilization rates and our lack of scale in some regions. During Calendar 2004, our average consultant utilization rates increased to approximately 63% as compared to 54% in the prior year, while billable headcount declined to 493 at December 31, 2004, compared to 526 at December 31, 2003.</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Events business continues to deliver strong results. Our emphasis on managing the Events portfolio to retain our long-time successful events and introduce promising new events has resulted in substantially improved overall revenue performance, with Calendar 2004 revenue up 16% over the prior year, as well as same event revenue, up 19% over the prior year. We achieved these results while the number of events declined, with 56 held during Calendar 2004 as compared to 57 held in Calendar 2003.</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Calendar 2004, we repurchased a significant number of shares of our Class A and Class B Common Stock. During the first half of Calendar 2004, we repurchased 413,225 shares of our Class A Common Stock and 114,600 shares of our Class B Common Stock at an aggregate cost of $6.1 million under our Stock Repurchase Program. During the third quarter of 2004, we completed a “Dutch Auction Tender Offer” in which we repurchased 11,339,019 shares of our Class A Common Stock and 5,505,489 shares of our Class B Common Stock at a purchase price of $13.30 and $12.50 per share, respectively. Additionally, we also repurchased 9,228,938 shares of our Class A Common Stock from Silver Lake Partners and certain of its affiliates (“Silver Lake”) at a purchase price of $13.30 per share. The total cost of these purchases was $346.2 million, including transaction costs of $3.8 million. In conjunction with the tender offer, our Board of Directors terminated the Stock Repurchase Program in June 2004.</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tender offer, in the third quarter of Calendar 2004, we borrowed $200.0 million under a five-year term loan facility, of which</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$10.0 million was repaid in the fourth quarter of Calendar 2004. We also obtained a $100.0 million, five-year revolving credit facility, of which $59.2 million was available at December 31, 2004. Subsequent to December 31, 2004, we entered into an amendment to our Credit Agreement covenant requirements which resulted in additional borrowing capacity under the revolving credit facility. As a result, the amended borrowing availability under the revolving credit facility would have been $96.5 million at December 31, 2004.</w:t>
      </w:r>
    </w:p>
    <w:p>
      <w:pPr>
        <w:spacing w:after="0" w:line="14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At December 31, 2004, we had a cash balance of $160.1 million compared to $230.0 million at December 31, 2003. In order to fund the purchase of META, we anticipate that we will use a combination of cash and our amended five-year revolving credit facility. In connection with funding the META transaction, the Company anticipates repatriating $52.0 million in cash earnings from its non-US subsidiaries in early 2005.</w:t>
      </w:r>
    </w:p>
    <w:p>
      <w:pPr>
        <w:spacing w:after="0" w:line="14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February 2005, our Board of Directors approved the elimination of our classified Board structure. Additionally, as previously announced, the Board of Directors has approved the combination of our Class A and Class B Common Stock. Both of these items are subject to stockholder approval at our annual meeting of stockholders to take place in the late spring or early summer of 2005.</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fourth quarter of Calendar 2003, we made a significant change to our capital structure. Our 6% convertible notes were converted into Class A Common Stock. This eliminated all of our outstanding debt at that time and the related interest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QUARTERLY OPERATING RESULTS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quarterly and annual revenue, operating income, and cash flow fluctuate as a result of many factors, including: the timing of Symposia, our flagship event that normally occurs during the fourth calendar quarter, and other events; the amount of new business generated; the mix of domestic and international business; changes in market demand for our products and services; changes in foreign currency rates; the timing of the development, introduction and marketing of new products and services; and competition in the industry. The potential fluctuations in our operating income could cause period-to-period comparisons of operating results not to be meaningful and could provide an unreliable indication of future operating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requires the application of appropriate accounting policies. Our significant accounting policies are described in Note 1 in the Notes to Consolidated Financial Statements. Management considers the policies discussed below to be critical to an understanding of our financial statements because their application requires complex and subjective judgments and estimates. Specific risks for these critical accounting policies are described below.</w:t>
      </w:r>
    </w:p>
    <w:p>
      <w:pPr>
        <w:spacing w:after="0" w:line="142"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We recognize revenue in accordance with SEC Staff Accounting Bulletin No. 101, Revenue Recognition in Financial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(“SAB 101”), and SAB No. 104, Revenue Recognition (“SAB 104”). Revenue by significant source is accounted for as follows:</w:t>
      </w:r>
    </w:p>
    <w:p>
      <w:pPr>
        <w:spacing w:after="0" w:line="142" w:lineRule="exact"/>
        <w:rPr>
          <w:sz w:val="20"/>
          <w:szCs w:val="20"/>
          <w:color w:val="auto"/>
        </w:rPr>
      </w:pPr>
    </w:p>
    <w:p>
      <w:pPr>
        <w:ind w:left="500" w:right="60" w:hanging="154"/>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revenues are derived from subscription contracts for research products. Revenues from research products are deferred and recognized ratably over the applicable contract term;</w:t>
      </w:r>
    </w:p>
    <w:p>
      <w:pPr>
        <w:spacing w:after="0" w:line="170" w:lineRule="exact"/>
        <w:rPr>
          <w:rFonts w:ascii="Arial" w:cs="Arial" w:eastAsia="Arial" w:hAnsi="Arial"/>
          <w:sz w:val="18"/>
          <w:szCs w:val="18"/>
          <w:color w:val="auto"/>
        </w:rPr>
      </w:pPr>
    </w:p>
    <w:p>
      <w:pPr>
        <w:ind w:left="500" w:right="80" w:hanging="154"/>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Consulting revenues are based primarily on fixed fees or time and materials for discrete projects. Revenues for such projects are recognized as work is delivered and/or services are provided and are evaluated on a contract by contract basis;</w:t>
      </w:r>
    </w:p>
    <w:p>
      <w:pPr>
        <w:spacing w:after="0" w:line="170" w:lineRule="exact"/>
        <w:rPr>
          <w:rFonts w:ascii="Arial" w:cs="Arial" w:eastAsia="Arial" w:hAnsi="Arial"/>
          <w:sz w:val="18"/>
          <w:szCs w:val="18"/>
          <w:color w:val="auto"/>
        </w:rPr>
      </w:pPr>
    </w:p>
    <w:p>
      <w:pPr>
        <w:ind w:left="500" w:hanging="15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Events revenues are deferred and recognized upon the completion of the related symposium, conference or exhibition; and</w:t>
      </w:r>
    </w:p>
    <w:p>
      <w:pPr>
        <w:spacing w:after="0" w:line="225" w:lineRule="exact"/>
        <w:rPr>
          <w:rFonts w:ascii="Arial" w:cs="Arial" w:eastAsia="Arial" w:hAnsi="Arial"/>
          <w:sz w:val="18"/>
          <w:szCs w:val="18"/>
          <w:color w:val="auto"/>
        </w:rPr>
      </w:pPr>
    </w:p>
    <w:p>
      <w:pPr>
        <w:ind w:left="500" w:right="120" w:hanging="154"/>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revenues, principally software licensing fees, are recognized when a signed non-cancelable software license exists, delivery has occurred, collection is probable, and the fees are fixed or determinable. Revenue from software maintenance is deferred and recognized ratably over the term of the maintenance agreement, which is typically twelve months.</w:t>
      </w:r>
    </w:p>
    <w:p>
      <w:pPr>
        <w:spacing w:after="0" w:line="181" w:lineRule="exact"/>
        <w:rPr>
          <w:rFonts w:ascii="Arial" w:cs="Arial" w:eastAsia="Arial" w:hAnsi="Arial"/>
          <w:sz w:val="18"/>
          <w:szCs w:val="18"/>
          <w:color w:val="auto"/>
        </w:rPr>
      </w:pPr>
    </w:p>
    <w:p>
      <w:pPr>
        <w:ind w:left="500" w:right="40" w:hanging="154"/>
        <w:spacing w:after="0" w:line="270"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majority of research contracts are billable upon signing, absent special terms granted on a limited basis from time to time. All research contracts are non-cancelable and non-refundable, except for government contracts that have a 30-day cancellation clause, but have not produced material cancellations to date. It is our policy to record the entire amount of the contract that is billable as a fee receivable at the time the contract is signed with a corresponding amount as deferred revenue, since the contract represents a legally enforceable claim. For those government contracts that permit termination, we bill the client the full amount billable under the contract but only record a receivable equal to the earned portion of the contract. In addition, we only record deferred revenue on these government contracts when cash is received. Deferred revenues attributable to government contracts were $40.9 million and $38.6 million at December 31, 2004 and December 31, 2003, respectively. In addition, at December 31, 2004 and December 31, 2003, we had not recognized uncollected receivables or deferred revenues, relating to government contracts that permit termination, of $4.2 and $6.6 million, respectively.</w:t>
      </w:r>
    </w:p>
    <w:p>
      <w:pPr>
        <w:sectPr>
          <w:pgSz w:w="11900" w:h="16838" w:orient="portrait"/>
          <w:cols w:equalWidth="0" w:num="1">
            <w:col w:w="11420"/>
          </w:cols>
          <w:pgMar w:left="240" w:top="419"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color w:val="auto"/>
        </w:rPr>
        <w:t xml:space="preserve">Uncollectible fees receivable </w:t>
      </w:r>
      <w:r>
        <w:rPr>
          <w:rFonts w:ascii="Arial" w:cs="Arial" w:eastAsia="Arial" w:hAnsi="Arial"/>
          <w:sz w:val="18"/>
          <w:szCs w:val="18"/>
          <w:color w:val="auto"/>
        </w:rPr>
        <w:t>– Provisions for bad debts are recognized as incurred. The measurement of likely and probable losses and the allowance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uncollectible fees receivable is based on historical loss experience, aging of outstanding receivables, an assessment of current economic conditions and the financial health of specific clients. This evaluation is inherently judgmental and requires material estimates. These valuation reserves are periodically re-evaluated and adjusted as more information about the ultimate collectibility of fees receivable becomes available. Circumstances that could cause our valuation reserves to increase include changes in our clients’ liquidity and credit quality, other factors negatively impacting our clients’ ability to pay their obligations as they come due, and the effectiveness of our collection efforts. The following table provides our total fees receivable, along with the related allowance for losses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6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color w:val="auto"/>
              </w:rPr>
              <w:t>2004</w:t>
            </w:r>
          </w:p>
        </w:tc>
        <w:tc>
          <w:tcPr>
            <w:tcW w:w="10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2003</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fees receivable</w:t>
            </w:r>
          </w:p>
        </w:tc>
        <w:tc>
          <w:tcPr>
            <w:tcW w:w="49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$ 266,139</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$ 275,122</w:t>
            </w: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Allowance for losses</w:t>
            </w:r>
          </w:p>
        </w:tc>
        <w:tc>
          <w:tcPr>
            <w:tcW w:w="3980" w:type="dxa"/>
            <w:vAlign w:val="bottom"/>
          </w:tcPr>
          <w:p>
            <w:pPr>
              <w:spacing w:after="0"/>
              <w:rPr>
                <w:sz w:val="19"/>
                <w:szCs w:val="19"/>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(8,450)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r>
      <w:tr>
        <w:trPr>
          <w:trHeight w:val="223"/>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Fees receivable, net</w:t>
            </w:r>
          </w:p>
        </w:tc>
        <w:tc>
          <w:tcPr>
            <w:tcW w:w="39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84"/>
              </w:rPr>
              <w:t>$ 257,689</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$ 266,122</w:t>
            </w:r>
          </w:p>
        </w:tc>
      </w:tr>
    </w:tbl>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Impairment of goodwill and other intangible assets </w:t>
      </w:r>
      <w:r>
        <w:rPr>
          <w:rFonts w:ascii="Arial" w:cs="Arial" w:eastAsia="Arial" w:hAnsi="Arial"/>
          <w:sz w:val="17"/>
          <w:szCs w:val="17"/>
          <w:color w:val="auto"/>
        </w:rPr>
        <w:t>– The evaluation of goodwill is performed in accordance with Statement of Financial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No. 142, - “Goodwill and Other Intangible Assets” (”SFAS 142”). Among other requirements, this standard eliminated goodwill amortization upon adoption and requires ongoing annual assessments of goodwill impairment. The evaluation of other intangible assets is performed on a periodic basis. These assessments require management to estimate the fair values of our reporting units based on estimates of future business operations and market and economic conditions in developing long-term forecasts. If we determine that the fair value of any reporting unit is less than its carrying amount, we must recognize an impairment charge, for the associated goodwill of that reporting unit, to earnings in our financial statements. Goodwill is evaluated for impairment at least annually, or whenever events or changes in circumstances indicate that the carrying value may not be recoverable. Factors we consider important that could trigger a review for impairment include the following:</w:t>
      </w:r>
    </w:p>
    <w:p>
      <w:pPr>
        <w:spacing w:after="0" w:line="176" w:lineRule="exact"/>
        <w:rPr>
          <w:sz w:val="20"/>
          <w:szCs w:val="20"/>
          <w:color w:val="auto"/>
        </w:rPr>
      </w:pPr>
    </w:p>
    <w:p>
      <w:pPr>
        <w:ind w:left="840" w:hanging="15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25" w:lineRule="exact"/>
        <w:rPr>
          <w:rFonts w:ascii="Arial" w:cs="Arial" w:eastAsia="Arial" w:hAnsi="Arial"/>
          <w:sz w:val="18"/>
          <w:szCs w:val="18"/>
          <w:color w:val="auto"/>
        </w:rPr>
      </w:pPr>
    </w:p>
    <w:p>
      <w:pPr>
        <w:ind w:left="840" w:hanging="15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changes in the manner of our use of acquired assets or the strategy for our overall business;</w:t>
      </w:r>
    </w:p>
    <w:p>
      <w:pPr>
        <w:spacing w:after="0" w:line="225" w:lineRule="exact"/>
        <w:rPr>
          <w:rFonts w:ascii="Arial" w:cs="Arial" w:eastAsia="Arial" w:hAnsi="Arial"/>
          <w:sz w:val="18"/>
          <w:szCs w:val="18"/>
          <w:color w:val="auto"/>
        </w:rPr>
      </w:pPr>
    </w:p>
    <w:p>
      <w:pPr>
        <w:ind w:left="840" w:hanging="15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25" w:lineRule="exact"/>
        <w:rPr>
          <w:rFonts w:ascii="Arial" w:cs="Arial" w:eastAsia="Arial" w:hAnsi="Arial"/>
          <w:sz w:val="18"/>
          <w:szCs w:val="18"/>
          <w:color w:val="auto"/>
        </w:rPr>
      </w:pPr>
    </w:p>
    <w:p>
      <w:pPr>
        <w:ind w:left="840" w:hanging="15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225" w:lineRule="exact"/>
        <w:rPr>
          <w:rFonts w:ascii="Arial" w:cs="Arial" w:eastAsia="Arial" w:hAnsi="Arial"/>
          <w:sz w:val="18"/>
          <w:szCs w:val="18"/>
          <w:color w:val="auto"/>
        </w:rPr>
      </w:pPr>
    </w:p>
    <w:p>
      <w:pPr>
        <w:ind w:left="840" w:hanging="15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Due to the numerous variables associated with our judgments and assumptions relating to the valuation of the reporting units and the effects of changes in circumstances affecting these valuations, both the precision and reliability of the resulting estimates are subject to uncertainty, and as additional information becomes known, we may change our estimates. During 2004, we recorded an impairment charge of $0.7 million in the first quarter relating to goodwill associated with certain operations in South America that were closed, and in the fourth quarter we recorded a goodwill impairment charge of $2.0 million related to the exit from certain non-core product lines.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Accounting for income taxes </w:t>
      </w:r>
      <w:r>
        <w:rPr>
          <w:rFonts w:ascii="Arial" w:cs="Arial" w:eastAsia="Arial" w:hAnsi="Arial"/>
          <w:sz w:val="18"/>
          <w:szCs w:val="18"/>
          <w:color w:val="auto"/>
        </w:rPr>
        <w:t>– As we prepare our consolidated financial statements, we estimate our income taxes in each of the jurisdictions where we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This process involves estimating our current tax expense together with assessing temporary differences resulting from differing treatment of items for tax and accounting purposes. These differences result in deferred tax assets and liabilities, which are included within our consolidated balance sheets. We record a valuation allowance to reduce our deferred tax assets when future realization is in question. We consider the availability of loss carryforwards, existing deferred tax liabilities, future taxable income and ongoing prudent and feasible tax planning strategies in assessing the need for the valuation allowance. In the event we determine that we would be able to realize our deferred tax assets in the future in excess of our net recorded amount, an adjustment to the deferred tax asset would increase income in the period such determination was made. Likewise, should we determine that we would not be able to realize all or part of our net deferred tax asset in the future, an adjustment to the deferred tax asset would be charged against income in the period such determination was made.</w:t>
      </w:r>
    </w:p>
    <w:p>
      <w:pPr>
        <w:spacing w:after="0" w:line="162"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b w:val="1"/>
          <w:bCs w:val="1"/>
          <w:color w:val="auto"/>
        </w:rPr>
        <w:t xml:space="preserve">Contingencies and other loss reserves and accruals </w:t>
      </w:r>
      <w:r>
        <w:rPr>
          <w:rFonts w:ascii="Arial" w:cs="Arial" w:eastAsia="Arial" w:hAnsi="Arial"/>
          <w:sz w:val="15"/>
          <w:szCs w:val="15"/>
          <w:color w:val="auto"/>
        </w:rPr>
        <w:t>– We record accruals for severance costs, lease costs associated with excess facilities, contract</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terminations and asset impairments as a result of actions we undertake to streamline our organization, reposition certain businesses and reduce ongoing costs. Estimates of costs to be incurred to complete these actions, such as future lease payments, sublease income, the fair value of assets, and severance and related benefits, are based on assumptions at the time the actions are initiated. To the extent actual costs differ from those estimates, reserve levels may need to be adjusted. In addition, these actions may be revised due to changes in business conditions that we did not foresee at the time such plans were approved. During the fourth quarter of Calendar 2004, we revised our previous estimates for costs and losses associated with excess facilities due to declines in market rates for expected sublease income and revised expected periods of sublease. As a result of these revised estimates, we recorded a charge for excess facilities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$2.3 million, which was included in Other charges along with severance, impairment, and other costs. Additionally, we record accruals for estimated incentive compensation costs during each year. Amounts accrued at the end of each reporting period are based on our estimates and may require adjustment as the ultimate amount paid for these incentives are sometimes not known until after year end.</w:t>
      </w:r>
    </w:p>
    <w:p>
      <w:pPr>
        <w:sectPr>
          <w:pgSz w:w="11900" w:h="16838" w:orient="portrait"/>
          <w:cols w:equalWidth="0" w:num="1">
            <w:col w:w="11420"/>
          </w:cols>
          <w:pgMar w:left="240" w:top="419"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color w:val="auto"/>
        </w:rPr>
        <w:t xml:space="preserve">Impairment of investment securities </w:t>
      </w:r>
      <w:r>
        <w:rPr>
          <w:rFonts w:ascii="Arial" w:cs="Arial" w:eastAsia="Arial" w:hAnsi="Arial"/>
          <w:sz w:val="17"/>
          <w:szCs w:val="17"/>
          <w:color w:val="auto"/>
        </w:rPr>
        <w:t>– A charge to earnings is made when a market decline below cost is other than temporary. Management regularly</w:t>
      </w:r>
      <w:r>
        <w:rPr>
          <w:rFonts w:ascii="Arial" w:cs="Arial" w:eastAsia="Arial" w:hAnsi="Arial"/>
          <w:sz w:val="17"/>
          <w:szCs w:val="17"/>
          <w:b w:val="1"/>
          <w:bCs w:val="1"/>
          <w:color w:val="auto"/>
        </w:rPr>
        <w:t xml:space="preserve"> </w:t>
      </w:r>
      <w:r>
        <w:rPr>
          <w:rFonts w:ascii="Arial" w:cs="Arial" w:eastAsia="Arial" w:hAnsi="Arial"/>
          <w:sz w:val="17"/>
          <w:szCs w:val="17"/>
          <w:color w:val="auto"/>
        </w:rPr>
        <w:t>reviews each investment security for impairment based on criteria that include: the length of time and the extent to which market value has been less than cost, the financial condition and near-term prospects of the issuer, the valuation of comparable companies and our intent and ability to retain the investment for a period of time sufficient to allow for any anticipated recovery in market value. Future adverse changes in market conditions or poor operating results of underlying investments could result in losses or an inability to recover the carrying value of the investments that may not be reflected in an investment’s current carrying value, thereby possibly requiring an impairment charge in the future. We own equity securities through two limited partnerships, SI Venture Associates (“SI I”) and SI Venture Fund II (“SI II”), which are venture capital funds engaged in making investments in early to mid-stage IT-based or Internet-enabled companies. At December 31, 2004, we owned 100% of SI I and 22% of SI II. In the fourth quarter of Calendar 2004, we made the decision to liquidate SI I and to sell our interest in SI II. In addition, in the fourth quarter of Calendar 2004, we recorded a charge of $1.5 million related to the liquidation of SI I, which included $0.8 million for the write-down of the investment and $0.7 million in related shutdown charges. No charges were recorded on SI II in the fourth quarter of Calendar 2004 related to the planned sale since the carrying value of the investment approximates its net realizable value. In the third quarter of Calendar 2004, we recorded a non-cash charge of $2.2 million related to the transfer of our investment in TruSecure to SI II, as well as a decrease in our ownership percentage in SI II of seven hundred basis points. As a result of this transfer and the decrease in ownership, we were relieved of all future capital calls, which had totaled $4.0 million.</w:t>
      </w:r>
    </w:p>
    <w:p>
      <w:pPr>
        <w:spacing w:after="0" w:line="1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investments in equity securities were $7.0 million at December 31, 2004 and $10.9 million at December 31, 2003 (see Note 5 – Investments in the Notes to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FISCAL YEAR</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October 30, 2002, we announced that our Board of Directors had approved a change of our fiscal year-end from September 30 to December 31, effective January 1, 2003. This change resulted in a three-month transitional period ending December 31, 2002. References to Transition 2002, unless otherwise indicated, refer to the three-month transitional period ended December 31, 2002. References to Fiscal 2002 and Fiscal 2001, unless otherwise indicated, are to the respective fiscal year period from October 1 through September 30. References to Calendar 2004, Calendar 2003, and Calendar 2002, unless otherwise indicated, are to the respective twelve-month period from January 1 through December 31.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CALENDAR 2004 VERSUS CALENDAR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increased 4% to $893.8 million during Calendar 2004 from $858.4 million during Calendar 2003.</w:t>
      </w:r>
    </w:p>
    <w:p>
      <w:pPr>
        <w:spacing w:after="0" w:line="221" w:lineRule="exact"/>
        <w:rPr>
          <w:sz w:val="20"/>
          <w:szCs w:val="20"/>
          <w:color w:val="auto"/>
        </w:rPr>
      </w:pPr>
    </w:p>
    <w:p>
      <w:pPr>
        <w:ind w:left="180" w:right="100" w:hanging="172"/>
        <w:spacing w:after="0" w:line="282"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Research </w:t>
      </w:r>
      <w:r>
        <w:rPr>
          <w:rFonts w:ascii="Arial" w:cs="Arial" w:eastAsia="Arial" w:hAnsi="Arial"/>
          <w:sz w:val="18"/>
          <w:szCs w:val="18"/>
          <w:color w:val="auto"/>
        </w:rPr>
        <w:t>revenues increased 3% in Calendar 2004 to $480.5 million, compared to $466.9 million in Calendar 2003, and comprised approximately 54% of</w:t>
      </w:r>
      <w:r>
        <w:rPr>
          <w:rFonts w:ascii="Arial" w:cs="Arial" w:eastAsia="Arial" w:hAnsi="Arial"/>
          <w:sz w:val="18"/>
          <w:szCs w:val="18"/>
          <w:b w:val="1"/>
          <w:bCs w:val="1"/>
          <w:color w:val="auto"/>
        </w:rPr>
        <w:t xml:space="preserve"> </w:t>
      </w:r>
      <w:r>
        <w:rPr>
          <w:rFonts w:ascii="Arial" w:cs="Arial" w:eastAsia="Arial" w:hAnsi="Arial"/>
          <w:sz w:val="18"/>
          <w:szCs w:val="18"/>
          <w:color w:val="auto"/>
        </w:rPr>
        <w:t>total revenues in both Calendar 2004 and Calendar 2003.</w:t>
      </w:r>
    </w:p>
    <w:p>
      <w:pPr>
        <w:spacing w:after="0" w:line="161" w:lineRule="exact"/>
        <w:rPr>
          <w:rFonts w:ascii="Arial" w:cs="Arial" w:eastAsia="Arial" w:hAnsi="Arial"/>
          <w:sz w:val="18"/>
          <w:szCs w:val="18"/>
          <w:color w:val="auto"/>
        </w:rPr>
      </w:pPr>
    </w:p>
    <w:p>
      <w:pPr>
        <w:ind w:left="180" w:right="180" w:hanging="172"/>
        <w:spacing w:after="0" w:line="282"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Consulting </w:t>
      </w:r>
      <w:r>
        <w:rPr>
          <w:rFonts w:ascii="Arial" w:cs="Arial" w:eastAsia="Arial" w:hAnsi="Arial"/>
          <w:sz w:val="18"/>
          <w:szCs w:val="18"/>
          <w:color w:val="auto"/>
        </w:rPr>
        <w:t>revenues in Calendar 2004 of $259.4 were up slightly compared to the $258.6 in Calendar 2003, and comprised approximately 29% and 30%</w:t>
      </w:r>
      <w:r>
        <w:rPr>
          <w:rFonts w:ascii="Arial" w:cs="Arial" w:eastAsia="Arial" w:hAnsi="Arial"/>
          <w:sz w:val="18"/>
          <w:szCs w:val="18"/>
          <w:b w:val="1"/>
          <w:bCs w:val="1"/>
          <w:color w:val="auto"/>
        </w:rPr>
        <w:t xml:space="preserve"> </w:t>
      </w:r>
      <w:r>
        <w:rPr>
          <w:rFonts w:ascii="Arial" w:cs="Arial" w:eastAsia="Arial" w:hAnsi="Arial"/>
          <w:sz w:val="18"/>
          <w:szCs w:val="18"/>
          <w:color w:val="auto"/>
        </w:rPr>
        <w:t>of total revenues in Calendar 2004 and Calendar 2003, respectively.</w:t>
      </w:r>
    </w:p>
    <w:p>
      <w:pPr>
        <w:spacing w:after="0" w:line="161" w:lineRule="exact"/>
        <w:rPr>
          <w:rFonts w:ascii="Arial" w:cs="Arial" w:eastAsia="Arial" w:hAnsi="Arial"/>
          <w:sz w:val="18"/>
          <w:szCs w:val="18"/>
          <w:color w:val="auto"/>
        </w:rPr>
      </w:pPr>
    </w:p>
    <w:p>
      <w:pPr>
        <w:ind w:left="180" w:right="140" w:hanging="172"/>
        <w:spacing w:after="0" w:line="282"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Events </w:t>
      </w:r>
      <w:r>
        <w:rPr>
          <w:rFonts w:ascii="Arial" w:cs="Arial" w:eastAsia="Arial" w:hAnsi="Arial"/>
          <w:sz w:val="18"/>
          <w:szCs w:val="18"/>
          <w:color w:val="auto"/>
        </w:rPr>
        <w:t>revenues were $138.4 million in Calendar 2004, an increase of 16% from the $119.4 million in Calendar 2003, and comprised approximately 15%</w:t>
      </w:r>
      <w:r>
        <w:rPr>
          <w:rFonts w:ascii="Arial" w:cs="Arial" w:eastAsia="Arial" w:hAnsi="Arial"/>
          <w:sz w:val="18"/>
          <w:szCs w:val="18"/>
          <w:b w:val="1"/>
          <w:bCs w:val="1"/>
          <w:color w:val="auto"/>
        </w:rPr>
        <w:t xml:space="preserve"> </w:t>
      </w:r>
      <w:r>
        <w:rPr>
          <w:rFonts w:ascii="Arial" w:cs="Arial" w:eastAsia="Arial" w:hAnsi="Arial"/>
          <w:sz w:val="18"/>
          <w:szCs w:val="18"/>
          <w:color w:val="auto"/>
        </w:rPr>
        <w:t>of total revenues in Calendar 2004 versus 14% in Calendar 2003.</w:t>
      </w:r>
    </w:p>
    <w:p>
      <w:pPr>
        <w:spacing w:after="0" w:line="161" w:lineRule="exact"/>
        <w:rPr>
          <w:rFonts w:ascii="Arial" w:cs="Arial" w:eastAsia="Arial" w:hAnsi="Arial"/>
          <w:sz w:val="18"/>
          <w:szCs w:val="18"/>
          <w:color w:val="auto"/>
        </w:rPr>
      </w:pPr>
    </w:p>
    <w:p>
      <w:pPr>
        <w:ind w:left="180" w:right="80" w:hanging="172"/>
        <w:spacing w:after="0" w:line="282"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revenues, consisting principally of software licensing and maintenance fees, increased 15% to $15.5 million in Calendar 2004 from $13.6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2003.</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effects of foreign currency translation had approximately a 3% positive effect on total revenues for Calendar 2004 compared to Calendar 2003. Excluding the positive effects of foreign currency translation, revenues would have increased approximately 1%. See the Segment Results section below for a further discussion of segment revenues.</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increased in all regions. Revenues from sales to United States and Canadian clients increased 4% to $559.4 million in Calendar 2004 from $535.7 million in Calendar 2003. Revenues from sales to clients in Europe, the Middle East and Africa (“EMEA”) increased 4% to $263.0 million in Calendar 2004 from $252.3 million in Calendar 2003. Revenues from sales to clients in other international regions increased 1% to $71.4 million in Calendar 2004 from $70.5 million in Calendar 2003.</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Cost of services and product development increased 6% during Calendar 2004 to $434.5 million from $410.7 million during Calendar 2003. Excluding the effects of foreign currency translation, cost of services and product development would have increased by 2%, primarily due to increased investment in our core Research business. Growth in our Executive Programs and Events businesses also contributed to higher costs in Calendar 2004. As a percentage of sales, cost of services and product development increased to 48.6% from 47.8% in the prior year period. Cost of services and product development in Calendar 2004 benefited from the reversal of $3.5 million of prior years’ incentive compensation.</w:t>
      </w:r>
    </w:p>
    <w:p>
      <w:pPr>
        <w:sectPr>
          <w:pgSz w:w="11900" w:h="16838" w:orient="portrait"/>
          <w:cols w:equalWidth="0" w:num="1">
            <w:col w:w="11420"/>
          </w:cols>
          <w:pgMar w:left="240" w:top="419" w:right="239"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Selling, general and administrative expenses increased 5%, to $349.8 million during Calendar 2004 from $333.4 million during Calendar 2003. SG&amp;A would have increased by approximately 2% excluding the negative effects of foreign currency translation. As a percentage of sales, SG&amp;A expense increased slightly in Calendar 2004, to 39.1% of sales from 38.8% in Calendar 2003. SG&amp;A expenses benefited during Calendar 2004 from the reversal of $3.3 million of prior years’ incentive compensation, as well as a reduction in the allowance for doubtful accounts of $3.7 million due to increased collections and a decline in bad debt write-offs as a percentage of sales.</w:t>
      </w:r>
    </w:p>
    <w:p>
      <w:pPr>
        <w:spacing w:after="0" w:line="16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Depreciation expense for Calendar 2004 decreased 23% to $27.7 million, compared to $36.0 million for Calendar 2003. The decrease was due to a reduction in capital spending during Calendar 2004, Calendar 2003 and Calendar 2002 relative to the capital spending during Fiscal 2001 and 2000, which led to a decrease in depreciation expense.</w:t>
      </w:r>
    </w:p>
    <w:p>
      <w:pPr>
        <w:spacing w:after="0" w:line="1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Amortization of intangibles decreased 46% when comparing Calendar 2004 to Calendar 2003 due to certain intangible assets having been fully amortized since the third quarter of Calendar 2003.</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Goodwill impairments were $2.7 million in Calendar 2004 compared to $0 in Calendar 2003, reflecting the write-off of goodwill related to the closing of certain operations in Latin America and other non-core product lines.</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Other charges during the fourth quarter of Calendar 2004 were $11.9 million, of which $5.9 million was for severance and benefits related to a workforce reduction of 40 employees. We expect additional workforce reductions to occur during the first quarter of Calendar 2005 which will result in an additional severance and benefits charge estimated at between $5.0 million and $6.0 million. Other charges of $4.3 million during the third quarter of Calendar 2004 primarily included severance costs associated with the departure of our President and our former CEO of $3.1 million and $0.8 million, respectively. Other charges of $9.1 million during the second quarter of Calendar 2004 included $3.8 million of severance costs associated with the departure of our former CEO, as well as $5.3 million of costs associated with the termination of 30 employees. During the first quarter of Calendar 2004, other charges of $10.5 million were primarily associated with a realignment of our workforce. This workforce realignment was a continuation of the action plan initiated during the fourth quarter of Calendar 2003 and resulted in the termination of 132 employees, or approximately 4% of our workforce, bringing the total terminations associated with the action plan to 262 employees. We expect payments associated with the workforce reduction to be substantially completed by the end of the second quarter of Calendar 2005. We are funding these costs out of existing cash.</w:t>
      </w:r>
    </w:p>
    <w:p>
      <w:pPr>
        <w:spacing w:after="0" w:line="13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all of Calendar 2004, we recorded total charges of $29.7 million related to the realignment of our workforce, including costs of $7.7 million related to the departure of our President and our former CEO. The realignment resulted in the termination of 203 employees for the full year. The annualized savings from the termination of these employees would be approximately $23.3 million. However, we plan to reinvest a significant portion of these savings into improving our products, processes, and infrastructure to help drive future growth.</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Additionally, during the fourth quarter of Calendar 2004, we revised our estimates of previously recorded costs and losses associated with excess facilities and recorded $2.3 million of additional provisions. The revised estimate was due to a decline in market lease rates for expected subleases, as well as a reduction in estimated periods of subleases. We also recorded a charge of $1.9 million in the fourth quarter of Calendar 2004 related to the abandonment of certain internal systems, and $1.8 million for charges related to the exit from certain international and other non-core operations. As part of our continuing effort to adjust our office space as needs change, we have announced plans to reduce our office space in San Jose, California by consolidating employees from two buildings into one building in the second or third quarter of Calendar 2005, which we estimate will result in a charge ranging from $6.0 to $7.0 million.</w:t>
      </w:r>
    </w:p>
    <w:p>
      <w:pPr>
        <w:spacing w:after="0" w:line="13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the first quarter of Calendar 2005, we plan to restructure certain international operations, which we estimate will result in a charge ranging from $4.0 million to $5.0 million.</w:t>
      </w:r>
    </w:p>
    <w:p>
      <w:pPr>
        <w:spacing w:after="0" w:line="130"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Other charges of $29.7 million during Calendar 2003 were for costs for employee severance and benefits associated with workforce reductions initiated under two separate actions, $5.4 million during the first quarter of Calendar 2003 and $14.6 million during the fourth quarter of Calendar 2003. Additionally, during the fourth quarter of Calendar 2003, we revised our estimates of previously recorded costs and losses associated with excess facilities and recorded</w:t>
      </w:r>
    </w:p>
    <w:p>
      <w:pPr>
        <w:spacing w:after="0" w:line="252" w:lineRule="auto"/>
        <w:rPr>
          <w:sz w:val="20"/>
          <w:szCs w:val="20"/>
          <w:color w:val="auto"/>
        </w:rPr>
      </w:pPr>
      <w:r>
        <w:rPr>
          <w:rFonts w:ascii="Arial" w:cs="Arial" w:eastAsia="Arial" w:hAnsi="Arial"/>
          <w:sz w:val="18"/>
          <w:szCs w:val="18"/>
          <w:color w:val="auto"/>
        </w:rPr>
        <w:t>$9.7 million of additional provisions. The revised estimate was due to a decline in market lease rates for expected subleases, as well as a reduction in estimated periods of subleases. The workforce reduction that occurred during the first quarter of Calendar 2003 was a continuation of the action taken in Transition 2002, which resulted in the termination of 92 employees, or approximately 2% of our workforce. The purpose of this reduction was to reduce costs in underperforming segments. The workforce reduction that occurred during the fourth quarter of Calendar 2003 resulted in the termination of 130 employees, or approximately 3% of our workforce. The purpose of this workforce reduction was part of an effort to streamline operations, strengthen key consulting practices, and align our organizational structure to focus on client needs.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Gain (loss) on investments, net during Calendar 2004 was a loss of $3.0 million. In the fourth quarter of Calendar 2004, we recorded a charge of $0.8 million related to the liquidation of SI I. In addition, we recorded an additional charge of $0.7 million in related liquidation costs, which is recorded in Other charges. In the third quarter of Calendar 2004, we recorded a charge of $2.2 million for the transfer of our investment in TruSecure to SI II, as well as a decrease in our ownership percentage in SI II of seven hundred basis points. As a result of this transfer and the decrease in ownership, we were relieved of all future capital calls, which had totaled $4.0 million. See Note 5 – Investments in the Notes to the Consolidated Financial Statements for additional information.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Gain (loss) on investments, net of $4.7 million during Calendar 2003 includes a $5.5 million insurance recovery received during Calendar 2003 associated with previously incurred losses arising from the sale of a business. Gain (loss) on investments, net during Calendar 2003 also includes an impairment loss of $0.9 million associated with a minority-owned investment not publicly traded. We evaluated the investment for impairment because of the investee’s recapitalization due to its lack of capital resources to redeem its mandatorily redeemable equity, which led us to write the investment down to our estimate of fair value.</w:t>
      </w:r>
    </w:p>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conversion of our outstanding convertible debt to equity during the fourth quarter of 2003 decreased our interest expense. However, due to the new credit agreement signed in the third quarter of 2004, interest expense will increase in the future.</w:t>
      </w:r>
    </w:p>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Other (expense), net for Calendar 2004 of $3.9 million includes the non-cash write-off of $3.1 million of accumulated foreign currency translation adjustments associated with certain of our operations in South America that we have closed. As a result of this decision we were required to reclassify these currency adjustments that have been accumulated within equity to earnings, in accordance with Statement of Financial Accounting Standards No. 52 “Foreign Currency Translation.” Other income, net for Calendar 2003 of $0.5 million consists primarily of net foreign exchange gains.</w:t>
      </w:r>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Provision for income taxes was 51.0% and 33.4% of income before income taxes for Calendar 2004 and 2003, respectively. The increase in the effective tax rate for Calendar 2004, as compared to that of Calendar 2003, reflects the impact of a charge for planned repatriation of foreign earnings in Calendar 2005 at a one-time favorable tax rate pursuant to the Jobs Creation Act of 2004. It also reflects the impact of certain non-deductible book charges for workforce reductions, excess facilities, asset impairments, and losses on capital investments. These additional charges are partially offset by the release of valuation allowance on foreign tax credits. Excluding these other charges, the effective tax rate would have been 32.7% in Calendar 2004, as compared to 33% in Calendar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8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evaluate reportable segment performance and allocate resources based on gross contribution margin. Gross contribution is defined as operating income excluding certain selling, general and administrative expenses, depreciation, amortization of intangibles, goodwill impairments, and other charges. Gross contribution margin is defined as gross contribution as a percentage of revenues.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Research revenues increased 3% when comparing Calendar 2004 and Calendar 2003, but excluding the favorable effects of foreign currency exchange rates, revenue was flat.</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Research gross contribution of $292.7 million for Calendar 2004 decreased slightly from the $292.9 million for Calendar 2003, while gross contribution margin for Calendar 2004 decreased to 61% from 63% in the prior year. The decrease in the gross contribution margin in Calendar 2004 was primarily due to increased revenues from our executive programs, which have lower margins than our core subscription products, as well as continued investment in our people, products, and processes required to provide Research growth.</w:t>
      </w:r>
    </w:p>
    <w:p>
      <w:pPr>
        <w:spacing w:after="0" w:line="14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Research contract value, an indicator of future research revenue, was $509.2 million at December 31, 2004, an increase of 6% from $482.2 million at December 31, 2003, with roughly half of the increase due to the effects of foreign currency. The research contract value of $509.2 million at December 31, 2004 represents our highest reported contract value since the first quarter of Calendar 2002. During this period, we have been focused on stabilizing and then growing revenue in our core Research business. This continued focus began to yield the desired outcome during the latter half of Calendar 2003. We ended the latter half of 2003 with two consecutive quarters of sequential increases in contract value after seven consecutive quarters of sequentially decreasing contract value. Contract value increased sequentially again in the first quarter of Calendar 2004, decreased slightly during the second quarter of Calendar 2004, and increased sequentially again in both the third and fourth quarters of Calendar 2004.</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December 31, 2004, our client retention rates increased 2 percentage points to 80% as compared to the same measure at December 31, 2003. Wallet retention increased 6 percentage points during Calendar 2004 to 95%. While wallet retention rates held steady or climbed over the four quarters of Calendar 2004, client retention dipped slightly in the first quarter and then climbed for the remainder of the year. Our Executive Program membership was 2,708 at December 31, 2004, up 16% from 2,332 at December 31, 2003, which is attributed to new business growth in North America and EMEA, as well as improved renewal rates.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Consulting revenues of $259.4 for Calendar 2004 were up slightly when compared to the $258.6 million in Calendar 2003. Excluding the effects of foreign currency exchange rates, revenues would have decreased approximately 4% in Calendar 2004 compared to Calendar 2003. Adjusted for currency effects, Consulting revenue decreased compared to the prior year as a result of our realignment of our business to exit certain less profitable consulting practices and geographies.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Consulting gross contribution of $92.7 million for Calendar 2004 increased 7% from the $86.8 million for Calendar 2003, while gross contribution margin for Calendar 2004 increased to 36% from 34% in the prior year. The increase in the gross contribution margin was primarily attributable to higher consultant utilization rates, which were approximately 63% during Calendar 2004 as compared to approximately 54% during Calendar 2003, as the effects of the realignment were realized, and the reduction in our billable headcount to 493 at December 31, 2004 as compared to 526 at December 31, 2003, a 6% decrease. Our billable rate was $327.00 per hour in Calendar 2004, a 7% increase from the $306.00 rate in Calendar 2003, which is due to more efficient use of staff globally and a higher billable rate in EMEA due to the effects of foreign exchange.</w:t>
      </w:r>
    </w:p>
    <w:p>
      <w:pPr>
        <w:spacing w:after="0" w:line="1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Consulting backlog increased 12% to $111.8 million at December 31, 2004, compared to $99.7 million at December 31, 2003. Our Consulting business ended Calendar 2004 with the continuation of the positive trend that began in Calendar 2003, when we ended that year with two consecutive quarters of sequential increases in backlog after five consecutive quarters of sequential decreases. Due to the realignment in which we exited certain practices and geographies, consulting backlog decreased to $91.7 million at March 31, 2004, but increased to $97.7 million at June 30, 2004 and $103.4 million at September 30, 2004, as business ramped up in our areas of focus.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w:t>
      </w:r>
    </w:p>
    <w:p>
      <w:pPr>
        <w:spacing w:after="0" w:line="18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Events revenues increased 16% to $138.4 million for Calendar 2004, compared to $119.4 million for Calendar 2003. Changes in foreign currency exchange rates had approximately a 2% favorable impact on revenues when comparing Calendar 2004 to Calendar 2003. Revenues have increased despite having one less event during Calendar 2004 as compared to Calendar 2003, with 56 and 57 events, respectively. Revenue for Calendar 2004 increased due to higher attendance and higher average exhibitor revenue, resulting in higher average revenue per event in our recurring events. Attendance at Events increased to 30,999 in Calendar 2004 from 27,547 in Calendar 2003, a 12.5% increase, which is attributed to the popularity of the topics offerred.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contribution of $69.5 million for Calendar 2004 was 24% higher than the $56.0 million recorded in Calendar 2003. As a percentage of revenues, gross contribution increased to 50% during Calendar 2004 from 47% during Calendar 2003. The increase in gross contribution margin was due to the mix of events as well as lower personnel and marketing costs. Also, during 2003, we invested more in marketing and promoting our events to maintain our attendance levels during a weak economy, especially in the technology sector.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CALENDAR 2003 VERSUS CALENDAR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decreased 3% to $858.4 million during Calendar 2003 from $887.6 million during Calendar 2002.</w:t>
      </w:r>
    </w:p>
    <w:p>
      <w:pPr>
        <w:spacing w:after="0" w:line="221" w:lineRule="exact"/>
        <w:rPr>
          <w:sz w:val="20"/>
          <w:szCs w:val="20"/>
          <w:color w:val="auto"/>
        </w:rPr>
      </w:pPr>
    </w:p>
    <w:p>
      <w:pPr>
        <w:ind w:left="180" w:right="260" w:hanging="172"/>
        <w:spacing w:after="0" w:line="282"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Research </w:t>
      </w:r>
      <w:r>
        <w:rPr>
          <w:rFonts w:ascii="Arial" w:cs="Arial" w:eastAsia="Arial" w:hAnsi="Arial"/>
          <w:sz w:val="18"/>
          <w:szCs w:val="18"/>
          <w:color w:val="auto"/>
        </w:rPr>
        <w:t>revenues decreased 4% in Calendar 2003 to $466.9 million, compared to $487.0 million in Calendar 2002, and comprised approximately 54%</w:t>
      </w:r>
      <w:r>
        <w:rPr>
          <w:rFonts w:ascii="Arial" w:cs="Arial" w:eastAsia="Arial" w:hAnsi="Arial"/>
          <w:sz w:val="18"/>
          <w:szCs w:val="18"/>
          <w:b w:val="1"/>
          <w:bCs w:val="1"/>
          <w:color w:val="auto"/>
        </w:rPr>
        <w:t xml:space="preserve"> </w:t>
      </w:r>
      <w:r>
        <w:rPr>
          <w:rFonts w:ascii="Arial" w:cs="Arial" w:eastAsia="Arial" w:hAnsi="Arial"/>
          <w:sz w:val="18"/>
          <w:szCs w:val="18"/>
          <w:color w:val="auto"/>
        </w:rPr>
        <w:t>and 55% of total revenues in Calendar 2003 and Calendar 2002, respectively.</w:t>
      </w:r>
    </w:p>
    <w:p>
      <w:pPr>
        <w:spacing w:after="0" w:line="161" w:lineRule="exact"/>
        <w:rPr>
          <w:rFonts w:ascii="Arial" w:cs="Arial" w:eastAsia="Arial" w:hAnsi="Arial"/>
          <w:sz w:val="18"/>
          <w:szCs w:val="18"/>
          <w:color w:val="auto"/>
        </w:rPr>
      </w:pPr>
    </w:p>
    <w:p>
      <w:pPr>
        <w:ind w:left="180" w:right="140" w:hanging="172"/>
        <w:spacing w:after="0" w:line="282"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Consulting </w:t>
      </w:r>
      <w:r>
        <w:rPr>
          <w:rFonts w:ascii="Arial" w:cs="Arial" w:eastAsia="Arial" w:hAnsi="Arial"/>
          <w:sz w:val="18"/>
          <w:szCs w:val="18"/>
          <w:color w:val="auto"/>
        </w:rPr>
        <w:t>revenues decreased 6% to $258.6 million in Calendar 2003, compared to $276.1 million in Calendar 2002, and comprised approximately 30%</w:t>
      </w:r>
      <w:r>
        <w:rPr>
          <w:rFonts w:ascii="Arial" w:cs="Arial" w:eastAsia="Arial" w:hAnsi="Arial"/>
          <w:sz w:val="18"/>
          <w:szCs w:val="18"/>
          <w:b w:val="1"/>
          <w:bCs w:val="1"/>
          <w:color w:val="auto"/>
        </w:rPr>
        <w:t xml:space="preserve"> </w:t>
      </w:r>
      <w:r>
        <w:rPr>
          <w:rFonts w:ascii="Arial" w:cs="Arial" w:eastAsia="Arial" w:hAnsi="Arial"/>
          <w:sz w:val="18"/>
          <w:szCs w:val="18"/>
          <w:color w:val="auto"/>
        </w:rPr>
        <w:t>and 31% of total revenues in Calendar 2003 and Calendar 2002, respectively.</w:t>
      </w:r>
    </w:p>
    <w:p>
      <w:pPr>
        <w:spacing w:after="0" w:line="161" w:lineRule="exact"/>
        <w:rPr>
          <w:rFonts w:ascii="Arial" w:cs="Arial" w:eastAsia="Arial" w:hAnsi="Arial"/>
          <w:sz w:val="18"/>
          <w:szCs w:val="18"/>
          <w:color w:val="auto"/>
        </w:rPr>
      </w:pPr>
    </w:p>
    <w:p>
      <w:pPr>
        <w:ind w:left="180" w:right="40" w:hanging="172"/>
        <w:spacing w:after="0" w:line="282"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Events </w:t>
      </w:r>
      <w:r>
        <w:rPr>
          <w:rFonts w:ascii="Arial" w:cs="Arial" w:eastAsia="Arial" w:hAnsi="Arial"/>
          <w:sz w:val="18"/>
          <w:szCs w:val="18"/>
          <w:color w:val="auto"/>
        </w:rPr>
        <w:t>revenues were $119.4 million in Calendar 2003, an increase of 9% from the $109.7 million in Calendar 2002, and comprised approximately 14% of</w:t>
      </w:r>
      <w:r>
        <w:rPr>
          <w:rFonts w:ascii="Arial" w:cs="Arial" w:eastAsia="Arial" w:hAnsi="Arial"/>
          <w:sz w:val="18"/>
          <w:szCs w:val="18"/>
          <w:b w:val="1"/>
          <w:bCs w:val="1"/>
          <w:color w:val="auto"/>
        </w:rPr>
        <w:t xml:space="preserve"> </w:t>
      </w:r>
      <w:r>
        <w:rPr>
          <w:rFonts w:ascii="Arial" w:cs="Arial" w:eastAsia="Arial" w:hAnsi="Arial"/>
          <w:sz w:val="18"/>
          <w:szCs w:val="18"/>
          <w:color w:val="auto"/>
        </w:rPr>
        <w:t>total revenues in Calendar 2003 versus 12% in Calendar 2002.</w:t>
      </w:r>
    </w:p>
    <w:p>
      <w:pPr>
        <w:spacing w:after="0" w:line="161" w:lineRule="exact"/>
        <w:rPr>
          <w:rFonts w:ascii="Arial" w:cs="Arial" w:eastAsia="Arial" w:hAnsi="Arial"/>
          <w:sz w:val="18"/>
          <w:szCs w:val="18"/>
          <w:color w:val="auto"/>
        </w:rPr>
      </w:pPr>
    </w:p>
    <w:p>
      <w:pPr>
        <w:ind w:left="180" w:right="140" w:hanging="172"/>
        <w:spacing w:after="0" w:line="282"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revenues, consisting principally of software licensing and maintenance fees, decreased 9% to $13.6 million in Calendar 2003 from $14.9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2002.</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While revenues declined in the United States and Canada region, they increased in our EMEA and the Other International regions. Revenues from sales to United States and Canadian clients decreased 7% to $535.7 million in Calendar 2003 from $576.5 million in Calendar 2002. Revenues from sales to clients in the EMEA region increased 5% to $252.3 million in Calendar 2003 from $241.3 million in Calendar 2002. Revenues from sales to clients in Other International regions increased 1% to $70.5 million in Calendar 2003 from $69.8 million in Calendar 2002.</w:t>
      </w:r>
    </w:p>
    <w:p>
      <w:pPr>
        <w:spacing w:after="0" w:line="144"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decrease in our total revenues was a result of a decline in demand throughout the entire technology sector and the overall weakness in the economy, partially offset by the positive effects of foreign currency exchange rates. Excluding the effects of foreign currency translation, revenues would have decreased approximately 8%. See Segment Analysis section below for a further discussion of segment revenues.</w:t>
      </w:r>
    </w:p>
    <w:p>
      <w:pPr>
        <w:spacing w:after="0" w:line="1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Cost of services and product development increased 4% during Calendar 2003 to $410.7 million from $396.5 million during Calendar 2002. Excluding the effects of foreign currency translation, cost of services and product development would have decreased by 1%. As a percentage of sales, cost of services and product development increased to 47.8% from 44.7% due primarily to investments in Gartner EXP, membership programs, product development and costs associated with customer intelligence, higher conference related expenses and lower utilization rates for our consulting practice.</w:t>
      </w:r>
    </w:p>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Selling, general and administrative expenses decreased 4%, to $333.4 million during Calendar 2003 from $346.5 million during Calendar 2002. SG&amp;A would have decreased by approximately 7% had it not been for the negative effect of foreign currency translation. The</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decrease in SG&amp;A was primarily the result of lower sales commissions and our continued focus on streamlining our support organizations and restructuring efforts.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Depreciation expense for Calendar 2003 decreased 18% to $36.0 million, compared to $43.7 million for Calendar 2002. The decrease was due to a reduction in capital spending during Calendar 2002 and Calendar 2003 relative to the capital spending during Fiscal 2000 and 2001, which led to a decrease in depreciation expense. In addition, costs capitalized during Fiscal 2000 associated with the initial launch of the gartner.com Web site in January 2001 have been fully depreciated as of the beginning of Calendar 2003.</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Amortization of intangibles decreased 34% when comparing Calendar 2003 to Calendar 2002 due to certain intangible assets having been fully amortized over the past year.</w:t>
      </w:r>
    </w:p>
    <w:p>
      <w:pPr>
        <w:spacing w:after="0" w:line="130"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Other charges of $29.7 million during Calendar 2003 were for costs for employee severance and benefits associated with workforce reductions initiated under two separate actions, $5.4 million during the first quarter of Calendar 2003 and $14.6 million during the fourth quarter of Calendar 2003. Additionally, during the fourth quarter of Calendar 2003, we revised our estimates of previously recorded costs and losses associated with excess facilities and recorded</w:t>
      </w:r>
    </w:p>
    <w:p>
      <w:pPr>
        <w:spacing w:after="0" w:line="252" w:lineRule="auto"/>
        <w:rPr>
          <w:sz w:val="20"/>
          <w:szCs w:val="20"/>
          <w:color w:val="auto"/>
        </w:rPr>
      </w:pPr>
      <w:r>
        <w:rPr>
          <w:rFonts w:ascii="Arial" w:cs="Arial" w:eastAsia="Arial" w:hAnsi="Arial"/>
          <w:sz w:val="18"/>
          <w:szCs w:val="18"/>
          <w:color w:val="auto"/>
        </w:rPr>
        <w:t>$9.7 million of additional provisions. The revised estimate was due to a decline in market lease rates for expected subleases, as well as a reduction in estimated periods of subleases. The workforce reduction that occurred during the first quarter of Calendar 2003 was a continuation of the action taken in Transition 2002, which resulted in the termination of 92 employees, or approximately 2% of our workforce. The purpose of this reduction was to reduce costs in underperforming segments. The workforce reduction that occurred during the fourth quarter of Calendar 2003 resulted in the termination of 130 employees, or approximately 3% of our workforce. The purpose of this workforce reduction was part of an effort to streamline operations, to strengthen key consulting practices, and to align our organizational structure to focus on client needs.</w:t>
      </w:r>
    </w:p>
    <w:p>
      <w:pPr>
        <w:spacing w:after="0" w:line="16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Calendar 2002, other charges were $49.4 million. These charges were the result of two actions, one during the first quarter of Calendar 2002 amounting to $17.2 million, and the other occurring during the fourth quarter of Calendar 2002, or Transition 2002, amounting to $32.2 million. Of the charges occurring during the first quarter of Calendar 2002, $10.0 million related to costs and losses associated with the elimination of excess facilities, principally leasehold improvements and ongoing lease costs and losses associated with sub-lease arrangements. In addition, approximately $5.8 million of these charges were associated with our workforce reduction initiated during the first quarter of Calendar 2002 and were for employee termination severance and benefits. This workforce reduction resulted in the termination of 92 employees, or approximately 2% of our workforce at that time. We expect the payments associated with the workforce reduction to be completed by the end of the first quarter of 2004. The remaining $1.4 million of expenses recorded as other charges during the first quarter of Calendar 2002 relates to the impairment of certain database-related assets. Of the $32.2 million of charges during the fourth quarter of Calendar 2002, $13.3 million related to costs and losses associated with our elimination of excess facilities, principally leased facilities and ongoing lease costs and losses associated with sub-lease arrangements. The remaining $18.9 million of these charges related to severance payments and related benefits associated with a workforce reduction, which included $0.6 million of non-cash compensation. This workforce reduction resulted in the elimination of approximately 175 positions, or approximately 4% of our workforce at the time.</w:t>
      </w:r>
    </w:p>
    <w:p>
      <w:pPr>
        <w:spacing w:after="0" w:line="1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Gain (loss) on investments, net during Calendar 2003 includes a $5.5 million insurance recovery received during Calendar 2003 associated with previously incurred losses arising from the sale of a business. Gain (loss) on investments, net during Calendar 2003 also includes an impairment loss of $0.9 million associated with a minority-owned investment not publicly traded. We evaluated the investment for impairment because of the investee’s recapitalization due to its lack of capital resources to redeem its mandatorily redeemable equity, which led us to write the investment down to our estimate of fair value. The loss on investments during Calendar 2002 was caused primarily by the recognition of impairment losses related to equity securities owned by us through two limited partnerships, SI Venture Associates (“SI I”) and SI Venture Fund II (“SI II”). SI I and SI II are venture capital funds engaged in making investments in early to mid-stage IT-based or Internet-enabled companies. At December 31, 2002 we owned 100% of SI I and 34% of SI II. See Note 5 – Investments in the Notes to the Consolidated Financial Statements for a further discussion of the gains and losses on investments.</w:t>
      </w:r>
    </w:p>
    <w:p>
      <w:pPr>
        <w:spacing w:after="0" w:line="12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decreased during Calendar 2003 due to the conversion of our debt to equity in October 2003. The conversion of our debt has eliminated most of our interest expense since the conversion date.</w:t>
      </w:r>
    </w:p>
    <w:p>
      <w:pPr>
        <w:spacing w:after="0" w:line="14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Other income, net for Calendar 2003 of $0.5 million consists primarily of net foreign exchange gains. For Calendar 2002, other income, net of $0.1 million includes a $0.5 million gain from the sale of certain assets during the first quarter of Calendar 2002, partially offset by net foreign exchange losses.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Provision for income taxes was 33.4% and 37.7% of income before income taxes for Calendar 2003 and 2002, respectively. Excluding the other charges for workforce reductions, excess facilities and asset impairments and the gains and losses from investments, the effective tax rate would have been 33% in Calendar 2003 as compared to 34% in Calendar 2002. The reduction in the effective tax rate for Calendar 2003, as compared to that of Calendar 2002, reflects the implementation of tax planning strategies.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8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evaluate reportable segment performance and allocate resources based on gross contribution margin. Gross contribution is defined as operating income excluding certain selling, general and administrative expenses, depreciation, amortization of intangibles, goodwill impairments, and other charges. Gross contribution margin is defined as gross contribution as a percentage of revenues.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Research revenues decreased 4% when comparing Calendar 2003 and Calendar 2002. Foreign currency exchange rates favorably impacted research revenues by approximately 4%. The decrease in research revenues was due to the overall weakness in the economy and the impact of this weakness on corporate information technology spending causing lower demand throughout the entire technology sector.</w:t>
      </w:r>
    </w:p>
    <w:p>
      <w:pPr>
        <w:spacing w:after="0" w:line="1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Research gross contribution of $292.9 million for Calendar 2003 decreased 8% from $318.7 million for Calendar 2002, while gross contribution margin for Calendar 2003 decreased to 63% from 65% in the prior year. The decrease in gross contribution and gross contribution margin is a result of the lower revenues and costs associated with investments in Gartner EXP, Gartner G2, membership programs, product development and marketing and costs associated with customer intelligence.</w:t>
      </w:r>
    </w:p>
    <w:p>
      <w:pPr>
        <w:spacing w:after="0" w:line="1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Research contract value, an indicator of future research revenue, was $482.2 million at December 31, 2003, a decrease of 1% from $489.0 million at December 31, 2002. However, research contract value increased sequentially during both the third and fourth quarters of Calendar 2003 from $468.5 million at June 30, 2003 and $469.6 million at September 30, 2003. Prior to these sequential increases during Calendar 2003, contract value had decreased sequentially for five consecutive quarters. At December 31, 2003, our client retention rates increased 4 percentage points to 78% as compared to the same measure at December 31, 2002. Wallet retention increased 8 percentage points during Calendar 2003 to 89%. The client and wallet retention rates increased steadily over the four quarters of Calendar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Consulting revenues decreased 6% during Calendar 2003 to $258.6 million from $276.1 million for Calendar 2002. Foreign currency exchange rates had a positive impact of approximately 5% during Calendar 2003. The decrease in revenues was caused by lower utilization. Billable headcount for our Consulting business as of December 31, 2003 increased to 526 at December 31, 2003 as compared to 459 at December 31, 2002.</w:t>
      </w:r>
    </w:p>
    <w:p>
      <w:pPr>
        <w:spacing w:after="0" w:line="1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Consulting gross contribution of $86.8 million for Calendar 2003 decreased 16% from $102.8 million for Calendar 2002, and gross contribution margin for Calendar 2003 decreased to 34% from 37% in the prior year. The decrease in the gross contribution margin was primarily attributable to lower consultant utilization rates, which were approximately 53% during Calendar 2003 as compared to approximately 56% during Calendar 2002.</w:t>
      </w:r>
    </w:p>
    <w:p>
      <w:pPr>
        <w:spacing w:after="0" w:line="1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Consulting backlog decreased 10% to $99.7 million at December 31, 2003, compared to $111.3 million at December 31, 2002, but increased sequentially during both the third and fourth quarters of Calendar 2003, when it was $91.0 million at June 30, 2003 and $92.8 million at September 30, 2003. Consulting backlog decreased as compared to the prior year due to the decline in demand throughout the entire technology sector, as technology customers continued to constrain spending.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w:t>
      </w:r>
    </w:p>
    <w:p>
      <w:pPr>
        <w:spacing w:after="0" w:line="18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Events revenues increased 9% to $119.4 million for Calendar 2003, compared to $109.7 million for Calendar 2002. Changes in foreign currency exchange rates had approximately a 5% favorable impact on revenues when comparing Calendar 2003 to Calendar 2002. Revenues have increased slightly despite having nine fewer events during Calendar 2003 as compared to Calendar 2002. The average revenue per event increased during Calendar 2003 due to the strong performance of our recurring events, as well as the addition of new events during Calendar 2003 that had higher revenues than the events that were eliminated.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Gross contribution of $56.0 million for Calendar 2003 was relatively consistent with Calendar 2002. As a percentage of revenues, gross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contribution decreased to 47% during Calendar 2003 from 51% during Calendar 2002. The decrease in gross contribution margin was due primarily to increased personnel expenses and increased event marketing costs. During 2003, we invested more in marketing and promoting our events to maintain our attendance levels during a weak economy, especially in the technology sector.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Calendar 2004</w:t>
      </w:r>
    </w:p>
    <w:p>
      <w:pPr>
        <w:spacing w:after="0" w:line="18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Cash provided by operating activities during Calendar 2004 totaled $48.3 compared to $136.3 million in Calendar 2003. The net decrease in cash flow from operating activities of $88.0 million was due to several factors. We paid $27.0 million in bonuses during 2004 compared to zero in Calendar 2003. No bonuses were paid during Calendar 2003 as they had previously been paid during the quarter ended December 31, 2002 but are now being paid during the first half of the year as a result of our change in fiscal year that became effective January 1, 2003. As a result, the 2003 bonuses were paid in Calendar 2004. Further, we paid a portion of our 2004 bonuses in the third quarter of 2004 in accordance with the current year corporate bonus plan. Additionally, cash from operating activities declined because we paid approximately $14.0 million more in severance during Calendar 2004 than in Calendar 2003. The net decrease in cash flow from operating activities was also due to the accelerated collection of receivables in Calendar 2003 which improved operating cash flow in that year by approximately $26.0 million, which was not repeated in Calendar 2004. Lastly, approximately $15.0 million of certain accrued liabilities booked in the fourth quarter of Calendar 2003 were paid in the first quarter of 2004.</w:t>
      </w:r>
    </w:p>
    <w:p>
      <w:pPr>
        <w:spacing w:after="0" w:line="15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Cash used in investing activities increased to $29.0 million during Calendar 2004 as compared to $25.4 million for Calendar 2003. The increase was primarily due to $3.9 million we prepaid related to the acquisition of META. Capital expenditures in Calendar 2004 of $25.1 million were 15% lower than the</w:t>
      </w:r>
    </w:p>
    <w:p>
      <w:pPr>
        <w:ind w:right="680"/>
        <w:spacing w:after="0" w:line="261" w:lineRule="auto"/>
        <w:rPr>
          <w:sz w:val="20"/>
          <w:szCs w:val="20"/>
          <w:color w:val="auto"/>
        </w:rPr>
      </w:pPr>
      <w:r>
        <w:rPr>
          <w:rFonts w:ascii="Arial" w:cs="Arial" w:eastAsia="Arial" w:hAnsi="Arial"/>
          <w:sz w:val="18"/>
          <w:szCs w:val="18"/>
          <w:color w:val="auto"/>
        </w:rPr>
        <w:t>$28.9 million in Calendar 2003. During Calendar 2003, we received an insurance recovery of $5.5 million, and we funded $2.0 million of our capital commitment to SI II.</w:t>
      </w:r>
    </w:p>
    <w:p>
      <w:pPr>
        <w:spacing w:after="0" w:line="14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Cash used by financing activities totaled $97.3 million for Calendar 2004, compared to $3.0 million used in Calendar 2003. We purchased $352.3 million of our common stock for treasury during Calendar 2004, of which $346.2 million represents the tender offer and Silver Lake repurchases, inclusive of related costs, as compared to $43.4 million during the prior year. We received proceeds from stock issued for stock plans of $67.8 million during Calendar 2004, as compared to $41.7 million during the prior year. This increase is a result of higher stock option exercises by our employees as increases in our stock price caused a significantly larger percentage of our vested stock options to be in the money during Calendar 2004 as compared to Calendar 2003. We borrowed $200 million related to the tender in the third quarter of Calendar 2004, receiving proceeds, net of debt issuance costs, of $197.2 million. We repaid $10 million of this debt in the fourth quarter of Calendar 2004.</w:t>
      </w:r>
    </w:p>
    <w:p>
      <w:pPr>
        <w:spacing w:after="0" w:line="13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At December 31, 2004, cash and cash equivalents totaled $160.1 million. The effect of exchange rates increased cash and cash equivalents by $8.1 million during Calendar 2004, and was due to the weakening of the U.S. dollar against certain foreign currencies, primarily the Euro and Sterling.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Calendar 2003</w:t>
      </w:r>
    </w:p>
    <w:p>
      <w:pPr>
        <w:spacing w:after="0" w:line="1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Cash provided by operating activities during Calendar 2003 was $136.3 million, compared to $145.8 million during Calendar 2002. The decrease was primarily due to lower cash-related earnings and a smaller decrease in receivables during Calendar 2003 compared to Calendar 2002. Cash-related earnings are income from continuing operations adjusted for the non-cash items included in income, such as depreciation and amortization, the accretion of interest and amortization of debt issue costs, along with other non-cash charges. Partially offsetting these decreases were higher bonus payments during Calendar 2002. Bonus payments were higher during Calendar 2002 due to our change in fiscal year from September 30 to December 31, effective January 1, 2003. Our Fiscal 2002 bonuses were paid during Transition 2002, or the fourth quarter of Calendar 2002, whereas, Calendar 2003 bonuses were paid during 2004.</w:t>
      </w:r>
    </w:p>
    <w:p>
      <w:pPr>
        <w:spacing w:after="0" w:line="124"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Cash used in investing activities was $25.4 million for Calendar 2003, compared to $26.3 million for Calendar 2002. The decrease was due primarily to the proceeds received from an insurance recovery of $5.5 million during Calendar 2003 associated with a previously incurred loss on a claim resulting from the sale of a business in 2000. Additionally, during 2002 we spent $3.9 million to purchase the remaining 49.9% of People3, Inc. not previously owned by us.</w:t>
      </w:r>
    </w:p>
    <w:p>
      <w:pPr>
        <w:jc w:val="both"/>
        <w:ind w:right="580"/>
        <w:spacing w:after="0" w:line="255" w:lineRule="auto"/>
        <w:rPr>
          <w:sz w:val="20"/>
          <w:szCs w:val="20"/>
          <w:color w:val="auto"/>
        </w:rPr>
      </w:pPr>
      <w:r>
        <w:rPr>
          <w:rFonts w:ascii="Arial" w:cs="Arial" w:eastAsia="Arial" w:hAnsi="Arial"/>
          <w:sz w:val="18"/>
          <w:szCs w:val="18"/>
          <w:color w:val="auto"/>
        </w:rPr>
        <w:t>During Calendar 2003 and Calendar 2002, we funded $2.0 million and $1.5 million, respectively, of our investment commitment to SI II, reducing our remaining commitment as of December 31, 2003 to $4.0 million. Spending on property and equipment increased $7.8 million to $28.9 million during Calendar 2003, as compared to $21.1 million during the same period of 2002.</w:t>
      </w:r>
    </w:p>
    <w:p>
      <w:pPr>
        <w:spacing w:after="0" w:line="1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used in financing activities totaled $3.0 million for Calendar 2003, compared to $42.2 million for Calendar 2002. We purchased $43.4 million of common stock for treasury during Calendar 2003, as compared to $59.9 million during Calendar 2002 (see further discussion that follows under Stock Repurchases). We received proceeds of $41.7 million from the exercise of stock options and the purchase of stock by employees participating in the employee stock purchase plan during Calendar 2003, as compared to $17.9 million during the Calendar 2002.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2003, cash and cash equivalents totaled $230.0 million. The effect of exchange rates increased cash and cash equivalents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by $12.4 million during Calendar 2003, and was due to the weakening of the U.S. dollar against certain foreign currencies.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8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have a Credit Agreement that provides for a $200.0 million term A loan facility and a five-year, $100 million revolving credit facility. During the third quarter of 2004, we borrowed $200 million under the term A loan facility, receiving net proceeds after debt issuance costs of $197.2 million. In accordance with the requirements of the term A loan facility, we made a loan payment of $10.0 million in the fourth quarter of Calendar 2004. At December 31, 2004, there was $190 million outstanding on the term loan facility and $3.5 million of letters of credit outstanding under the revolving credit facility. Based on specified covenant requirements, our borrowing availability at December 31, 2004 under the revolving credit facility was $59.2 million. Subsequent to December 31, 2004, we entered into an amendment of the Credit Agreement covenant requirements that resulted in additional borrowing capacity under the revolving credit facility. As a result, the amended borrowing availability under the revolving credit facility would have been $96.5 million at December 31, 2004.</w:t>
      </w:r>
    </w:p>
    <w:p>
      <w:pPr>
        <w:spacing w:after="0" w:line="152"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The facilities bear interest equal to LIBOR plus an applicable margin which varies based on specified leverage ratios. At December 31, 2004, the current interest rate was 3.59%. The term A loan facility is payable in equal quarterly installments over a five-year period ending August 12, 2009. The credit facilities are subject to mandatory prepayments from a portion of proceeds from asset sales and proceeds from certain future debt issuances. The credit agreement includes customary affirmative, negative and financial covenants primarily based on our financial results and other measures such as contract value. The facilities also include commitment fees on the unused portion of the revolving credit facility not subject to letters of credit.</w:t>
      </w:r>
    </w:p>
    <w:p>
      <w:pPr>
        <w:spacing w:after="0" w:line="13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April 17, 2000, we issued, in a private placement transaction, $300.0 million of our unsecured 6% convertible subordinated notes due April 17, 2005 to Silver Lake and other noteholders. Interest accrued semi-annually by a corresponding increase in the face amount of the convertible notes. In October 2003, the notes were converted into 49,441,122 shares of Gartner Class A Common Stock. The conversion was in accordance with the original terms of the notes.</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determination of the number of shares issued upon conversion was based upon a $7.45 conversion price and a convertible note of $368.3 million, consisting of the original face amount of $300 million plus accrued interest of $68.3 million. The unamortized balances of debt issue costs of $2.8 million and debt discount of $0.3 million as of the conversion date were netted against the outstanding principal and interest balances, resulting in a $365.2 million increase to stockholders’ equity. Additionally, certain costs directly associated with the conversion, such as regulatory filings, banking and legal fees totaling $0.6 million were charged to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our contractual commitments at December 31, 2004 (in millions):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color w:val="auto"/>
                <w:w w:val="88"/>
              </w:rPr>
              <w:t>Less Than</w:t>
            </w:r>
          </w:p>
        </w:tc>
        <w:tc>
          <w:tcPr>
            <w:tcW w:w="40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color w:val="auto"/>
              </w:rPr>
              <w:t>1 - 3</w:t>
            </w:r>
          </w:p>
        </w:tc>
        <w:tc>
          <w:tcPr>
            <w:tcW w:w="40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color w:val="auto"/>
              </w:rPr>
              <w:t>4 - 5</w:t>
            </w:r>
          </w:p>
        </w:tc>
        <w:tc>
          <w:tcPr>
            <w:tcW w:w="1000" w:type="dxa"/>
            <w:vAlign w:val="bottom"/>
            <w:gridSpan w:val="2"/>
          </w:tcPr>
          <w:p>
            <w:pPr>
              <w:jc w:val="right"/>
              <w:ind w:right="13"/>
              <w:spacing w:after="0"/>
              <w:rPr>
                <w:sz w:val="20"/>
                <w:szCs w:val="20"/>
                <w:color w:val="auto"/>
              </w:rPr>
            </w:pPr>
            <w:r>
              <w:rPr>
                <w:rFonts w:ascii="Arial" w:cs="Arial" w:eastAsia="Arial" w:hAnsi="Arial"/>
                <w:sz w:val="14"/>
                <w:szCs w:val="14"/>
                <w:color w:val="auto"/>
              </w:rPr>
              <w:t>More Than</w:t>
            </w:r>
          </w:p>
        </w:tc>
      </w:tr>
      <w:tr>
        <w:trPr>
          <w:trHeight w:val="174"/>
        </w:trPr>
        <w:tc>
          <w:tcPr>
            <w:tcW w:w="20" w:type="dxa"/>
            <w:vAlign w:val="bottom"/>
          </w:tcPr>
          <w:p>
            <w:pPr>
              <w:spacing w:after="0"/>
              <w:rPr>
                <w:sz w:val="15"/>
                <w:szCs w:val="15"/>
                <w:color w:val="auto"/>
              </w:rPr>
            </w:pPr>
          </w:p>
        </w:tc>
        <w:tc>
          <w:tcPr>
            <w:tcW w:w="6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1 Year</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Years</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Years</w:t>
            </w: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5 Years</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206.9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29.9</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44.0</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95.9</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credit facility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190.0</w:t>
            </w:r>
          </w:p>
        </w:tc>
        <w:tc>
          <w:tcPr>
            <w:tcW w:w="32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80.0</w:t>
            </w:r>
          </w:p>
        </w:tc>
        <w:tc>
          <w:tcPr>
            <w:tcW w:w="40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70.0</w:t>
            </w:r>
          </w:p>
        </w:tc>
        <w:tc>
          <w:tcPr>
            <w:tcW w:w="38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Severance associated with workforce reductions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Miscellaneous service agreements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META acquisition obligation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Totals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409.7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81.7</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125.0</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107.1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95.9</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December 27, 2004, we announced that we would acquire META in an all-cash transaction for $10.00 per share, or approximately $162.0 million, excluding transaction costs. While subject to regulatory and stockholder approvals, we expect the transaction to be effective April 1, 2005. The $1.7 million of META acquisition obligation in the table above relates to additional nonrefundable acquisition expenses that we are obligated to pay. In order to fund the purchase of META, we anticipate that we will use a combination of cash and our amended five-year revolving credit facility. In connection with funding the META transaction, we anticipate repatriating $52.0 million in cash earnings from our non-US subsidiaries in early 2005.</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believe that our existing cash balances, together with cash from our operating activities and the additional borrowing capacity under our amended five-year revolving credit facility, will be sufficient for our expected short-term and foreseeable long-term needs. We are currently evaluating the option of establishing long-term debt as a permanent part of our capital structure. However, there can be no assurances that such capital will be available to us or will be available on commercially reasonable terms.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w:t>
      </w:r>
    </w:p>
    <w:p>
      <w:pPr>
        <w:spacing w:after="0" w:line="18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On August 10, 2004, we announced the final results of our Dutch auction tender offer. We repurchased approximately 11.3 million shares of our Class A Common Stock and 5.5 million shares of our Class B Common Stock at a purchase price of $13.30 and $12.50 per share,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we repurchased 9.2 million Class A shares from Silver Lake and certain of its affiliates, which collectively owned approximately 44.4% of our Class A Common Stock and are affiliated with two members of our Board of Directors, at a purchase price of $13.30 per share. The total cost of the purchases was $346.2 million, including transaction costs of $3.8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8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July 2001, our Board of Directors approved the repurchase of up to $75.0 million of Class A and Class B Common Stock. The Board of Directors subsequently increased the authorized stock repurchase program to a total authorization for repurchase of $200.0 million. On a cumulative basis at December 31, 2004, we have purchased $133.2 million of our stock under this stock repurchase program. In connection with the tender offer, the Board of Directors terminated the stock repurchase program in June 2004. The following table provides information related to our cumulative repurchases under this program:</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380" w:type="dxa"/>
            <w:vAlign w:val="bottom"/>
            <w:gridSpan w:val="4"/>
            <w:vMerge w:val="restart"/>
          </w:tcPr>
          <w:p>
            <w:pPr>
              <w:ind w:left="280"/>
              <w:spacing w:after="0"/>
              <w:rPr>
                <w:sz w:val="20"/>
                <w:szCs w:val="20"/>
                <w:color w:val="auto"/>
              </w:rPr>
            </w:pPr>
            <w:r>
              <w:rPr>
                <w:rFonts w:ascii="Arial" w:cs="Arial" w:eastAsia="Arial" w:hAnsi="Arial"/>
                <w:sz w:val="14"/>
                <w:szCs w:val="14"/>
                <w:color w:val="auto"/>
              </w:rPr>
              <w:t>Class A Common Stock</w:t>
            </w:r>
          </w:p>
        </w:tc>
        <w:tc>
          <w:tcPr>
            <w:tcW w:w="2160" w:type="dxa"/>
            <w:vAlign w:val="bottom"/>
            <w:gridSpan w:val="4"/>
            <w:vMerge w:val="restart"/>
          </w:tcPr>
          <w:p>
            <w:pPr>
              <w:jc w:val="right"/>
              <w:ind w:right="500"/>
              <w:spacing w:after="0"/>
              <w:rPr>
                <w:sz w:val="20"/>
                <w:szCs w:val="20"/>
                <w:color w:val="auto"/>
              </w:rPr>
            </w:pPr>
            <w:r>
              <w:rPr>
                <w:rFonts w:ascii="Arial" w:cs="Arial" w:eastAsia="Arial" w:hAnsi="Arial"/>
                <w:sz w:val="14"/>
                <w:szCs w:val="14"/>
                <w:color w:val="auto"/>
              </w:rPr>
              <w:t>Class B Common Stock</w:t>
            </w:r>
          </w:p>
        </w:tc>
        <w:tc>
          <w:tcPr>
            <w:tcW w:w="38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380" w:type="dxa"/>
            <w:vAlign w:val="bottom"/>
            <w:gridSpan w:val="4"/>
            <w:vMerge w:val="continue"/>
          </w:tcPr>
          <w:p>
            <w:pPr>
              <w:spacing w:after="0"/>
              <w:rPr>
                <w:sz w:val="13"/>
                <w:szCs w:val="13"/>
                <w:color w:val="auto"/>
              </w:rPr>
            </w:pPr>
          </w:p>
        </w:tc>
        <w:tc>
          <w:tcPr>
            <w:tcW w:w="216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ind w:right="17"/>
              <w:spacing w:after="0" w:line="154" w:lineRule="exact"/>
              <w:rPr>
                <w:sz w:val="20"/>
                <w:szCs w:val="20"/>
                <w:color w:val="auto"/>
              </w:rPr>
            </w:pPr>
            <w:r>
              <w:rPr>
                <w:rFonts w:ascii="Arial" w:cs="Arial" w:eastAsia="Arial" w:hAnsi="Arial"/>
                <w:sz w:val="14"/>
                <w:szCs w:val="14"/>
                <w:color w:val="auto"/>
              </w:rPr>
              <w:t>Cost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Average</w:t>
            </w:r>
          </w:p>
        </w:tc>
        <w:tc>
          <w:tcPr>
            <w:tcW w:w="4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Average</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jc w:val="right"/>
              <w:ind w:right="17"/>
              <w:spacing w:after="0" w:line="123" w:lineRule="exact"/>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6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Total Shares</w:t>
            </w:r>
          </w:p>
        </w:tc>
        <w:tc>
          <w:tcPr>
            <w:tcW w:w="132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Price Paid</w:t>
            </w:r>
          </w:p>
        </w:tc>
        <w:tc>
          <w:tcPr>
            <w:tcW w:w="106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Total Shares</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Price Paid</w:t>
            </w:r>
          </w:p>
        </w:tc>
        <w:tc>
          <w:tcPr>
            <w:tcW w:w="380" w:type="dxa"/>
            <w:vAlign w:val="bottom"/>
          </w:tcPr>
          <w:p>
            <w:pPr>
              <w:spacing w:after="0"/>
              <w:rPr>
                <w:sz w:val="12"/>
                <w:szCs w:val="12"/>
                <w:color w:val="auto"/>
              </w:rPr>
            </w:pPr>
          </w:p>
        </w:tc>
        <w:tc>
          <w:tcPr>
            <w:tcW w:w="760" w:type="dxa"/>
            <w:vAlign w:val="bottom"/>
          </w:tcPr>
          <w:p>
            <w:pPr>
              <w:jc w:val="right"/>
              <w:ind w:right="17"/>
              <w:spacing w:after="0" w:line="149" w:lineRule="exact"/>
              <w:rPr>
                <w:sz w:val="20"/>
                <w:szCs w:val="20"/>
                <w:color w:val="auto"/>
              </w:rPr>
            </w:pPr>
            <w:r>
              <w:rPr>
                <w:rFonts w:ascii="Arial" w:cs="Arial" w:eastAsia="Arial" w:hAnsi="Arial"/>
                <w:sz w:val="14"/>
                <w:szCs w:val="14"/>
                <w:color w:val="auto"/>
                <w:w w:val="95"/>
              </w:rPr>
              <w:t>Purchased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Purchased</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w w:val="91"/>
              </w:rPr>
              <w:t>per Share</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Purchased</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w w:val="87"/>
              </w:rPr>
              <w:t>per Share</w:t>
            </w: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Fiscal 2001</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2,318,149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9.79</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7,960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Fiscal 2002</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2,153,400</w:t>
            </w:r>
          </w:p>
        </w:tc>
        <w:tc>
          <w:tcPr>
            <w:tcW w:w="3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10.84</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2,311,700</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47,047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Transition 2002</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963,117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9.79</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453,600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Calendar 2003</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3,435,161</w:t>
            </w:r>
          </w:p>
        </w:tc>
        <w:tc>
          <w:tcPr>
            <w:tcW w:w="3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8.47</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1,549,485</w:t>
            </w:r>
          </w:p>
        </w:tc>
        <w:tc>
          <w:tcPr>
            <w:tcW w:w="3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38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43,433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Calendar 2004</w:t>
            </w:r>
          </w:p>
        </w:tc>
        <w:tc>
          <w:tcPr>
            <w:tcW w:w="10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413,225</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11.59</w:t>
            </w:r>
          </w:p>
        </w:tc>
        <w:tc>
          <w:tcPr>
            <w:tcW w:w="10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114,600</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Totals</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9,283,052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9.62</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4,437,345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9.89</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8"/>
              </w:rPr>
              <w:t>133,245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Through December 31, 2004, we have not entered into any off balance sheet arrangements or transactions with unconsolidated entities or other persons.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2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4"/>
        </w:trPr>
        <w:tc>
          <w:tcPr>
            <w:tcW w:w="4640" w:type="dxa"/>
            <w:vAlign w:val="bottom"/>
            <w:gridSpan w:val="2"/>
          </w:tcPr>
          <w:p>
            <w:pPr>
              <w:spacing w:after="0"/>
              <w:rPr>
                <w:sz w:val="20"/>
                <w:szCs w:val="20"/>
                <w:color w:val="auto"/>
              </w:rPr>
            </w:pPr>
            <w:r>
              <w:rPr>
                <w:rFonts w:ascii="Arial" w:cs="Arial" w:eastAsia="Arial" w:hAnsi="Arial"/>
                <w:sz w:val="14"/>
                <w:szCs w:val="14"/>
                <w:color w:val="auto"/>
              </w:rPr>
              <w:t>Calendar 2004</w:t>
            </w:r>
          </w:p>
        </w:tc>
        <w:tc>
          <w:tcPr>
            <w:tcW w:w="2620" w:type="dxa"/>
            <w:vAlign w:val="bottom"/>
          </w:tcPr>
          <w:p>
            <w:pPr>
              <w:spacing w:after="0"/>
              <w:rPr>
                <w:sz w:val="15"/>
                <w:szCs w:val="15"/>
                <w:color w:val="auto"/>
              </w:rPr>
            </w:pPr>
          </w:p>
        </w:tc>
        <w:tc>
          <w:tcPr>
            <w:tcW w:w="860" w:type="dxa"/>
            <w:vAlign w:val="bottom"/>
          </w:tcPr>
          <w:p>
            <w:pPr>
              <w:jc w:val="right"/>
              <w:ind w:right="173"/>
              <w:spacing w:after="0"/>
              <w:rPr>
                <w:sz w:val="20"/>
                <w:szCs w:val="20"/>
                <w:color w:val="auto"/>
              </w:rPr>
            </w:pPr>
            <w:r>
              <w:rPr>
                <w:rFonts w:ascii="Arial" w:cs="Arial" w:eastAsia="Arial" w:hAnsi="Arial"/>
                <w:sz w:val="14"/>
                <w:szCs w:val="14"/>
                <w:color w:val="auto"/>
              </w:rPr>
              <w:t>First (4)</w:t>
            </w:r>
          </w:p>
        </w:tc>
        <w:tc>
          <w:tcPr>
            <w:tcW w:w="1120" w:type="dxa"/>
            <w:vAlign w:val="bottom"/>
            <w:gridSpan w:val="2"/>
          </w:tcPr>
          <w:p>
            <w:pPr>
              <w:jc w:val="right"/>
              <w:ind w:right="132"/>
              <w:spacing w:after="0"/>
              <w:rPr>
                <w:sz w:val="20"/>
                <w:szCs w:val="20"/>
                <w:color w:val="auto"/>
              </w:rPr>
            </w:pPr>
            <w:r>
              <w:rPr>
                <w:rFonts w:ascii="Arial" w:cs="Arial" w:eastAsia="Arial" w:hAnsi="Arial"/>
                <w:sz w:val="14"/>
                <w:szCs w:val="14"/>
                <w:color w:val="auto"/>
              </w:rPr>
              <w:t>Second (4)</w:t>
            </w:r>
          </w:p>
        </w:tc>
        <w:tc>
          <w:tcPr>
            <w:tcW w:w="320" w:type="dxa"/>
            <w:vAlign w:val="bottom"/>
          </w:tcPr>
          <w:p>
            <w:pPr>
              <w:spacing w:after="0"/>
              <w:rPr>
                <w:sz w:val="15"/>
                <w:szCs w:val="15"/>
                <w:color w:val="auto"/>
              </w:rPr>
            </w:pPr>
          </w:p>
        </w:tc>
        <w:tc>
          <w:tcPr>
            <w:tcW w:w="820" w:type="dxa"/>
            <w:vAlign w:val="bottom"/>
          </w:tcPr>
          <w:p>
            <w:pPr>
              <w:jc w:val="right"/>
              <w:ind w:right="133"/>
              <w:spacing w:after="0"/>
              <w:rPr>
                <w:sz w:val="20"/>
                <w:szCs w:val="20"/>
                <w:color w:val="auto"/>
              </w:rPr>
            </w:pPr>
            <w:r>
              <w:rPr>
                <w:rFonts w:ascii="Arial" w:cs="Arial" w:eastAsia="Arial" w:hAnsi="Arial"/>
                <w:sz w:val="14"/>
                <w:szCs w:val="14"/>
                <w:color w:val="auto"/>
              </w:rPr>
              <w:t>Third</w:t>
            </w:r>
          </w:p>
        </w:tc>
        <w:tc>
          <w:tcPr>
            <w:tcW w:w="3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Fourth</w:t>
            </w:r>
          </w:p>
        </w:tc>
      </w:tr>
      <w:tr>
        <w:trPr>
          <w:trHeight w:val="216"/>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89"/>
              </w:rPr>
              <w:t>208,667</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9"/>
              </w:rPr>
              <w:t>227,857</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89"/>
              </w:rPr>
              <w:t>201,888</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255,409</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income (1)</w:t>
            </w:r>
          </w:p>
        </w:tc>
        <w:tc>
          <w:tcPr>
            <w:tcW w:w="262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6,171</w:t>
            </w:r>
          </w:p>
        </w:tc>
        <w:tc>
          <w:tcPr>
            <w:tcW w:w="3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15,786</w:t>
            </w:r>
          </w:p>
        </w:tc>
        <w:tc>
          <w:tcPr>
            <w:tcW w:w="32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5,477</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15,225</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(2)</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464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11,028</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5,237</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per share:</w:t>
            </w: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(3)</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r>
      <w:tr>
        <w:trPr>
          <w:trHeight w:val="230"/>
        </w:trPr>
        <w:tc>
          <w:tcPr>
            <w:tcW w:w="20" w:type="dxa"/>
            <w:vAlign w:val="bottom"/>
          </w:tcPr>
          <w:p>
            <w:pPr>
              <w:spacing w:after="0"/>
              <w:rPr>
                <w:sz w:val="20"/>
                <w:szCs w:val="20"/>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20" w:type="dxa"/>
            <w:vAlign w:val="bottom"/>
          </w:tcPr>
          <w:p>
            <w:pPr>
              <w:spacing w:after="0"/>
              <w:rPr>
                <w:sz w:val="20"/>
                <w:szCs w:val="20"/>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0.05</w:t>
            </w:r>
          </w:p>
        </w:tc>
      </w:tr>
      <w:tr>
        <w:trPr>
          <w:trHeight w:val="357"/>
        </w:trPr>
        <w:tc>
          <w:tcPr>
            <w:tcW w:w="4640" w:type="dxa"/>
            <w:vAlign w:val="bottom"/>
            <w:gridSpan w:val="2"/>
          </w:tcPr>
          <w:p>
            <w:pPr>
              <w:spacing w:after="0"/>
              <w:rPr>
                <w:sz w:val="20"/>
                <w:szCs w:val="20"/>
                <w:color w:val="auto"/>
              </w:rPr>
            </w:pPr>
            <w:r>
              <w:rPr>
                <w:rFonts w:ascii="Arial" w:cs="Arial" w:eastAsia="Arial" w:hAnsi="Arial"/>
                <w:sz w:val="14"/>
                <w:szCs w:val="14"/>
                <w:color w:val="auto"/>
              </w:rPr>
              <w:t>Calendar 2003</w:t>
            </w:r>
          </w:p>
        </w:tc>
        <w:tc>
          <w:tcPr>
            <w:tcW w:w="2620" w:type="dxa"/>
            <w:vAlign w:val="bottom"/>
          </w:tcPr>
          <w:p>
            <w:pPr>
              <w:spacing w:after="0"/>
              <w:rPr>
                <w:sz w:val="24"/>
                <w:szCs w:val="24"/>
                <w:color w:val="auto"/>
              </w:rPr>
            </w:pPr>
          </w:p>
        </w:tc>
        <w:tc>
          <w:tcPr>
            <w:tcW w:w="860" w:type="dxa"/>
            <w:vAlign w:val="bottom"/>
          </w:tcPr>
          <w:p>
            <w:pPr>
              <w:jc w:val="right"/>
              <w:ind w:right="173"/>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Second</w:t>
            </w:r>
          </w:p>
        </w:tc>
        <w:tc>
          <w:tcPr>
            <w:tcW w:w="320" w:type="dxa"/>
            <w:vAlign w:val="bottom"/>
          </w:tcPr>
          <w:p>
            <w:pPr>
              <w:spacing w:after="0"/>
              <w:rPr>
                <w:sz w:val="24"/>
                <w:szCs w:val="24"/>
                <w:color w:val="auto"/>
              </w:rPr>
            </w:pPr>
          </w:p>
        </w:tc>
        <w:tc>
          <w:tcPr>
            <w:tcW w:w="820" w:type="dxa"/>
            <w:vAlign w:val="bottom"/>
          </w:tcPr>
          <w:p>
            <w:pPr>
              <w:jc w:val="right"/>
              <w:ind w:right="133"/>
              <w:spacing w:after="0"/>
              <w:rPr>
                <w:sz w:val="20"/>
                <w:szCs w:val="20"/>
                <w:color w:val="auto"/>
              </w:rPr>
            </w:pPr>
            <w:r>
              <w:rPr>
                <w:rFonts w:ascii="Arial" w:cs="Arial" w:eastAsia="Arial" w:hAnsi="Arial"/>
                <w:sz w:val="14"/>
                <w:szCs w:val="14"/>
                <w:color w:val="auto"/>
              </w:rPr>
              <w:t>Third</w:t>
            </w:r>
          </w:p>
        </w:tc>
        <w:tc>
          <w:tcPr>
            <w:tcW w:w="34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w w:val="94"/>
              </w:rPr>
              <w:t>Fourth (4)</w:t>
            </w:r>
          </w:p>
        </w:tc>
      </w:tr>
      <w:tr>
        <w:trPr>
          <w:trHeight w:val="216"/>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89"/>
              </w:rPr>
              <w:t>204,282</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9"/>
              </w:rPr>
              <w:t>213,318</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89"/>
              </w:rPr>
              <w:t>196,904</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243,942</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income (1)</w:t>
            </w:r>
          </w:p>
        </w:tc>
        <w:tc>
          <w:tcPr>
            <w:tcW w:w="262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2,789</w:t>
            </w:r>
          </w:p>
        </w:tc>
        <w:tc>
          <w:tcPr>
            <w:tcW w:w="30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19,846</w:t>
            </w:r>
          </w:p>
        </w:tc>
        <w:tc>
          <w:tcPr>
            <w:tcW w:w="320" w:type="dxa"/>
            <w:vAlign w:val="bottom"/>
          </w:tcPr>
          <w:p>
            <w:pPr>
              <w:spacing w:after="0"/>
              <w:rPr>
                <w:sz w:val="18"/>
                <w:szCs w:val="18"/>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13,991</w:t>
            </w:r>
          </w:p>
        </w:tc>
        <w:tc>
          <w:tcPr>
            <w:tcW w:w="3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10,707</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(2)</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(1,512)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12,854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5,474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6,773</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(loss) income per share:</w:t>
            </w: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0.07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r>
      <w:tr>
        <w:trPr>
          <w:trHeight w:val="230"/>
        </w:trPr>
        <w:tc>
          <w:tcPr>
            <w:tcW w:w="20" w:type="dxa"/>
            <w:vAlign w:val="bottom"/>
          </w:tcPr>
          <w:p>
            <w:pPr>
              <w:spacing w:after="0"/>
              <w:rPr>
                <w:sz w:val="20"/>
                <w:szCs w:val="20"/>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Diluted (3)</w:t>
            </w:r>
          </w:p>
        </w:tc>
        <w:tc>
          <w:tcPr>
            <w:tcW w:w="2620" w:type="dxa"/>
            <w:vAlign w:val="bottom"/>
          </w:tcPr>
          <w:p>
            <w:pPr>
              <w:spacing w:after="0"/>
              <w:rPr>
                <w:sz w:val="20"/>
                <w:szCs w:val="20"/>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0.13</w:t>
            </w:r>
          </w:p>
        </w:tc>
        <w:tc>
          <w:tcPr>
            <w:tcW w:w="320" w:type="dxa"/>
            <w:vAlign w:val="bottom"/>
          </w:tcPr>
          <w:p>
            <w:pPr>
              <w:spacing w:after="0"/>
              <w:rPr>
                <w:sz w:val="20"/>
                <w:szCs w:val="20"/>
                <w:color w:val="auto"/>
              </w:rPr>
            </w:pP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0.07</w:t>
            </w:r>
          </w:p>
        </w:tc>
        <w:tc>
          <w:tcPr>
            <w:tcW w:w="34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320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9" w:lineRule="exact"/>
        <w:rPr>
          <w:sz w:val="20"/>
          <w:szCs w:val="20"/>
          <w:color w:val="auto"/>
        </w:rPr>
      </w:pPr>
    </w:p>
    <w:p>
      <w:pPr>
        <w:ind w:left="540" w:right="280" w:hanging="532"/>
        <w:spacing w:after="0" w:line="34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Calendar 2004 includes Other charges of $10.5 million in the first quarter, $9.1 million in the second quarter, $4.3 million in the third quarter, and $11.9 million in the fourth quarter. Calendar 2003 includes Other charges of $5.4 million in the first quarter and $24.3 million in the fourth quarter.</w:t>
      </w:r>
    </w:p>
    <w:p>
      <w:pPr>
        <w:spacing w:after="0" w:line="123" w:lineRule="exact"/>
        <w:rPr>
          <w:rFonts w:ascii="Arial" w:cs="Arial" w:eastAsia="Arial" w:hAnsi="Arial"/>
          <w:sz w:val="16"/>
          <w:szCs w:val="16"/>
          <w:color w:val="auto"/>
        </w:rPr>
      </w:pPr>
    </w:p>
    <w:p>
      <w:pPr>
        <w:ind w:left="540" w:hanging="532"/>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gains (losses) on investments of $(2.2) million and $(0.8) million in the third and fourth quarters of Calendar 2004, respectively, and</w:t>
      </w:r>
    </w:p>
    <w:p>
      <w:pPr>
        <w:spacing w:after="0" w:line="34" w:lineRule="exact"/>
        <w:rPr>
          <w:rFonts w:ascii="Arial" w:cs="Arial" w:eastAsia="Arial" w:hAnsi="Arial"/>
          <w:sz w:val="17"/>
          <w:szCs w:val="17"/>
          <w:color w:val="auto"/>
        </w:rPr>
      </w:pPr>
    </w:p>
    <w:p>
      <w:pPr>
        <w:ind w:left="540" w:right="360"/>
        <w:spacing w:after="0" w:line="255" w:lineRule="auto"/>
        <w:rPr>
          <w:rFonts w:ascii="Arial" w:cs="Arial" w:eastAsia="Arial" w:hAnsi="Arial"/>
          <w:sz w:val="17"/>
          <w:szCs w:val="17"/>
          <w:color w:val="auto"/>
        </w:rPr>
      </w:pPr>
      <w:r>
        <w:rPr>
          <w:rFonts w:ascii="Arial" w:cs="Arial" w:eastAsia="Arial" w:hAnsi="Arial"/>
          <w:sz w:val="18"/>
          <w:szCs w:val="18"/>
          <w:color w:val="auto"/>
        </w:rPr>
        <w:t>$5.5 million, $0.1 million, and $(0.9) million for the second, third and fourth quarters of Calendar 2003, respectively. Calendar 2004 also includes $2.9 and $0.2 million of accumulated foreign currency translation charges in the first and fourth quarters, respectively, and $0.7 million and $2.0 million of goodwill impairment in the first and fourth quarters, respectively.</w:t>
      </w:r>
    </w:p>
    <w:p>
      <w:pPr>
        <w:spacing w:after="0" w:line="190" w:lineRule="exact"/>
        <w:rPr>
          <w:rFonts w:ascii="Arial" w:cs="Arial" w:eastAsia="Arial" w:hAnsi="Arial"/>
          <w:sz w:val="17"/>
          <w:szCs w:val="17"/>
          <w:color w:val="auto"/>
        </w:rPr>
      </w:pPr>
    </w:p>
    <w:p>
      <w:pPr>
        <w:ind w:left="540" w:right="18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of the four quarters’ basic and diluted earnings per common share does not equal the reported full calendar amounts due to the effects of dilutive securities and rounding.</w:t>
      </w:r>
    </w:p>
    <w:p>
      <w:pPr>
        <w:spacing w:after="0" w:line="170" w:lineRule="exact"/>
        <w:rPr>
          <w:rFonts w:ascii="Arial" w:cs="Arial" w:eastAsia="Arial" w:hAnsi="Arial"/>
          <w:sz w:val="18"/>
          <w:szCs w:val="18"/>
          <w:color w:val="auto"/>
        </w:rPr>
      </w:pPr>
    </w:p>
    <w:p>
      <w:pPr>
        <w:ind w:left="540" w:right="140" w:hanging="53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first and second quarters of Calendar 2004, and the fourth quarter of Calendar 2003, we recorded adjustments for certain incentive compensation accruals, including bonuses, that provided a benefit to operating income of approximately $2.8 million, $4.0 million, and $3.2 million, respectively.</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PERFORMANCE</w:t>
      </w:r>
    </w:p>
    <w:p>
      <w:pPr>
        <w:spacing w:after="0" w:line="20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operate in a very competitive and rapidly changing environment that involves numerous risks and uncertainties, some of which are beyond our control. In addition, we and our clients are affected by the economy. The following section discusses many, but not all, of these risks and uncertainties.</w:t>
      </w:r>
    </w:p>
    <w:p>
      <w:pPr>
        <w:spacing w:after="0" w:line="10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Economic Conditions</w:t>
      </w:r>
      <w:r>
        <w:rPr>
          <w:rFonts w:ascii="Arial" w:cs="Arial" w:eastAsia="Arial" w:hAnsi="Arial"/>
          <w:sz w:val="18"/>
          <w:szCs w:val="18"/>
          <w:color w:val="auto"/>
        </w:rPr>
        <w:t>. Our revenues and results of operations are influenced by economic conditions in general and more particularly by business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IT industry. A general economic downturn or recession, anywhere in the world, could negatively affect demand for our products and services and may further substantially reduce existing and potential client information technology-related budgets. The economic downturn in the United States and globally has led to constrained IT spending, which has impacted our business and if it were to continue could materially and adversely affect our business, financial condition and results of operations, including the ability to: maintain client retention, wallet retention and consulting utilization rates, and achieve contract value and consulting backlog. To the extent our clients are in the IT industry, the severe decline in that sector has also had a significant impact on their spending.</w:t>
      </w:r>
    </w:p>
    <w:p>
      <w:pPr>
        <w:spacing w:after="0" w:line="14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Organizational and Product Integration Related to Acquisitions</w:t>
      </w:r>
      <w:r>
        <w:rPr>
          <w:rFonts w:ascii="Arial" w:cs="Arial" w:eastAsia="Arial" w:hAnsi="Arial"/>
          <w:sz w:val="17"/>
          <w:szCs w:val="17"/>
          <w:color w:val="auto"/>
        </w:rPr>
        <w:t>. We have made and may continue to make acquisitions of, or significant investments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that offer complementary products and services, including our pending acquisition of META. The risks involved in each acquisition or investment include the possibility of paying more than the value we derive from the acquisition, dilution of the interests of our current stockholders or decreased working capital, increased indebtedness, the assumption of undisclosed liabilities and unknown and unforeseen risks, the ability to integrate successfully the operations and personnel of the acquired business, the ability to retain key personnel of the acquired company, the time to train the sales force to market and sell the products of the acquired company, the potential disruption of our ongoing business and the distraction of management from our business. The realization of any of these risks could adversely affect our business.</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Restructuring, Reorganization and Management Team. </w:t>
      </w:r>
      <w:r>
        <w:rPr>
          <w:rFonts w:ascii="Arial" w:cs="Arial" w:eastAsia="Arial" w:hAnsi="Arial"/>
          <w:sz w:val="17"/>
          <w:szCs w:val="17"/>
          <w:color w:val="auto"/>
        </w:rPr>
        <w:t>Our future success depends, in significant part, upon the continued service and performance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senior management and other key personnel. We have recently reorganized our business around specific client needs. As part of this reorganization, a number of key management positions have been filled by the promotion of current employees or the hiring of new employees. Additionally, we have restructured our workforce in order to streamline operations and strengthen key consulting practices. If the reorganization and restructuring of our business does not lead to the results we expect, our ability to effectively deliver our products, manage our company and carry out our business plan may be impaired. On July 23, 2004, we announced that the Board of Directors named Eugene A. Hall as our Chief Executive Officer. Mr. Hall succeeded Michael Fleisher, who had previously announced his intention to depart as our Chairman and Chief Executive Officer. Additionally, James C. Smith, a current Board member, has been named non-executive chairman of the Board of Directors. Further, on September 28, 2004, we announced that the position of President and Chief Operating Officer, previously held by Maureen O’Connell, was eliminated and that Mr. Hall would assume direct responsibility for business operations. If we cannot successfully integrate our Chief Executive Officer into our senior management team, then our ability to effectively deliver our products, manage our company and carry out our business plan may be impaired.</w:t>
      </w:r>
    </w:p>
    <w:p>
      <w:pPr>
        <w:spacing w:after="0" w:line="14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i w:val="1"/>
          <w:iCs w:val="1"/>
          <w:color w:val="auto"/>
        </w:rPr>
        <w:t xml:space="preserve">Acts of Terrorism or War. </w:t>
      </w:r>
      <w:r>
        <w:rPr>
          <w:rFonts w:ascii="Arial" w:cs="Arial" w:eastAsia="Arial" w:hAnsi="Arial"/>
          <w:sz w:val="16"/>
          <w:szCs w:val="16"/>
          <w:color w:val="auto"/>
        </w:rPr>
        <w:t>Acts of terrorism, acts of war and other unforeseen events, may cause damage or disruption to our properties, business,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suppliers, distributors and clients, which could have an adverse effect on our business, financial condition and operating results. Such events may also result in an economic slowdown in the United States or elsewhere, which could adversely affect our business, financial condition and operating results.</w:t>
      </w:r>
    </w:p>
    <w:p>
      <w:pPr>
        <w:spacing w:after="0" w:line="1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Competitive Environment</w:t>
      </w:r>
      <w:r>
        <w:rPr>
          <w:rFonts w:ascii="Arial" w:cs="Arial" w:eastAsia="Arial" w:hAnsi="Arial"/>
          <w:sz w:val="18"/>
          <w:szCs w:val="18"/>
          <w:color w:val="auto"/>
        </w:rPr>
        <w:t>. We face direct competition from a significant number of independent providers of information products and services,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that can be found on the Internet free of charge. We also compete indirectly against consulting firms and other information providers, including electronic and print media companies, some of which may have greater financial, information gathering and marketing resources than we do. These indirect competitors could choose to compete directly with us in the future. In addition, limited barriers to entry exist in the markets in which we do business. As a result, additional new competitors may emerge and existing competitors may start to provide additional or complementary services. Additionally, technological advances may provide increased competition from a variety of sources. Increased competition may result in loss of market share, diminished value in our products and services, reduced pricing and increased marketing expenditures. We may not be successful if we cannot compete effectively on quality of research and analysis, timely delivery of information, customer service, the ability to offer products to meet changing market needs for information and analysis, or price.</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Renewal of Research Business by Existing Clients. </w:t>
      </w:r>
      <w:r>
        <w:rPr>
          <w:rFonts w:ascii="Arial" w:cs="Arial" w:eastAsia="Arial" w:hAnsi="Arial"/>
          <w:sz w:val="16"/>
          <w:szCs w:val="16"/>
          <w:color w:val="auto"/>
        </w:rPr>
        <w:t>Some of our success depends on renewals of our subscription-based research products and services,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constituted 54% of our revenues for Calendar 2004 and Calendar 2003. These research subscription agreements have terms that generally range from twelve to thirty months. Our ability to maintain contract renewals is subject to numerous factors, including those described in this Annual Report. Additionally, as we implement our strategy to realign our business to client needs, we may shift the type and pricing of our products which may impact client renewal rates. While client retention rates were 80% at December 31, 2004 and 78% at December 31, 2003, there can be no guarantee that we will continue to have this level of client renewals. Any material decline in renewal rates could have an adverse impact on our revenues and our financial condition.</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Non-Recurring Consulting Engagements. </w:t>
      </w:r>
      <w:r>
        <w:rPr>
          <w:rFonts w:ascii="Arial" w:cs="Arial" w:eastAsia="Arial" w:hAnsi="Arial"/>
          <w:sz w:val="18"/>
          <w:szCs w:val="18"/>
          <w:color w:val="auto"/>
        </w:rPr>
        <w:t>Consulting segment revenues constituted 29% of our revenues for Calendar 2004 and 30% of our revenues for</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2003. These consulting engagements typically are project-based and non-recurring. Our ability to replace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consulting engagements is subject to numerous factors, including those described in this Annual Report. Any material decline in our ability to replace consulting arrangements could have an adverse impact on our revenues and our financial condition.</w:t>
      </w:r>
    </w:p>
    <w:p>
      <w:pPr>
        <w:spacing w:after="0" w:line="14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Hiring and Retention of Employees</w:t>
      </w:r>
      <w:r>
        <w:rPr>
          <w:rFonts w:ascii="Arial" w:cs="Arial" w:eastAsia="Arial" w:hAnsi="Arial"/>
          <w:sz w:val="16"/>
          <w:szCs w:val="16"/>
          <w:color w:val="auto"/>
        </w:rPr>
        <w:t>. Our success depends heavily upon the quality of our senior management, research analysts, consultants, sales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key personnel. We face competition for the limited pool of these qualified professionals from, among others, technology companies, market research firms, consulting firms, financial services companies and electronic and print media companies, some of which have a greater ability to attract and compensate these professionals. Some of the personnel that we attempt to hire are subject to non-compete agreements that could impede our short-term recruitment efforts. Any failure to retain key personnel or hire and train additional qualified personnel as required to support the evolving needs of clients or growth in our business, could adversely affect the quality of our products and services, and therefore, our future business and operating results.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Maintenance of Existing Products and Services</w:t>
      </w:r>
      <w:r>
        <w:rPr>
          <w:rFonts w:ascii="Arial" w:cs="Arial" w:eastAsia="Arial" w:hAnsi="Arial"/>
          <w:sz w:val="18"/>
          <w:szCs w:val="18"/>
          <w:color w:val="auto"/>
        </w:rPr>
        <w:t>. We operate in a rapidly evolving market, and our success depends upon our ability to deliver high quality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timely research and analysis to our clients. Any failure to continue to provide credible and reliable information that is useful to our clients could have a material adverse effect on future business and operating results. Further, if our predictions prove to be wrong or are not substantiated by appropriate research, our reputation may suffer and demand for our products and services may decline. In addition, we must continue to improve our methods for delivering our products and services in a cost-effective manner. Failure to increase and improve our electronic delivery capabilities could adversely affect our future business and operating results.</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Introduction of New Products and Services</w:t>
      </w:r>
      <w:r>
        <w:rPr>
          <w:rFonts w:ascii="Arial" w:cs="Arial" w:eastAsia="Arial" w:hAnsi="Arial"/>
          <w:sz w:val="18"/>
          <w:szCs w:val="18"/>
          <w:color w:val="auto"/>
        </w:rPr>
        <w:t>. The market for our products and services is characterized by rapidly changing needs for information and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To maintain our competitive position, we must continue to enhance and improve our products and services, develop or acquire new products and services in a timely manner, and appropriately position and price new products and services relative to the marketplace and our costs of producing them. Any failure to achieve successful client acceptance of new products and services could have a material adverse effect on our business, results of operations or financial position.</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International Operations</w:t>
      </w:r>
      <w:r>
        <w:rPr>
          <w:rFonts w:ascii="Arial" w:cs="Arial" w:eastAsia="Arial" w:hAnsi="Arial"/>
          <w:sz w:val="17"/>
          <w:szCs w:val="17"/>
          <w:color w:val="auto"/>
        </w:rPr>
        <w:t>. A substantial portion of our revenues is derived from sales outside of North America, 37% for Calendar 2004. As a result,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results are subject to the risks inherent in international business activities, including general political and economic conditions in each country, changes in market demand as a result of exchange rate fluctuations and tariffs and other trade barriers, challenges in staffing and managing foreign operations, changes in regulatory requirements, compliance with numerous foreign laws and regulations, different or overlapping tax structures, higher levels of United States taxation on foreign income, and the difficulty of enforcing client agreements, collecting accounts receivable and protecting intellectual property rights in international jurisdictions. We rely on local distributors or sales agents in some international locations. If any of these arrangements are terminated by our agent or us, we may not be able to replace the arrangement on beneficial terms or on a timely basis. Additionally, clients of the local distributor or sales agent may not want to continue to do business with us or our new agent.</w:t>
      </w:r>
    </w:p>
    <w:p>
      <w:pPr>
        <w:spacing w:after="0" w:line="13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Branding</w:t>
      </w:r>
      <w:r>
        <w:rPr>
          <w:rFonts w:ascii="Arial" w:cs="Arial" w:eastAsia="Arial" w:hAnsi="Arial"/>
          <w:sz w:val="18"/>
          <w:szCs w:val="18"/>
          <w:color w:val="auto"/>
        </w:rPr>
        <w:t>. We believe that our “Gartner” brand is critical to our efforts to attract and retain clients and that the importance of brand recognition will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as competition increases. We may expand our marketing activities to promote and strengthen the Gartner brand and may need to increase our marketing budget, hire additional marketing and public relations personnel, expend additional sums to protect the brand and otherwise increase expenditures to create and maintain client brand loyalty. If we fail to effectively promote and maintain the Gartner brand, or incur excessive expenses in doing so, our future business and operating results could be materially and adversely impacted.</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We have a $200.0 million senior revolving credit facility as well as a $100 million revolving credit facility. The affirmative, negative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covenants of the credit facility could limit our future financial flexibility. As a result of these covenants, our borrowing availability at December 31, 2004 was $59.2 million, and would have been $96.5 million based on an amendment to the Credit Agreement. The associated debt service costs of these facilities could impair our future operating results. The outstanding debt may limit the amount of cash or additional credit available to us, which could restrain our ability to expand or enhance products and services, respond to competitive pressures or pursue future business opportunities requiring substantial investments of additional capital.</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Enforcement of Our Intellectual Property Rights</w:t>
      </w:r>
      <w:r>
        <w:rPr>
          <w:rFonts w:ascii="Arial" w:cs="Arial" w:eastAsia="Arial" w:hAnsi="Arial"/>
          <w:sz w:val="17"/>
          <w:szCs w:val="17"/>
          <w:color w:val="auto"/>
        </w:rPr>
        <w:t>. We rely on a combination of copyright, patent, trademark, trade secret, confidentiality, non-compete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contractual provisions to protect our intellectual property rights. Despite our efforts to protect our intellectual property rights, unauthorized third parties may obtain and use technology or other information that we regard as proprietary. Our intellectual property rights may not survive a legal challenge to their validity or provide significant protection for us. The laws of certain countries do not protect our proprietary rights to the same extent as the laws of the United States. Accordingly, we may not be able to protect our intellectual property against unauthorized third-party copying or use, which could adversely affect our competitive position. Our employees are subject to non-compete agreements. When the non-competition period expires, former employees may compete against us. If a former employee chooses to compete against us prior to the expiration of the non-competition period, there is no assurance that we will be successful in our efforts to enforce the non-compete provision.</w:t>
      </w:r>
    </w:p>
    <w:p>
      <w:pPr>
        <w:spacing w:after="0" w:line="1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Possibility of Infringement Claims</w:t>
      </w:r>
      <w:r>
        <w:rPr>
          <w:rFonts w:ascii="Arial" w:cs="Arial" w:eastAsia="Arial" w:hAnsi="Arial"/>
          <w:sz w:val="18"/>
          <w:szCs w:val="18"/>
          <w:color w:val="auto"/>
        </w:rPr>
        <w:t>. Third parties may assert infringement claims against us. Regardless of the merits, responding to any such claim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time consuming, result in costly litigation and require us to enter into royalty and licensing agreements which may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 be offered or available on reasonable terms. If a successful claim is made against us and we fail to develop or license a substitute technology, our business, results of operations or financial position could be materially adversely affected.</w:t>
      </w:r>
    </w:p>
    <w:p>
      <w:pPr>
        <w:spacing w:after="0" w:line="14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Potential Fluctuations in Operating Results</w:t>
      </w:r>
      <w:r>
        <w:rPr>
          <w:rFonts w:ascii="Arial" w:cs="Arial" w:eastAsia="Arial" w:hAnsi="Arial"/>
          <w:sz w:val="17"/>
          <w:szCs w:val="17"/>
          <w:color w:val="auto"/>
        </w:rPr>
        <w:t>. Our quarterly and annual operating income may fluctuate in the future as a result of many factors,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timing of the execution of research contracts, which typically occurs in the fourth calendar quarter, the extent of completion of consulting engagements, the timing of symposia and other events, which also occur to a greater extent in the fourth calendar quarter, the amount of new business generated, the mix of domestic and international business, changes in market demand for our products and services, the timing of the development, introduction and marketing of new products and services, and competition in the industry. An inability to generate sufficient earnings and cash flow, and achieve our forecasts, may impact our operating and other activities. The potential fluctuations in our operating income could cause period-to-period comparisons of operating results not to be meaningful and may provide an unreliable indication of future operating results.</w:t>
      </w:r>
    </w:p>
    <w:p>
      <w:pPr>
        <w:spacing w:after="0" w:line="13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Significant Stockholders</w:t>
      </w:r>
      <w:r>
        <w:rPr>
          <w:rFonts w:ascii="Arial" w:cs="Arial" w:eastAsia="Arial" w:hAnsi="Arial"/>
          <w:sz w:val="16"/>
          <w:szCs w:val="16"/>
          <w:color w:val="auto"/>
        </w:rPr>
        <w:t>. Silver Lake and its affiliates own approximately 42.2% of our Class A Common Stock and approximately 33.7% of our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on a combined basis as of February 28, 2005. Currently, the owners of our Class A Common Stock are only entitled to vote for two of the ten members of our Board of Directors and vote together with the holders of the Class B Common Stock as a single class on all other matters coming before the stockholders. Silver Lake is restricted from purchasing additional stock without our consent pursuant to the terms of a Securityholders’ Agreement. This Securityholders’ Agreement also provides that we cannot take certain actions, including acquisitions and sales of stock and/or assets without Silver Lake’s consent. Additionally, ValueAct Partners and its affiliates own approximately 13.0% of our Class A Common Stock, 22.7% of our Class B Common Stock and 14.9% of our total common stock on a combined basis as of February 28, 2005. While neither Silver Lake nor ValueAct holds a majority of our outstanding shares, they may be able, either individually or together, to exercise significant influence over matters requiring stockholder approval, including the election of directors and the approval of mergers, consolidations and sales of our assets. Their interests may differ from the interests of other stockholders.</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Anti-takeover Protections</w:t>
      </w:r>
      <w:r>
        <w:rPr>
          <w:rFonts w:ascii="Arial" w:cs="Arial" w:eastAsia="Arial" w:hAnsi="Arial"/>
          <w:sz w:val="18"/>
          <w:szCs w:val="18"/>
          <w:color w:val="auto"/>
        </w:rPr>
        <w:t>. Provisions of our certificate of incorporation and bylaws and Delaware law may make it difficult for any party to acquire control of</w:t>
      </w:r>
      <w:r>
        <w:rPr>
          <w:rFonts w:ascii="Arial" w:cs="Arial" w:eastAsia="Arial" w:hAnsi="Arial"/>
          <w:sz w:val="18"/>
          <w:szCs w:val="18"/>
          <w:i w:val="1"/>
          <w:iCs w:val="1"/>
          <w:color w:val="auto"/>
        </w:rPr>
        <w:t xml:space="preserve"> </w:t>
      </w:r>
      <w:r>
        <w:rPr>
          <w:rFonts w:ascii="Arial" w:cs="Arial" w:eastAsia="Arial" w:hAnsi="Arial"/>
          <w:sz w:val="18"/>
          <w:szCs w:val="18"/>
          <w:color w:val="auto"/>
        </w:rPr>
        <w:t>us in a transaction not approved by our Board of Directors. These provisions include:</w:t>
      </w:r>
    </w:p>
    <w:p>
      <w:pPr>
        <w:spacing w:after="0" w:line="170"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presence of a classified Board of Directors;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existence of two classes of common stock with our Class B Common Stock having the ability to elect 80% of our Board of Directors;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Board of Directors to issue and determine the terms of preferred stock;</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notice requirements for inclusion of stockholder proposals at stockholder meetings;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preferred shares rights agreement;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anti-takeover provisions of Delaware law.</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These provisions could delay or prevent a change of control or change in management that might provide stockholders with a premium to the market price of their Common Stock. We have announced that we intend to eliminate our classified board structure and combine our two classes of common stock, subject to the approval of our stockholders, at our next annual meeting of stockholders to be held in the late spring or early summer of 2005. These actions could serve to make it easier for a change of control to occur.</w:t>
      </w:r>
    </w:p>
    <w:p>
      <w:pPr>
        <w:spacing w:after="0" w:line="160"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i w:val="1"/>
          <w:iCs w:val="1"/>
          <w:color w:val="auto"/>
        </w:rPr>
        <w:t xml:space="preserve">Non-Cash Compensation Charges in Future Periods. </w:t>
      </w:r>
      <w:r>
        <w:rPr>
          <w:rFonts w:ascii="Arial" w:cs="Arial" w:eastAsia="Arial" w:hAnsi="Arial"/>
          <w:sz w:val="16"/>
          <w:szCs w:val="16"/>
          <w:color w:val="auto"/>
        </w:rPr>
        <w:t>On October 15, 2004, we announced that Eugene A. Hall received an inducement grant of 500,000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restricted stock with a market value on the date of grant of $12.05 per share. As long as Mr. Hall remains an employee, the restriction on the</w:t>
      </w:r>
    </w:p>
    <w:p>
      <w:pPr>
        <w:ind w:right="20"/>
        <w:spacing w:after="0" w:line="252" w:lineRule="auto"/>
        <w:rPr>
          <w:sz w:val="20"/>
          <w:szCs w:val="20"/>
          <w:color w:val="auto"/>
        </w:rPr>
      </w:pPr>
      <w:r>
        <w:rPr>
          <w:rFonts w:ascii="Arial" w:cs="Arial" w:eastAsia="Arial" w:hAnsi="Arial"/>
          <w:sz w:val="18"/>
          <w:szCs w:val="18"/>
          <w:color w:val="auto"/>
        </w:rPr>
        <w:t>500,000 shares of restricted stock will lapse upon the earlier of (a) our 60 day average stock price meeting certain targets, or (b) a change in control. The price targets are $20 for the first 300,000 shares, $25 for the next 100,000 shares and $30 for the remaining 100,000 shares. If our 60 day average stock price exceeds the stipulated per share target during the 60 day measurement period, we will be required to record a non-cash compensation charge equal to the closing price of our stock on the date the target is met times the number of shares associated with the applicable target. For example, if our average 60 days stock price is $22 per share and the stock closes at $22.50 per share, the first lapse shall result in us recording a $6.75 million non-cash compensation charge (300,000 shares at $22.50/share).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December 2004, the Financial Accounting Standards Board issued Statement of Financial Accounting Standards 123R, Share-Based Payments (“SFAS 123R”). The rule replaces SFAS No. 123 and APB 25 and will require the recognition of expense for share-based payments, to include the value of stock options granted to employees. The revised rule is effective for periods beginning after June 15, 2005, but early adoption is permitted. We plan to adopt the new rule on July 1, 2005. We are currently assessing the impact the revised rule will have on our financial position, cash flows, and results of operations, but we believe it may have a material effect on our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Rate Risk</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December 31, 2004, we have exposure to market risk for changes in interest rates since we had $190.0 million drawn on our unsecured senior revolving credit facility with JPMorgan Chase Bank. Under the revolving credit facility, the interest rate on borrowings is LIBOR plus an additional 100 to 150 basis points based on our debt-to-EBITDA ratio. However, we believe that an increase or decrease of 10% in the effective interest rate on available borrowings from our senior revolving credit facility would not have a material effect on our future results of operations. Each 25 basis point increase or decrease in interest rates would have an approximate $0.5 million annual effect under the revolving credit facility when fully utilized.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Investment Risk</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exposed to market risk as it relates to changes in the market value of our equity investments. We invest in equity securities of public and private companies directly and through SI II, of which we own 22% at December 31, 2004. SI II is engaged in making venture capital investments in early to mid-stage IT-based or Internet-enabled companies (see Note 5 – Investments in the Notes to the Consolidated Financial Statements). As of December 31, 2004, we had investments in equity securities totaling $7.0 million. These investments are inherently risky as the businesses are typically in early development stages and may never develop. Further, certain of these investments are in publicly traded companies whose shares are subject to significant market price volatility. Adverse changes in market conditions and poor operating results of the underlying investments may result in us incurring additional losses or an inability to recover the original carrying value of our investments. If there were a 100% adverse change in the value of our equity portfolio as of December 31, 2004, this would result in a non-cash impairment charge of $7.0 million. We had no additional commitments to fund SI II as of December 31, 2004.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 Risk</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face two risks related to foreign currency exchange: translation risk and transaction risk. Amounts invested in our foreign operations are translated into U.S. dollars at the exchange rates in effect at the balance sheet date. The resulting translation adjustments are recorded as a component of accumulated other comprehensive income (loss) in the stockholders’ equity section of the Consolidated Balance Sheets. Our foreign subsidiaries generally collect revenues and pay expenses in currencies other than the United States dollar. Since the functional currencies of our foreign operations are generally denominated in the local currency of our subsidiaries, the foreign currency translation adjustments are reflected as a component of stockholders’ equity and do not impact operating results. Revenues and expenses in foreign currencies translate into higher or lower revenues and expenses in U.S. dollars as the U.S. dollar weakens or strengthens against other currencies. Therefore, changes in exchange rates may negatively affect our consolidated revenues and expenses (as expressed in U.S. dollars) from foreign operations. Currency transaction gains or losses arising from transactions in currencies other than the functional currency are included within Other income (expense), net within the Consolidated Statements of Operations. Currency transaction gains (losses), net were $(3.1) million during Calendar 2004, $0.5 million during Calendar 2003, $(0.4) million during Calendar 2002, $(0.1) million during Transition 2002, and $(0.8) million during Fiscal 2002.</w:t>
      </w:r>
    </w:p>
    <w:p>
      <w:pPr>
        <w:spacing w:after="0" w:line="15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or other derivative financial instruments to hedge the effects of adverse fluctuations in foreign currency exchange rates. Foreign exchange forward contracts are reflected at fair value with gains and losses recorded in earnings. At December 31, 2004, we had no foreign currency forward contracts or other derivative financial instruments outstanding.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consolidated financial statements for Calendar 2004, Calendar 2003, Transition 2002 and for the Fiscal year ended September 30, 2002, together with the reports of KPMG LLP, independent registered public accounting firm, dated March 16, 2005, are included in this Annual Report on Form 10-K beginning on Page 40.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 conducted an evaluation, as of December 31, 2004, of the effectiveness of the design and operation of our disclosure controls and procedures, (as such term is defined in Rules 13a- 15(e) and 15d- 15(e) under the Securities Exchange Act of 1934 (the “Exchange Act”)) under the supervision and with the participation of our chief executive officer and chief financial officer. Based upon that evaluation, our chief executive officer and chief financial officer have concluded that our disclosure controls and procedures are effective in alerting them in a timely manner to material Company information required to be disclosed by us in reports filed or submitted under the 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Gartner management is responsible for establishing and maintaining adequate internal control over financial reporting as defined in Rules 13a-15(f) and 15d-15(f) under the Securities Exchange Act of 1934. Gartner’s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 Management assessed the effectiveness of our internal control over financial reporting as of December 31, 2004. In making this assessment, management used the criteria set forth in the Internal Control-Integrated Framework issued by the Committee of Sponsoring Organizations of the Treadway Commission (COSO). Management’s assessment was reviewed with the Audit Committee of the Board of Directors.</w:t>
      </w:r>
    </w:p>
    <w:p>
      <w:pPr>
        <w:spacing w:after="0" w:line="15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Based on its assessment of internal controls over financial reporting, management has concluded that, as of December 31, 2004, Gartner’s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Gartner’s independent registered public accountants KPMG LLP, have issued an attest report on management’s assessment of Gartner’s internal control of financial reporting. This report appears on page 42.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our most recent fiscal quarter, except as set forth below, there has not occurred any change in our internal control over financial reporting (as such term is defined in Rules 13a- 15(f) and 15d- 15(f) under the Exchange Act) that has materially affected, or is reasonably likely to materially affect, our internal control over financial reporting.</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dedicated significant resources, including management time and effort, in connection with our compliance with Section 404. As part of our compliance effort, during the fourth quarter of 2004, we made certain improvements to our internal controls, including adding additional controls, such as management-level approvals, implementation of accounting and reporting disclosure checklists, as well as more comprehensive documentation of key control activities in the financial reporting process.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directors and executive officers as of March 16, 2005.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Eugene A. Hall (4)</w:t>
            </w:r>
          </w:p>
        </w:tc>
        <w:tc>
          <w:tcPr>
            <w:tcW w:w="5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418"/>
        </w:trPr>
        <w:tc>
          <w:tcPr>
            <w:tcW w:w="2840" w:type="dxa"/>
            <w:vAlign w:val="bottom"/>
          </w:tcPr>
          <w:p>
            <w:pPr>
              <w:spacing w:after="0"/>
              <w:rPr>
                <w:sz w:val="20"/>
                <w:szCs w:val="20"/>
                <w:color w:val="auto"/>
              </w:rPr>
            </w:pPr>
            <w:r>
              <w:rPr>
                <w:rFonts w:ascii="Arial" w:cs="Arial" w:eastAsia="Arial" w:hAnsi="Arial"/>
                <w:sz w:val="18"/>
                <w:szCs w:val="18"/>
                <w:color w:val="auto"/>
              </w:rPr>
              <w:t>Alister Christopher</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44</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Worldwide Events</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Scott Fertig</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46</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&amp; Chief Information Officer</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Robin B. Kranich</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34</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Research Operations and Business Development</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Christopher Lafond</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39</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Michael McCarty</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56</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Global Sales</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Robert C. Patton</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44</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President, Gartner Consulting</w:t>
            </w:r>
          </w:p>
        </w:tc>
      </w:tr>
      <w:tr>
        <w:trPr>
          <w:trHeight w:val="418"/>
        </w:trPr>
        <w:tc>
          <w:tcPr>
            <w:tcW w:w="2840" w:type="dxa"/>
            <w:vAlign w:val="bottom"/>
          </w:tcPr>
          <w:p>
            <w:pPr>
              <w:spacing w:after="0"/>
              <w:rPr>
                <w:sz w:val="20"/>
                <w:szCs w:val="20"/>
                <w:color w:val="auto"/>
              </w:rPr>
            </w:pPr>
            <w:r>
              <w:rPr>
                <w:rFonts w:ascii="Arial" w:cs="Arial" w:eastAsia="Arial" w:hAnsi="Arial"/>
                <w:sz w:val="18"/>
                <w:szCs w:val="18"/>
                <w:color w:val="auto"/>
              </w:rPr>
              <w:t>Lewis G. Schwartz</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54</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General Counsel &amp;</w:t>
            </w:r>
          </w:p>
        </w:tc>
      </w:tr>
      <w:tr>
        <w:trPr>
          <w:trHeight w:val="230"/>
        </w:trPr>
        <w:tc>
          <w:tcPr>
            <w:tcW w:w="2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Corporate Secretary</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Peter Sondergaard</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41</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Research Content</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Clive Taylor</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50</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International Operations</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Joseph T. Waters</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46</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Senior Vice President, Executive Programs</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Michael J. Bingle (2)(5)</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32</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Anne Sutherland Fuchs (3)(6)</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57</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William O. Grabe (3)(4)</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66</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Max D. Hopper (1)(4)</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70</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Glenn H. Hutchins (3)(5)</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49</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Stephen G. Pagliuca (1)(5)</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50</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James C. Smith (1)(4)</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64</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Jeffrey W. Ubben (2)(6)</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43</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Maynard G. Webb, Jr. (2)(6)</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49</w:t>
            </w:r>
          </w:p>
        </w:tc>
        <w:tc>
          <w:tcPr>
            <w:tcW w:w="56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our Corporate Governance Committee</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whose term expires at our 2005 Annual Meeting</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whose term expires at our 2006 Annual Meeting</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whose term expires at our 2007 Annual Meeting</w:t>
      </w:r>
    </w:p>
    <w:p>
      <w:pPr>
        <w:spacing w:after="0" w:line="198"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b w:val="1"/>
          <w:bCs w:val="1"/>
          <w:i w:val="1"/>
          <w:iCs w:val="1"/>
          <w:color w:val="auto"/>
        </w:rPr>
        <w:t xml:space="preserve">Eugene A. Hall </w:t>
      </w:r>
      <w:r>
        <w:rPr>
          <w:rFonts w:ascii="Arial" w:cs="Arial" w:eastAsia="Arial" w:hAnsi="Arial"/>
          <w:sz w:val="18"/>
          <w:szCs w:val="18"/>
          <w:color w:val="auto"/>
        </w:rPr>
        <w:t>has been our Chief Executive Officer and a director since August 2004. Prior to joining us, Mr. Hall was a senior executive at Automatic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Processing, serving most recently as President, Employers Services Major Accounts Division, a $2 billion human resources and payroll services business with 8,000 associates. Prior to joining ADP in 1998, Mr. Hall spent 16 years at McKinsey &amp; Company, rising to the level of Director (senior partner). Mr. Hall holds a B.S. in Mechanical Engineering from the Massachusetts Institute of Technology (M.I.T.) and received an M.B.A. degree from Harvard Business School.</w:t>
      </w:r>
    </w:p>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Alister Christopher </w:t>
      </w:r>
      <w:r>
        <w:rPr>
          <w:rFonts w:ascii="Arial" w:cs="Arial" w:eastAsia="Arial" w:hAnsi="Arial"/>
          <w:sz w:val="18"/>
          <w:szCs w:val="18"/>
          <w:color w:val="auto"/>
        </w:rPr>
        <w:t>has been our Senior Vice President, Worldwide Events since June 2003. During his 12 years at Gartner, Mr. Christopher has served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roles, including Sales Executive, Director, Sales Operations in EMEA, VP of EMEA Inside Sales, GVP, North American Inside Sales and GVP EMEA Sales. Prior to joining us in August 1996, Mr. Christopher spent 10 years in the IT industry, with, among others, ICL Corporation. Mr. Christopher studied Business Management at Swansea College, United Kingdom.</w:t>
      </w:r>
    </w:p>
    <w:p>
      <w:pPr>
        <w:sectPr>
          <w:pgSz w:w="11900" w:h="16838" w:orient="portrait"/>
          <w:cols w:equalWidth="0" w:num="1">
            <w:col w:w="11420"/>
          </w:cols>
          <w:pgMar w:left="240" w:top="419" w:right="239" w:bottom="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19" w:right="239" w:bottom="0" w:gutter="0" w:footer="0" w:header="0"/>
          <w:type w:val="continuous"/>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Scott Fertig </w:t>
      </w:r>
      <w:r>
        <w:rPr>
          <w:rFonts w:ascii="Arial" w:cs="Arial" w:eastAsia="Arial" w:hAnsi="Arial"/>
          <w:sz w:val="18"/>
          <w:szCs w:val="18"/>
          <w:color w:val="auto"/>
        </w:rPr>
        <w:t>has been our Chief Information Officer since August 2002 and is responsible for all internal and client-facing IT applications worldwide.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Gartner, Mr. Fertig was a principal at Narrowcast Partners, a strategic business and IT consultancy serving media companies. Prior to joining Narrowcast Partners in July 2001, Mr. Fertig served as Chief Information Officer and Chief Technology Officer of TechRepublic. From April 2000 to August 2000, he consulted for a number of companies, including Gartner. From December 1996 to April 2000, Mr. Fertig founded and served as CEO of Mirror World Technologies, a knowledge management software company. Prior to that, Mr. Fertig headed up server and internet development for Software AG’s Business Intelligence division. Mr. Fertig has a B.A. degree from Hampshire College, and a Master of Science and Master of Philosophy in Computer Science from Yale University.</w:t>
      </w:r>
    </w:p>
    <w:p>
      <w:pPr>
        <w:spacing w:after="0" w:line="16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 xml:space="preserve">Robin Kranich </w:t>
      </w:r>
      <w:r>
        <w:rPr>
          <w:rFonts w:ascii="Arial" w:cs="Arial" w:eastAsia="Arial" w:hAnsi="Arial"/>
          <w:sz w:val="16"/>
          <w:szCs w:val="16"/>
          <w:color w:val="auto"/>
        </w:rPr>
        <w:t>has been our Senior Vice President Research Operations and Business Development since November 2004. During her more than 10 years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Gartner, Ms. Kranich has held various roles, including Senior Vice President and General Manager of Gartner EXP, Vice President and Chief of Staff to Gartner’s president and various sales and sales management roles. Prior to joining us in September 1994, Ms. Kranich was part of the Technology Advancement Group at Marriott International. Ms. Kranich holds a degree in business administration from American University in Washington, D.C.</w:t>
      </w:r>
    </w:p>
    <w:p>
      <w:pPr>
        <w:spacing w:after="0" w:line="1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Christopher Lafond </w:t>
      </w:r>
      <w:r>
        <w:rPr>
          <w:rFonts w:ascii="Arial" w:cs="Arial" w:eastAsia="Arial" w:hAnsi="Arial"/>
          <w:sz w:val="18"/>
          <w:szCs w:val="18"/>
          <w:color w:val="auto"/>
        </w:rPr>
        <w:t>has been our Executive Vice President, Chief Financial Officer since October 2003. From January 2002 to October 2003, Mr. Lafond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Chief Financial Officer for North America and Latin America. From July 2000 to December 2001, Mr. Lafond was Group Vice President and North American Controller. Mr. Lafond joined us in March 1995 and has held several finance positions, including Director of Finance, Vice President of Finance and Assistant Controller. Prior to joining us, Mr. Lafond was Senior Financial Planner at International Business Machines Corporation and an Analyst in fixed-income asset management at J.P. Morgan Investment Management. Mr. Lafond holds a bachelor’s degree from the University of Connecticut and a master’s degree from the Columbia University Graduate School of Business.</w:t>
      </w:r>
    </w:p>
    <w:p>
      <w:pPr>
        <w:spacing w:after="0" w:line="15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 xml:space="preserve">Mike McCarty </w:t>
      </w:r>
      <w:r>
        <w:rPr>
          <w:rFonts w:ascii="Arial" w:cs="Arial" w:eastAsia="Arial" w:hAnsi="Arial"/>
          <w:sz w:val="16"/>
          <w:szCs w:val="16"/>
          <w:color w:val="auto"/>
        </w:rPr>
        <w:t>has been our Senior Vice President of Global Sales since April 2004. Prior to joining us, Mr. McCarty spent 13 years with IBM in a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sales management positions. He was also the Executive Vice President of Sales and Customer Service for HBO &amp; Company (now part of McKesson Information Solutions) and Liebert Corporation. He served as president and CEO for Carecentric Solutions, Multum Information Services and Just Medicine, Inc. Mr. McCarty holds a Bachelor of Science degree and an M.B.A degree in Finance from Bowling Green State University.</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Bob Patton </w:t>
      </w:r>
      <w:r>
        <w:rPr>
          <w:rFonts w:ascii="Arial" w:cs="Arial" w:eastAsia="Arial" w:hAnsi="Arial"/>
          <w:sz w:val="16"/>
          <w:szCs w:val="16"/>
          <w:color w:val="auto"/>
        </w:rPr>
        <w:t>has been our President, Gartner Consulting since April 2004. Prior to joining us, Mr. Patton worked for 13 years at Cap Gemini Ernst &amp; Young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numerous senior management roles, most recently as CEO, Government Solutions. Previously, he was managing director CGE&amp;Y Americas sector.</w:t>
      </w:r>
    </w:p>
    <w:p>
      <w:pPr>
        <w:ind w:right="580"/>
        <w:spacing w:after="0" w:line="261" w:lineRule="auto"/>
        <w:rPr>
          <w:sz w:val="20"/>
          <w:szCs w:val="20"/>
          <w:color w:val="auto"/>
        </w:rPr>
      </w:pPr>
      <w:r>
        <w:rPr>
          <w:rFonts w:ascii="Arial" w:cs="Arial" w:eastAsia="Arial" w:hAnsi="Arial"/>
          <w:sz w:val="18"/>
          <w:szCs w:val="18"/>
          <w:color w:val="auto"/>
        </w:rPr>
        <w:t>Mr. Patton holds a B.B.A. in Accounting with honors from the University of Georgia and is a Certified Public Accountant. He is also a graduate of the executive leadership program at the J.L. Kellogg School of Management at Northwestern University.</w:t>
      </w:r>
    </w:p>
    <w:p>
      <w:pPr>
        <w:spacing w:after="0" w:line="14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 xml:space="preserve">Lew Schwartz </w:t>
      </w:r>
      <w:r>
        <w:rPr>
          <w:rFonts w:ascii="Arial" w:cs="Arial" w:eastAsia="Arial" w:hAnsi="Arial"/>
          <w:sz w:val="16"/>
          <w:szCs w:val="16"/>
          <w:color w:val="auto"/>
        </w:rPr>
        <w:t>has been our Senior Vice President, General Counsel and Corporate Secretary since January 2001. Prior to joining Gartner, Mr. Schwartz was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with the law firm of Shipman &amp; Goodwin LLP, serving on the firm’s management committee. Before joining Shipman &amp; Goodwin, Mr. Schwartz was a partner with Schatz &amp; Schatz, Ribicoff &amp; Kotkin, an associate in New York City at Skadden, Arps, Slate, Meagher &amp; Flom, and an assistant district attorney in New York County (Manhattan). Mr. Schwartz holds a B.A. degree from Yale University and a J.D. degree from the Cornell Law School.</w:t>
      </w:r>
    </w:p>
    <w:p>
      <w:pPr>
        <w:spacing w:after="0" w:line="11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Peter Sondergaard </w:t>
      </w:r>
      <w:r>
        <w:rPr>
          <w:rFonts w:ascii="Arial" w:cs="Arial" w:eastAsia="Arial" w:hAnsi="Arial"/>
          <w:sz w:val="17"/>
          <w:szCs w:val="17"/>
          <w:color w:val="auto"/>
        </w:rPr>
        <w:t>has been our Senior Vice President, Research Content since August 2004. During his 16 years at Gartner, Mr. Sondergaard has held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roles, including Head of Research for the Technology &amp; Services Sector, Hardware &amp; Systems Sector Vice President and General Manager for Gartner Research EMEA. Mr. Sondergaard started at Gartner as a program director for Gartner’s personal computing research area, specializing in the overall desktop computing issues of European users. Prior to joining Gartner in November, 1998, Mr. Sondergaard was research director at International Data Corporation in Europe. Mr. Sondergaard holds a Master’s degree in economics from the University of Copenhagen.</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Clive Taylor </w:t>
      </w:r>
      <w:r>
        <w:rPr>
          <w:rFonts w:ascii="Arial" w:cs="Arial" w:eastAsia="Arial" w:hAnsi="Arial"/>
          <w:sz w:val="18"/>
          <w:szCs w:val="18"/>
          <w:color w:val="auto"/>
        </w:rPr>
        <w:t>has been our Senior Vice President, International Operations since February 2004. Mr. Taylor joined Gartner in January 1995 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our Measurement business. Prior to joining Gartner, Mr. Taylor spent 16 years in packaged software design and business consulting at a senior level with companies in Europe and the United States, including Nynex and Fujitsu. Mr. Taylor holds a bachelor of science honors degree in production engineering from the University of Aston in Birmingham, England.</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Terry Waters </w:t>
      </w:r>
      <w:r>
        <w:rPr>
          <w:rFonts w:ascii="Arial" w:cs="Arial" w:eastAsia="Arial" w:hAnsi="Arial"/>
          <w:sz w:val="17"/>
          <w:szCs w:val="17"/>
          <w:color w:val="auto"/>
        </w:rPr>
        <w:t>has run our worldwide Executive Programs business as Senior Vice President, Executive Programs since January 2005. Prior to rejoining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Gartner in August 2002, Mr. Waters was the chief operating officer for ScreamingMedia, an Internet content syndication solutions provider based in New York City. From 1985 to 1999, Mr. Waters spent 14 years with Gartner in a variety of senior sales, marketing and product leadership roles, including head of Eastern Region sales for North America and head of worldwide marketing. Mr. Waters started his career with Xerox Corporation, where he spent four years in sales and product-marketing support. Mr. Waters holds a bachelor’s degree in history from the College of the Holy Cross.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Michael J. Bingle </w:t>
      </w:r>
      <w:r>
        <w:rPr>
          <w:rFonts w:ascii="Arial" w:cs="Arial" w:eastAsia="Arial" w:hAnsi="Arial"/>
          <w:sz w:val="18"/>
          <w:szCs w:val="18"/>
          <w:color w:val="auto"/>
        </w:rPr>
        <w:t>has been a director since October 2004. Mr. Bingle is a managing director of Silver Lake Partners, a private equity firm. He joined Silver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Lake Partners in January 2000. From 1996 to 2000, Mr. Bingle was a principal with Apollo Management, L.P., a private investment partnership. From 1994 to 1996, Mr. Bingle was an investment banker at Goldman, Sachs &amp; Co., an investment banking firm. Mr. Bingle holds a B.S.E. in Biomedical Engineering from Duke University. Mr. Bingle was nominated to the Board pursuant to an agreement with Silver Lake Partners. See Certain Relationships and Related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Anne Sutherland Fuchs </w:t>
      </w:r>
      <w:r>
        <w:rPr>
          <w:rFonts w:ascii="Arial" w:cs="Arial" w:eastAsia="Arial" w:hAnsi="Arial"/>
          <w:sz w:val="17"/>
          <w:szCs w:val="17"/>
          <w:color w:val="auto"/>
        </w:rPr>
        <w:t>has been a director since July 1999. On January 1, 2003, Ms. Fuchs became a consultant to private equity firms. Prior to this,</w:t>
      </w:r>
    </w:p>
    <w:p>
      <w:pPr>
        <w:spacing w:after="0" w:line="35"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Ms. Fuchs was employed by LVMH Moët Hennessy Louis Vuitton, a global luxury products conglomerate, where she served as Executive Vice President of LVMH from March to December 2002 and as the global chief executive at Phillips de Pury &amp; Luxembourg, LVMH’s auction house subsidiary, from</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July 2001 to February 2002. From 1994 to 2001, Ms. Fuchs worked for Hearst Magazines, where she was most recently the Senior Vice President and Group Publishing Director. Prior to joining Hearst, Ms. Fuchs held executive and publisher positions with a number of companies. Ms. Fuchs is Chair of the Commission on Women’s Issues for New York City. Ms. Fuchs holds a bachelor’s degree from New York University and two honorary doctorate degrees.</w:t>
      </w:r>
    </w:p>
    <w:p>
      <w:pPr>
        <w:spacing w:after="0" w:line="11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i w:val="1"/>
          <w:iCs w:val="1"/>
          <w:color w:val="auto"/>
        </w:rPr>
        <w:t xml:space="preserve">William O. Grabe </w:t>
      </w:r>
      <w:r>
        <w:rPr>
          <w:rFonts w:ascii="Arial" w:cs="Arial" w:eastAsia="Arial" w:hAnsi="Arial"/>
          <w:sz w:val="16"/>
          <w:szCs w:val="16"/>
          <w:color w:val="auto"/>
        </w:rPr>
        <w:t>has been a director since April 1993. Mr. Grabe is a Managing Member of General Atlantic Partners, LLC, a private equity firm, where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worked since April 1992. Prior to his affiliation with General Atlantic, Mr. Grabe retired from IBM Corporation as an IBM Vice President and Corporate Officer. Mr. Grabe is a director of AI Metrix, Inc., Bottomline Technologies, Compuware Corporation, Digital China Holdings Limited, LHS Telekom GMBH &amp; Co. KG, Lifecare, Inc. and Patni Computer Systems Ltd.. Mr. Grabe is a trustee of the Cancer Research Institute and Outward Bound USA.</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Mr. Grabe is on the Board of Visitors of the UCLA Graduate School of Business. Mr. Grabe holds a bachelor’s degree from New York University and an M.B.A. degree from the University of California at Los Angeles.</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Max D. Hopper </w:t>
      </w:r>
      <w:r>
        <w:rPr>
          <w:rFonts w:ascii="Arial" w:cs="Arial" w:eastAsia="Arial" w:hAnsi="Arial"/>
          <w:sz w:val="18"/>
          <w:szCs w:val="18"/>
          <w:color w:val="auto"/>
        </w:rPr>
        <w:t>has been a director since January 1994. In 1995, he founded Max D. Hopper Associates, Inc., a consulting firm specializing in creating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from the strategic use of advanced information systems. He is the retired chairman of the SABRE Technology Group and served as Senior Vice President for American Airlines, both units of AMR Corporation. Mr. Hopper is a director of Perficient, Inc. and United Stationers, Inc. Mr. Hopper holds a bachelor’s degree from the University of Houston.</w:t>
      </w:r>
    </w:p>
    <w:p>
      <w:pPr>
        <w:spacing w:after="0" w:line="1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Glenn H. Hutchins </w:t>
      </w:r>
      <w:r>
        <w:rPr>
          <w:rFonts w:ascii="Arial" w:cs="Arial" w:eastAsia="Arial" w:hAnsi="Arial"/>
          <w:sz w:val="18"/>
          <w:szCs w:val="18"/>
          <w:color w:val="auto"/>
        </w:rPr>
        <w:t>has been a director since April 2000. Mr. Hutchins is a managing director of Silver Lake Partners, a private equity firm he co-founded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1999. From 1994 to 1999, Mr. Hutchins was a Senior Managing Director of The Blackstone Group, where he focused on private equity investing. Mr. Hutchins is a director of Ameritrade Holding Corp. and Seagate Technology. Mr. Hutchins holds an A.B. degree from Harvard College, an M.B.A. degree from Harvard Business School and a J.D. degree from Harvard Law School. Mr. Hutchins was nominated to the Board pursuant to an agreement with Silver Lake Partners. See Certain Relationships and Related Transactions.</w:t>
      </w:r>
    </w:p>
    <w:p>
      <w:pPr>
        <w:spacing w:after="0" w:line="14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b w:val="1"/>
          <w:bCs w:val="1"/>
          <w:i w:val="1"/>
          <w:iCs w:val="1"/>
          <w:color w:val="auto"/>
        </w:rPr>
        <w:t xml:space="preserve">Stephen G. Pagliuca </w:t>
      </w:r>
      <w:r>
        <w:rPr>
          <w:rFonts w:ascii="Arial" w:cs="Arial" w:eastAsia="Arial" w:hAnsi="Arial"/>
          <w:sz w:val="16"/>
          <w:szCs w:val="16"/>
          <w:color w:val="auto"/>
        </w:rPr>
        <w:t>has been a director since July 1990. Mr. Pagliuca is a founding partner of Information Partners Capital Fund, L.P., a venture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 and has served as its Managing Partner since 1989. He is also a Managing Director of Bain Capital, Inc., an investment firm with which Information Partners is associated. Prior to 1989, Mr. Pagliuca was a partner at Bain &amp; Company, where he managed client relationships in the information services, software, credit services and health care industries. Mr. Pagliuca is a director of Ameritrade Holding Corp. and Instinet Group Incorporated. Mr. Pagliuca, a certified public accountant, holds a bachelor’s degree from Duke University and an M.B.A. degree from Harvard Business School.</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James C. Smith </w:t>
      </w:r>
      <w:r>
        <w:rPr>
          <w:rFonts w:ascii="Arial" w:cs="Arial" w:eastAsia="Arial" w:hAnsi="Arial"/>
          <w:sz w:val="18"/>
          <w:szCs w:val="18"/>
          <w:color w:val="auto"/>
        </w:rPr>
        <w:t>has been a director since October 2002. Until its sale in 2004, Mr. Smith was Chairman of the Board of First Health Group Corp., a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benefits company. Prior to that, Mr. Smith was the Chief Executive Officer of First Health from January 1984 through January 2002 and President of First Health from January 1984 to January 2001. Mr. Smith is a Director of Reliant Pharmaceuticals and an Advisory Director to CIC Partners, a private equity investment group. Mr. Smith holds a bachelor’s degree from Northeastern University.</w:t>
      </w:r>
    </w:p>
    <w:p>
      <w:pPr>
        <w:spacing w:after="0" w:line="16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 xml:space="preserve">Jeffrey W. Ubben </w:t>
      </w:r>
      <w:r>
        <w:rPr>
          <w:rFonts w:ascii="Arial" w:cs="Arial" w:eastAsia="Arial" w:hAnsi="Arial"/>
          <w:sz w:val="16"/>
          <w:szCs w:val="16"/>
          <w:color w:val="auto"/>
        </w:rPr>
        <w:t>has been a director since June 2004. Mr. Ubben is a co-founder and Managing Partner of ValueAct Capital, an investment partnership.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1995 to 2000, Mr. Ubben was a Managing Partner of Blum Capital. Prior to that, he was a portfolio manager for Fidelity Investments from 1987 to 1995. Mr. Ubben is a director of Martha Stewart Living Omnimedia, Inc., Per-Se Technologies, Inc. and Mentor Corporation. Mr. Ubben holds a bachelor’s degree from Duke University and an M.B.A. degree from the J. L. Kellogg Graduate School of Management at Northwestern University.</w:t>
      </w:r>
    </w:p>
    <w:p>
      <w:pPr>
        <w:spacing w:after="0" w:line="114"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b w:val="1"/>
          <w:bCs w:val="1"/>
          <w:i w:val="1"/>
          <w:iCs w:val="1"/>
          <w:color w:val="auto"/>
        </w:rPr>
        <w:t xml:space="preserve">Maynard G. Webb, Jr. </w:t>
      </w:r>
      <w:r>
        <w:rPr>
          <w:rFonts w:ascii="Arial" w:cs="Arial" w:eastAsia="Arial" w:hAnsi="Arial"/>
          <w:sz w:val="17"/>
          <w:szCs w:val="17"/>
          <w:color w:val="auto"/>
        </w:rPr>
        <w:t>has been a director since October 2001. Since June 2002, Mr. Webb has been chief operating officer of eBay, Inc., an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marketplace. Prior to that he was president of eBay Technologies, a division of eBay, Inc. from August 1999 through June 2002. From July 1998 to August 1999, Mr. Webb was Senior Vice President and Chief Information Officer at Gateway, Inc. From February 1995 to July 1998, Mr. Webb was Vice President and Chief Information Officer at Bay Networks, Inc. Mr. Webb holds a bachelor’s degree from Florida Atlantic University.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Audit Committee currently consists of Messrs. Hopper, Pagliuca and Smith. Our Board has determined that Mr. Pagliuca qualifies as an Audit Committee Financial Expert as defined by the rules of the Securities and Exchange Commission.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have adopted a Code of Conduct, a Code of Ethics and a CEO and CFO Code of Ethics, each of which is available at </w:t>
      </w:r>
      <w:r>
        <w:rPr>
          <w:rFonts w:ascii="Arial" w:cs="Arial" w:eastAsia="Arial" w:hAnsi="Arial"/>
          <w:sz w:val="17"/>
          <w:szCs w:val="17"/>
          <w:u w:val="single" w:color="auto"/>
          <w:color w:val="auto"/>
        </w:rPr>
        <w:t>www.gartner.com/investor</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Governance Guidelines are available at www.gartner.com/investor. Under these guidelines, the Governance Committee and the full Board annually assess the independence of the non-management directors of the Board by reviewing the financial and other relationships between the directors and us. This review is designed to determine whether these directors are independent, as defined under the standards of the New York Stock Exchange. The Governance Committee and the Board have determined that all of our non-management directors are independent under those standards. We have adopted a written committee charter for each of our Audit Committee, Compensation Committee, and Governance Nominating Committee. Each of these documents is available on our website at www.gartner.com/investor.</w:t>
      </w:r>
    </w:p>
    <w:p>
      <w:pPr>
        <w:spacing w:after="0" w:line="15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Stockholders and other interested parties may communicate with any of our directors, including our non-management directors, by writing to them c/o Corporate Secretary, Gartner, Inc., 56 Top Gallant Road, P.O. 10212, Stamford, CT 06904.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Annual CEO Certification</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June 2004, we filed our Annual CEO Certification with the New York Stock Exchange as required by Section 303A.12 of the New York Stock Exchange Listed Company Manual.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Section 16(a) of the Securities Exchange Act of 1934 requires our executive officers, directors and persons who beneficially own more than 10% of either class of our Common Stock to file reports of ownership and changes of ownership with the SEC and to furnish us with copies of the reports they file. Based solely on our review of the reports received by us, or written representations from certain reporting persons, we believe that all reports were timely filed, (a) except for one late Form 4 filed jointly by ValueAct Capital and its affiliates and Jeffrey Ubben on July 6, 2004 to show purchases of our Class A Common Stock made between December 31, 2004 and May 12, 2004; and (b) the grant of an option to Lew Schwartz made on December 13, 2002 which was not reported on a timely-filed Form 4, but was subsequently reported on a Form 5 filed on February 11, 2005, and one late Form 4 filed by Mr. Schwartz on May 14, 2004 to show a sale of stock made by him on May 11, 2004; and (c) an amended Form 3 was filed by Peter Sondergaard on November 15, 2004 to add certain holdings that were omitted from his original Form 3 filed on November 10, 2004.</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provides information about compensation paid by us to (i) those individuals serving as our Chief Executive Officer during 2004, (ii) the other four most highly compensated executive officers who served as executive officers as of December 31, 2004, and (iii) two additional individuals who would have been among our four most highly compensated Executive Officers had they continued to serve as executive officers on December 31, 2004 (collectively, the “Named Executive Officers”).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Long-Term</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Long-Term</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Compensation</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2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Annual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2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(1)</w:t>
            </w: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Restricted Stock</w:t>
            </w:r>
          </w:p>
        </w:tc>
        <w:tc>
          <w:tcPr>
            <w:tcW w:w="400" w:type="dxa"/>
            <w:vAlign w:val="bottom"/>
          </w:tcPr>
          <w:p>
            <w:pPr>
              <w:spacing w:after="0"/>
              <w:rPr>
                <w:sz w:val="12"/>
                <w:szCs w:val="12"/>
                <w:color w:val="auto"/>
              </w:rPr>
            </w:pPr>
          </w:p>
        </w:tc>
        <w:tc>
          <w:tcPr>
            <w:tcW w:w="10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Name and Principal Position</w:t>
            </w:r>
          </w:p>
        </w:tc>
        <w:tc>
          <w:tcPr>
            <w:tcW w:w="280" w:type="dxa"/>
            <w:vAlign w:val="bottom"/>
          </w:tcPr>
          <w:p>
            <w:pPr>
              <w:spacing w:after="0"/>
              <w:rPr>
                <w:sz w:val="12"/>
                <w:szCs w:val="12"/>
                <w:color w:val="auto"/>
              </w:rPr>
            </w:pPr>
          </w:p>
        </w:tc>
        <w:tc>
          <w:tcPr>
            <w:tcW w:w="1040" w:type="dxa"/>
            <w:vAlign w:val="bottom"/>
          </w:tcPr>
          <w:p>
            <w:pPr>
              <w:jc w:val="right"/>
              <w:ind w:right="499"/>
              <w:spacing w:after="0" w:line="142" w:lineRule="exact"/>
              <w:rPr>
                <w:sz w:val="20"/>
                <w:szCs w:val="20"/>
                <w:color w:val="auto"/>
              </w:rPr>
            </w:pPr>
            <w:r>
              <w:rPr>
                <w:rFonts w:ascii="Arial" w:cs="Arial" w:eastAsia="Arial" w:hAnsi="Arial"/>
                <w:sz w:val="14"/>
                <w:szCs w:val="14"/>
                <w:b w:val="1"/>
                <w:bCs w:val="1"/>
                <w:color w:val="auto"/>
              </w:rPr>
              <w:t>Year</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xml:space="preserve">Bonus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r>
              <w:rPr>
                <w:rFonts w:ascii="Arial" w:cs="Arial" w:eastAsia="Arial" w:hAnsi="Arial"/>
                <w:sz w:val="12"/>
                <w:szCs w:val="12"/>
                <w:b w:val="1"/>
                <w:bCs w:val="1"/>
                <w:color w:val="auto"/>
                <w:w w:val="90"/>
              </w:rPr>
              <w:t>(2)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6"/>
              </w:rPr>
              <w:t>Award ($)</w:t>
            </w:r>
            <w:r>
              <w:rPr>
                <w:rFonts w:ascii="Arial" w:cs="Arial" w:eastAsia="Arial" w:hAnsi="Arial"/>
                <w:sz w:val="12"/>
                <w:szCs w:val="12"/>
                <w:b w:val="1"/>
                <w:bCs w:val="1"/>
                <w:color w:val="auto"/>
                <w:w w:val="96"/>
              </w:rPr>
              <w:t>(3)</w:t>
            </w:r>
          </w:p>
        </w:tc>
        <w:tc>
          <w:tcPr>
            <w:tcW w:w="40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u w:val="single" w:color="auto"/>
                <w:color w:val="auto"/>
                <w:w w:val="99"/>
              </w:rPr>
              <w:t>Compensation($</w:t>
            </w:r>
            <w:r>
              <w:rPr>
                <w:rFonts w:ascii="Arial" w:cs="Arial" w:eastAsia="Arial" w:hAnsi="Arial"/>
                <w:sz w:val="14"/>
                <w:szCs w:val="14"/>
                <w:b w:val="1"/>
                <w:bCs w:val="1"/>
                <w:color w:val="auto"/>
                <w:w w:val="99"/>
              </w:rPr>
              <w:t>)</w:t>
            </w:r>
            <w:r>
              <w:rPr>
                <w:rFonts w:ascii="Arial" w:cs="Arial" w:eastAsia="Arial" w:hAnsi="Arial"/>
                <w:sz w:val="12"/>
                <w:szCs w:val="12"/>
                <w:b w:val="1"/>
                <w:bCs w:val="1"/>
                <w:color w:val="auto"/>
                <w:w w:val="99"/>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Eugene A. Hall</w:t>
            </w:r>
            <w:r>
              <w:rPr>
                <w:rFonts w:ascii="Arial" w:cs="Arial" w:eastAsia="Arial" w:hAnsi="Arial"/>
                <w:sz w:val="15"/>
                <w:szCs w:val="15"/>
                <w:b w:val="1"/>
                <w:bCs w:val="1"/>
                <w:color w:val="auto"/>
              </w:rPr>
              <w:t>(5)</w:t>
            </w:r>
          </w:p>
        </w:tc>
        <w:tc>
          <w:tcPr>
            <w:tcW w:w="132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2004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$ 263,749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$ 270,833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6,025,000</w:t>
            </w:r>
          </w:p>
        </w:tc>
        <w:tc>
          <w:tcPr>
            <w:tcW w:w="4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Chief Executive Officer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920" w:type="dxa"/>
            <w:vAlign w:val="bottom"/>
            <w:gridSpan w:val="2"/>
          </w:tcPr>
          <w:p>
            <w:pPr>
              <w:spacing w:after="0"/>
              <w:rPr>
                <w:sz w:val="20"/>
                <w:szCs w:val="20"/>
                <w:color w:val="auto"/>
              </w:rPr>
            </w:pPr>
            <w:r>
              <w:rPr>
                <w:rFonts w:ascii="Arial" w:cs="Arial" w:eastAsia="Arial" w:hAnsi="Arial"/>
                <w:sz w:val="18"/>
                <w:szCs w:val="18"/>
                <w:color w:val="auto"/>
              </w:rPr>
              <w:t xml:space="preserve">Michael D. Fleisher </w:t>
            </w:r>
            <w:r>
              <w:rPr>
                <w:rFonts w:ascii="Arial" w:cs="Arial" w:eastAsia="Arial" w:hAnsi="Arial"/>
                <w:sz w:val="15"/>
                <w:szCs w:val="15"/>
                <w:b w:val="1"/>
                <w:bCs w:val="1"/>
                <w:color w:val="auto"/>
              </w:rPr>
              <w:t>(6)</w:t>
            </w:r>
          </w:p>
        </w:tc>
        <w:tc>
          <w:tcPr>
            <w:tcW w:w="1320" w:type="dxa"/>
            <w:vAlign w:val="bottom"/>
            <w:gridSpan w:val="2"/>
          </w:tcPr>
          <w:p>
            <w:pPr>
              <w:jc w:val="right"/>
              <w:ind w:right="319"/>
              <w:spacing w:after="0"/>
              <w:rPr>
                <w:sz w:val="20"/>
                <w:szCs w:val="20"/>
                <w:color w:val="auto"/>
              </w:rPr>
            </w:pPr>
            <w:r>
              <w:rPr>
                <w:rFonts w:ascii="Arial" w:cs="Arial" w:eastAsia="Arial" w:hAnsi="Arial"/>
                <w:sz w:val="18"/>
                <w:szCs w:val="18"/>
                <w:color w:val="auto"/>
              </w:rPr>
              <w:t>2004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$ 442,000</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3,542,835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Chief Executive Officer</w:t>
            </w:r>
          </w:p>
        </w:tc>
        <w:tc>
          <w:tcPr>
            <w:tcW w:w="1320" w:type="dxa"/>
            <w:vAlign w:val="bottom"/>
            <w:gridSpan w:val="2"/>
          </w:tcPr>
          <w:p>
            <w:pPr>
              <w:jc w:val="right"/>
              <w:ind w:right="319"/>
              <w:spacing w:after="0"/>
              <w:rPr>
                <w:sz w:val="20"/>
                <w:szCs w:val="20"/>
                <w:color w:val="auto"/>
              </w:rPr>
            </w:pPr>
            <w:r>
              <w:rPr>
                <w:rFonts w:ascii="Arial" w:cs="Arial" w:eastAsia="Arial" w:hAnsi="Arial"/>
                <w:sz w:val="18"/>
                <w:szCs w:val="18"/>
                <w:color w:val="auto"/>
              </w:rPr>
              <w:t>2003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650,000</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442,000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320" w:type="dxa"/>
            <w:vAlign w:val="bottom"/>
            <w:gridSpan w:val="2"/>
          </w:tcPr>
          <w:p>
            <w:pPr>
              <w:jc w:val="right"/>
              <w:ind w:right="319"/>
              <w:spacing w:after="0"/>
              <w:rPr>
                <w:sz w:val="20"/>
                <w:szCs w:val="20"/>
                <w:color w:val="auto"/>
              </w:rPr>
            </w:pPr>
            <w:r>
              <w:rPr>
                <w:rFonts w:ascii="Arial" w:cs="Arial" w:eastAsia="Arial" w:hAnsi="Arial"/>
                <w:sz w:val="18"/>
                <w:szCs w:val="18"/>
                <w:color w:val="auto"/>
              </w:rPr>
              <w:t>2002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450,000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Allister Chrisopher</w:t>
            </w:r>
            <w:r>
              <w:rPr>
                <w:rFonts w:ascii="Arial" w:cs="Arial" w:eastAsia="Arial" w:hAnsi="Arial"/>
                <w:sz w:val="15"/>
                <w:szCs w:val="15"/>
                <w:b w:val="1"/>
                <w:bCs w:val="1"/>
                <w:color w:val="auto"/>
              </w:rPr>
              <w:t>(7)</w:t>
            </w:r>
          </w:p>
        </w:tc>
        <w:tc>
          <w:tcPr>
            <w:tcW w:w="132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2004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$ 342,850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$ 170,844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Worldwide Events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920" w:type="dxa"/>
            <w:vAlign w:val="bottom"/>
            <w:gridSpan w:val="2"/>
          </w:tcPr>
          <w:p>
            <w:pPr>
              <w:spacing w:after="0"/>
              <w:rPr>
                <w:sz w:val="20"/>
                <w:szCs w:val="20"/>
                <w:color w:val="auto"/>
              </w:rPr>
            </w:pPr>
            <w:r>
              <w:rPr>
                <w:rFonts w:ascii="Arial" w:cs="Arial" w:eastAsia="Arial" w:hAnsi="Arial"/>
                <w:sz w:val="18"/>
                <w:szCs w:val="18"/>
                <w:color w:val="auto"/>
              </w:rPr>
              <w:t>Michael McCarty</w:t>
            </w:r>
            <w:r>
              <w:rPr>
                <w:rFonts w:ascii="Arial" w:cs="Arial" w:eastAsia="Arial" w:hAnsi="Arial"/>
                <w:sz w:val="15"/>
                <w:szCs w:val="15"/>
                <w:b w:val="1"/>
                <w:bCs w:val="1"/>
                <w:color w:val="auto"/>
              </w:rPr>
              <w:t>(8)</w:t>
            </w:r>
          </w:p>
        </w:tc>
        <w:tc>
          <w:tcPr>
            <w:tcW w:w="1320" w:type="dxa"/>
            <w:vAlign w:val="bottom"/>
            <w:gridSpan w:val="2"/>
          </w:tcPr>
          <w:p>
            <w:pPr>
              <w:jc w:val="right"/>
              <w:ind w:right="319"/>
              <w:spacing w:after="0"/>
              <w:rPr>
                <w:sz w:val="20"/>
                <w:szCs w:val="20"/>
                <w:color w:val="auto"/>
              </w:rPr>
            </w:pPr>
            <w:r>
              <w:rPr>
                <w:rFonts w:ascii="Arial" w:cs="Arial" w:eastAsia="Arial" w:hAnsi="Arial"/>
                <w:sz w:val="18"/>
                <w:szCs w:val="18"/>
                <w:color w:val="auto"/>
              </w:rPr>
              <w:t>2004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$ 235,208</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$ 196,706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33,020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Global Sales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Robert C. Patton</w:t>
            </w:r>
            <w:r>
              <w:rPr>
                <w:rFonts w:ascii="Arial" w:cs="Arial" w:eastAsia="Arial" w:hAnsi="Arial"/>
                <w:sz w:val="15"/>
                <w:szCs w:val="15"/>
                <w:b w:val="1"/>
                <w:bCs w:val="1"/>
                <w:color w:val="auto"/>
              </w:rPr>
              <w:t>(9)</w:t>
            </w:r>
          </w:p>
        </w:tc>
        <w:tc>
          <w:tcPr>
            <w:tcW w:w="132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2004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$ 337,500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$ 785,000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394,680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12,790</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Long-Term</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Long-Term</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Compensation</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2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Annual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2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(1)</w:t>
            </w: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Restricted Stock</w:t>
            </w:r>
          </w:p>
        </w:tc>
        <w:tc>
          <w:tcPr>
            <w:tcW w:w="400" w:type="dxa"/>
            <w:vAlign w:val="bottom"/>
          </w:tcPr>
          <w:p>
            <w:pPr>
              <w:spacing w:after="0"/>
              <w:rPr>
                <w:sz w:val="12"/>
                <w:szCs w:val="12"/>
                <w:color w:val="auto"/>
              </w:rPr>
            </w:pPr>
          </w:p>
        </w:tc>
        <w:tc>
          <w:tcPr>
            <w:tcW w:w="10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2"/>
        </w:trPr>
        <w:tc>
          <w:tcPr>
            <w:tcW w:w="3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Name and Principal Position</w:t>
            </w:r>
          </w:p>
        </w:tc>
        <w:tc>
          <w:tcPr>
            <w:tcW w:w="280" w:type="dxa"/>
            <w:vAlign w:val="bottom"/>
          </w:tcPr>
          <w:p>
            <w:pPr>
              <w:spacing w:after="0"/>
              <w:rPr>
                <w:sz w:val="12"/>
                <w:szCs w:val="12"/>
                <w:color w:val="auto"/>
              </w:rPr>
            </w:pPr>
          </w:p>
        </w:tc>
        <w:tc>
          <w:tcPr>
            <w:tcW w:w="1040" w:type="dxa"/>
            <w:vAlign w:val="bottom"/>
          </w:tcPr>
          <w:p>
            <w:pPr>
              <w:jc w:val="right"/>
              <w:ind w:right="499"/>
              <w:spacing w:after="0" w:line="142" w:lineRule="exact"/>
              <w:rPr>
                <w:sz w:val="20"/>
                <w:szCs w:val="20"/>
                <w:color w:val="auto"/>
              </w:rPr>
            </w:pPr>
            <w:r>
              <w:rPr>
                <w:rFonts w:ascii="Arial" w:cs="Arial" w:eastAsia="Arial" w:hAnsi="Arial"/>
                <w:sz w:val="14"/>
                <w:szCs w:val="14"/>
                <w:b w:val="1"/>
                <w:bCs w:val="1"/>
                <w:color w:val="auto"/>
              </w:rPr>
              <w:t>Year</w:t>
            </w:r>
          </w:p>
        </w:tc>
        <w:tc>
          <w:tcPr>
            <w:tcW w:w="9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96"/>
              </w:rPr>
              <w:t>Award ($)</w:t>
            </w:r>
            <w:r>
              <w:rPr>
                <w:rFonts w:ascii="Arial" w:cs="Arial" w:eastAsia="Arial" w:hAnsi="Arial"/>
                <w:sz w:val="12"/>
                <w:szCs w:val="12"/>
                <w:b w:val="1"/>
                <w:bCs w:val="1"/>
                <w:color w:val="auto"/>
                <w:w w:val="96"/>
              </w:rPr>
              <w:t>(3)</w:t>
            </w:r>
          </w:p>
        </w:tc>
        <w:tc>
          <w:tcPr>
            <w:tcW w:w="10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4"/>
              </w:rPr>
              <w:t>Options(#)</w:t>
            </w:r>
          </w:p>
        </w:tc>
        <w:tc>
          <w:tcPr>
            <w:tcW w:w="1500" w:type="dxa"/>
            <w:vAlign w:val="bottom"/>
            <w:gridSpan w:val="4"/>
          </w:tcPr>
          <w:p>
            <w:pPr>
              <w:ind w:left="200"/>
              <w:spacing w:after="0" w:line="142" w:lineRule="exact"/>
              <w:rPr>
                <w:sz w:val="20"/>
                <w:szCs w:val="20"/>
                <w:color w:val="auto"/>
              </w:rPr>
            </w:pPr>
            <w:r>
              <w:rPr>
                <w:rFonts w:ascii="Arial" w:cs="Arial" w:eastAsia="Arial" w:hAnsi="Arial"/>
                <w:sz w:val="14"/>
                <w:szCs w:val="14"/>
                <w:b w:val="1"/>
                <w:bCs w:val="1"/>
                <w:u w:val="single" w:color="auto"/>
                <w:color w:val="auto"/>
                <w:w w:val="99"/>
              </w:rPr>
              <w:t>Compensation($</w:t>
            </w:r>
            <w:r>
              <w:rPr>
                <w:rFonts w:ascii="Arial" w:cs="Arial" w:eastAsia="Arial" w:hAnsi="Arial"/>
                <w:sz w:val="14"/>
                <w:szCs w:val="14"/>
                <w:b w:val="1"/>
                <w:bCs w:val="1"/>
                <w:color w:val="auto"/>
                <w:w w:val="99"/>
              </w:rPr>
              <w:t>)</w:t>
            </w:r>
            <w:r>
              <w:rPr>
                <w:rFonts w:ascii="Arial" w:cs="Arial" w:eastAsia="Arial" w:hAnsi="Arial"/>
                <w:sz w:val="12"/>
                <w:szCs w:val="12"/>
                <w:b w:val="1"/>
                <w:bCs w:val="1"/>
                <w:color w:val="auto"/>
                <w:w w:val="99"/>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President, Gartner Consulting</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920" w:type="dxa"/>
            <w:vAlign w:val="bottom"/>
            <w:gridSpan w:val="2"/>
          </w:tcPr>
          <w:p>
            <w:pPr>
              <w:spacing w:after="0"/>
              <w:rPr>
                <w:sz w:val="20"/>
                <w:szCs w:val="20"/>
                <w:color w:val="auto"/>
              </w:rPr>
            </w:pPr>
            <w:r>
              <w:rPr>
                <w:rFonts w:ascii="Arial" w:cs="Arial" w:eastAsia="Arial" w:hAnsi="Arial"/>
                <w:sz w:val="18"/>
                <w:szCs w:val="18"/>
                <w:color w:val="auto"/>
              </w:rPr>
              <w:t>Clive Taylor</w:t>
            </w:r>
            <w:r>
              <w:rPr>
                <w:rFonts w:ascii="Arial" w:cs="Arial" w:eastAsia="Arial" w:hAnsi="Arial"/>
                <w:sz w:val="15"/>
                <w:szCs w:val="15"/>
                <w:b w:val="1"/>
                <w:bCs w:val="1"/>
                <w:color w:val="auto"/>
              </w:rPr>
              <w:t>(10)</w:t>
            </w:r>
          </w:p>
        </w:tc>
        <w:tc>
          <w:tcPr>
            <w:tcW w:w="1320" w:type="dxa"/>
            <w:vAlign w:val="bottom"/>
            <w:gridSpan w:val="2"/>
          </w:tcPr>
          <w:p>
            <w:pPr>
              <w:jc w:val="right"/>
              <w:ind w:right="319"/>
              <w:spacing w:after="0"/>
              <w:rPr>
                <w:sz w:val="20"/>
                <w:szCs w:val="20"/>
                <w:color w:val="auto"/>
              </w:rPr>
            </w:pPr>
            <w:r>
              <w:rPr>
                <w:rFonts w:ascii="Arial" w:cs="Arial" w:eastAsia="Arial" w:hAnsi="Arial"/>
                <w:sz w:val="18"/>
                <w:szCs w:val="18"/>
                <w:color w:val="auto"/>
              </w:rPr>
              <w:t>2004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$ 340,040</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$ 105,572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40,622</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International Operations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Maureen O’Connell</w:t>
            </w:r>
            <w:r>
              <w:rPr>
                <w:rFonts w:ascii="Arial" w:cs="Arial" w:eastAsia="Arial" w:hAnsi="Arial"/>
                <w:sz w:val="15"/>
                <w:szCs w:val="15"/>
                <w:color w:val="auto"/>
              </w:rPr>
              <w:t>(11)</w:t>
            </w:r>
          </w:p>
        </w:tc>
        <w:tc>
          <w:tcPr>
            <w:tcW w:w="132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2004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$ 464,054</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$ 575,000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President and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2003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518,740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416,000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2002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136,538</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418"/>
        </w:trPr>
        <w:tc>
          <w:tcPr>
            <w:tcW w:w="3920" w:type="dxa"/>
            <w:vAlign w:val="bottom"/>
            <w:gridSpan w:val="2"/>
          </w:tcPr>
          <w:p>
            <w:pPr>
              <w:spacing w:after="0"/>
              <w:rPr>
                <w:sz w:val="20"/>
                <w:szCs w:val="20"/>
                <w:color w:val="auto"/>
              </w:rPr>
            </w:pPr>
            <w:r>
              <w:rPr>
                <w:rFonts w:ascii="Arial" w:cs="Arial" w:eastAsia="Arial" w:hAnsi="Arial"/>
                <w:sz w:val="18"/>
                <w:szCs w:val="18"/>
                <w:color w:val="auto"/>
              </w:rPr>
              <w:t>Willard Pardue, Jr.</w:t>
            </w:r>
            <w:r>
              <w:rPr>
                <w:rFonts w:ascii="Arial" w:cs="Arial" w:eastAsia="Arial" w:hAnsi="Arial"/>
                <w:sz w:val="15"/>
                <w:szCs w:val="15"/>
                <w:color w:val="auto"/>
              </w:rPr>
              <w:t>(12)</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President, Gartner Intelligence</w:t>
            </w:r>
          </w:p>
        </w:tc>
        <w:tc>
          <w:tcPr>
            <w:tcW w:w="1320" w:type="dxa"/>
            <w:vAlign w:val="bottom"/>
            <w:gridSpan w:val="2"/>
          </w:tcPr>
          <w:p>
            <w:pPr>
              <w:jc w:val="right"/>
              <w:ind w:right="319"/>
              <w:spacing w:after="0"/>
              <w:rPr>
                <w:sz w:val="20"/>
                <w:szCs w:val="20"/>
                <w:color w:val="auto"/>
              </w:rPr>
            </w:pPr>
            <w:r>
              <w:rPr>
                <w:rFonts w:ascii="Arial" w:cs="Arial" w:eastAsia="Arial" w:hAnsi="Arial"/>
                <w:sz w:val="18"/>
                <w:szCs w:val="18"/>
                <w:color w:val="auto"/>
              </w:rPr>
              <w:t>2004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$ 379,166</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$ 264,654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1,951,250</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660,000</w:t>
            </w:r>
          </w:p>
        </w:tc>
        <w:tc>
          <w:tcPr>
            <w:tcW w:w="180" w:type="dxa"/>
            <w:vAlign w:val="bottom"/>
          </w:tcPr>
          <w:p>
            <w:pPr>
              <w:spacing w:after="0"/>
              <w:rPr>
                <w:sz w:val="20"/>
                <w:szCs w:val="20"/>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1,625,450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right="100" w:hanging="532"/>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shown exclude certain perquisites and other personal benefits, such as car allowances. These amounts, in the aggregate, did not equal or exceed the lesser of $50,000 or 10 percent of the total annual salary and bonus for each executive officer.</w:t>
      </w:r>
    </w:p>
    <w:p>
      <w:pPr>
        <w:spacing w:after="0" w:line="170"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shown include bonuses earned in the year noted although such amounts are payable in the subsequent year. The amounts shown exclude bonuses paid in the year noted but earned in prior years.</w:t>
      </w:r>
    </w:p>
    <w:p>
      <w:pPr>
        <w:spacing w:after="0" w:line="170" w:lineRule="exact"/>
        <w:rPr>
          <w:rFonts w:ascii="Arial" w:cs="Arial" w:eastAsia="Arial" w:hAnsi="Arial"/>
          <w:sz w:val="18"/>
          <w:szCs w:val="18"/>
          <w:color w:val="auto"/>
        </w:rPr>
      </w:pPr>
    </w:p>
    <w:p>
      <w:pPr>
        <w:ind w:left="540" w:right="180" w:hanging="532"/>
        <w:spacing w:after="0" w:line="30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restricted stock grants were made to Named Executive Officers during 2004: (i) Mr. Hall – 500,000 shares, the terms under which the restrictions on these shares lapse are described in the description of Mr. Hall’s employment agreement below. The market value of these shares at December 31, 2004 was $6,225,000; (ii) Mr. Patton – 33,000 shares. The market value of these shares at December 31, 2004 was $411,180; and (iii) Mr. Pardue – 175,000 shares. Mr. Pardue forfeited his entire restricted stock reward upon his resignation in October, 2004.</w:t>
      </w:r>
    </w:p>
    <w:p>
      <w:pPr>
        <w:sectPr>
          <w:pgSz w:w="11900" w:h="16838" w:orient="portrait"/>
          <w:cols w:equalWidth="0" w:num="1">
            <w:col w:w="11420"/>
          </w:cols>
          <w:pgMar w:left="240" w:top="41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2004, the amounts shown represents: (i) premiums paid for life insurance: Mr. Hall - $11,850; Mr. Fleisher - $4,370; Mr. McCarty - $7,170;</w:t>
      </w:r>
    </w:p>
    <w:p>
      <w:pPr>
        <w:spacing w:after="0" w:line="34" w:lineRule="exact"/>
        <w:rPr>
          <w:rFonts w:ascii="Arial" w:cs="Arial" w:eastAsia="Arial" w:hAnsi="Arial"/>
          <w:sz w:val="17"/>
          <w:szCs w:val="17"/>
          <w:color w:val="auto"/>
        </w:rPr>
      </w:pPr>
    </w:p>
    <w:p>
      <w:pPr>
        <w:ind w:left="640" w:right="240"/>
        <w:spacing w:after="0" w:line="281" w:lineRule="auto"/>
        <w:rPr>
          <w:rFonts w:ascii="Arial" w:cs="Arial" w:eastAsia="Arial" w:hAnsi="Arial"/>
          <w:sz w:val="17"/>
          <w:szCs w:val="17"/>
          <w:color w:val="auto"/>
        </w:rPr>
      </w:pPr>
      <w:r>
        <w:rPr>
          <w:rFonts w:ascii="Arial" w:cs="Arial" w:eastAsia="Arial" w:hAnsi="Arial"/>
          <w:sz w:val="16"/>
          <w:szCs w:val="16"/>
          <w:color w:val="auto"/>
        </w:rPr>
        <w:t>Mr. Patton – $2,090; Ms. O’Connell - $1,760; Mr. Pardue - $4,830; (ii) premiums paid for long term disability insurance: Mr. Fleisher - - $3,654; Mr. Patton – $4,421; Ms. O’Connell - $4,288; Mr. Pardue - $1,621; (iii) matching and profit sharing contributions under our defined benefit plans: Mr. McCarty - $7,250; Mr. Patton – $6,279; Mr. Christopher - $34,338; Mr. Taylor - $40,622; Ms. O’Connell - $5,200; Mr. Pardue - $5,200;</w:t>
      </w:r>
    </w:p>
    <w:p>
      <w:pPr>
        <w:spacing w:after="0" w:line="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(iv) relocation expenses: Mr. Hall - $16,916; Mr. McCarty - $18,600; Mr. Pardue - $69,570; (v) severance payments: Mr. Fleisher - $3,534,811;</w:t>
      </w:r>
    </w:p>
    <w:p>
      <w:pPr>
        <w:spacing w:after="0" w:line="20"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Ms. O’Connell - $3,173,557; Mr. Pardue - $1,544,229; and (vi) legal fees: Ms. O’Connell – $10,000.</w:t>
      </w:r>
    </w:p>
    <w:p>
      <w:pPr>
        <w:spacing w:after="0" w:line="210" w:lineRule="exact"/>
        <w:rPr>
          <w:rFonts w:ascii="Arial" w:cs="Arial" w:eastAsia="Arial" w:hAnsi="Arial"/>
          <w:sz w:val="17"/>
          <w:szCs w:val="17"/>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Hall was elected Chief Executive Officer in August 2004.</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Fleisher resigned as Chief Executive Officer in August 2004. Mr. Fleisher’s last day of employment was October 30, 2004.</w:t>
      </w:r>
    </w:p>
    <w:p>
      <w:pPr>
        <w:spacing w:after="0" w:line="225" w:lineRule="exact"/>
        <w:rPr>
          <w:rFonts w:ascii="Arial" w:cs="Arial" w:eastAsia="Arial" w:hAnsi="Arial"/>
          <w:sz w:val="18"/>
          <w:szCs w:val="18"/>
          <w:color w:val="auto"/>
        </w:rPr>
      </w:pPr>
    </w:p>
    <w:p>
      <w:pPr>
        <w:ind w:left="640" w:right="340" w:hanging="632"/>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position of Senior Vice President, Worldwide Events was elevated to the executive officer level in November 2004. Mr. Christopher’s bonus includes a $15,365 retention bonus.</w:t>
      </w:r>
    </w:p>
    <w:p>
      <w:pPr>
        <w:spacing w:after="0" w:line="170" w:lineRule="exact"/>
        <w:rPr>
          <w:rFonts w:ascii="Arial" w:cs="Arial" w:eastAsia="Arial" w:hAnsi="Arial"/>
          <w:sz w:val="18"/>
          <w:szCs w:val="18"/>
          <w:color w:val="auto"/>
        </w:rPr>
      </w:pPr>
    </w:p>
    <w:p>
      <w:pPr>
        <w:ind w:left="640" w:right="220" w:hanging="632"/>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compensation received from April 2004, the start date of Mr. McCarty’s employment. Mr. McCarty’s bonus includes a $40,625 sign on bonus and a $81,250 retention bonus.</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compensation received from April 2004, the start date of Mr. Patton’s employment. Mr. Patton’s bonus includes a $200,000 sign on bonus and a $225,000 retention bonus.</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Taylor was appointed Senior Vice President, International Operations in February 2004.</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Ms. O’Connell resigned as of October 21, 2004. Ms. O’Connell’s bonus consisted of a $575,000 retention bonus.</w:t>
      </w:r>
    </w:p>
    <w:p>
      <w:pPr>
        <w:spacing w:after="0" w:line="225" w:lineRule="exact"/>
        <w:rPr>
          <w:rFonts w:ascii="Arial" w:cs="Arial" w:eastAsia="Arial" w:hAnsi="Arial"/>
          <w:sz w:val="18"/>
          <w:szCs w:val="18"/>
          <w:color w:val="auto"/>
        </w:rPr>
      </w:pPr>
    </w:p>
    <w:p>
      <w:pPr>
        <w:ind w:left="640" w:right="400" w:hanging="632"/>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compensation received from January 2004, the start date of Mr. Pardue’s employment. Mr. Pardue resigned as of November 5, 2004. Mr. Pardue’s bonus includes a $14,654 sign on bonus and a $250,000 retention bonus.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GRANTED IN 2004 TO THE NAMED EXECUTIVE OFFICERS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provides information regarding stock options to purchase our Class A Common Stock granted to the Named Executive Officers during 2004:</w:t>
      </w:r>
    </w:p>
    <w:p>
      <w:pPr>
        <w:sectPr>
          <w:pgSz w:w="11900" w:h="16838" w:orient="portrait"/>
          <w:cols w:equalWidth="0" w:num="1">
            <w:col w:w="11420"/>
          </w:cols>
          <w:pgMar w:left="240" w:top="419" w:right="239" w:bottom="1440" w:gutter="0" w:footer="0" w:header="0"/>
        </w:sectPr>
      </w:pPr>
    </w:p>
    <w:p>
      <w:pPr>
        <w:spacing w:after="0" w:line="338" w:lineRule="exact"/>
        <w:rPr>
          <w:sz w:val="20"/>
          <w:szCs w:val="20"/>
          <w:color w:val="auto"/>
        </w:rPr>
      </w:pPr>
    </w:p>
    <w:tbl>
      <w:tblPr>
        <w:tblLayout w:type="fixed"/>
        <w:tblInd w:w="174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xml:space="preserve">Individual Grant </w:t>
            </w:r>
            <w:r>
              <w:rPr>
                <w:rFonts w:ascii="Arial" w:cs="Arial" w:eastAsia="Arial" w:hAnsi="Arial"/>
                <w:sz w:val="12"/>
                <w:szCs w:val="12"/>
                <w:b w:val="1"/>
                <w:bCs w:val="1"/>
                <w:color w:val="auto"/>
              </w:rPr>
              <w:t>(1)</w:t>
            </w:r>
          </w:p>
        </w:tc>
        <w:tc>
          <w:tcPr>
            <w:tcW w:w="8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900" w:type="dxa"/>
            <w:vAlign w:val="bottom"/>
          </w:tcPr>
          <w:p>
            <w:pPr>
              <w:jc w:val="center"/>
              <w:ind w:right="129"/>
              <w:spacing w:after="0" w:line="119" w:lineRule="exact"/>
              <w:rPr>
                <w:sz w:val="20"/>
                <w:szCs w:val="20"/>
                <w:color w:val="auto"/>
              </w:rPr>
            </w:pPr>
            <w:r>
              <w:rPr>
                <w:rFonts w:ascii="Arial" w:cs="Arial" w:eastAsia="Arial" w:hAnsi="Arial"/>
                <w:sz w:val="13"/>
                <w:szCs w:val="13"/>
                <w:b w:val="1"/>
                <w:bCs w:val="1"/>
                <w:color w:val="auto"/>
              </w:rPr>
              <w:t>Number of</w:t>
            </w:r>
          </w:p>
        </w:tc>
        <w:tc>
          <w:tcPr>
            <w:tcW w:w="1700" w:type="dxa"/>
            <w:vAlign w:val="bottom"/>
          </w:tcPr>
          <w:p>
            <w:pPr>
              <w:jc w:val="center"/>
              <w:ind w:left="9"/>
              <w:spacing w:after="0" w:line="119" w:lineRule="exact"/>
              <w:rPr>
                <w:sz w:val="20"/>
                <w:szCs w:val="20"/>
                <w:color w:val="auto"/>
              </w:rPr>
            </w:pPr>
            <w:r>
              <w:rPr>
                <w:rFonts w:ascii="Arial" w:cs="Arial" w:eastAsia="Arial" w:hAnsi="Arial"/>
                <w:sz w:val="13"/>
                <w:szCs w:val="13"/>
                <w:b w:val="1"/>
                <w:bCs w:val="1"/>
                <w:color w:val="auto"/>
              </w:rPr>
              <w:t>% of Total Options</w:t>
            </w:r>
          </w:p>
        </w:tc>
        <w:tc>
          <w:tcPr>
            <w:tcW w:w="8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0"/>
              </w:rPr>
              <w:t>Exercise</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900" w:type="dxa"/>
            <w:vAlign w:val="bottom"/>
          </w:tcPr>
          <w:p>
            <w:pPr>
              <w:jc w:val="center"/>
              <w:ind w:right="149"/>
              <w:spacing w:after="0"/>
              <w:rPr>
                <w:sz w:val="20"/>
                <w:szCs w:val="20"/>
                <w:color w:val="auto"/>
              </w:rPr>
            </w:pPr>
            <w:r>
              <w:rPr>
                <w:rFonts w:ascii="Arial" w:cs="Arial" w:eastAsia="Arial" w:hAnsi="Arial"/>
                <w:sz w:val="14"/>
                <w:szCs w:val="14"/>
                <w:b w:val="1"/>
                <w:bCs w:val="1"/>
                <w:color w:val="auto"/>
                <w:w w:val="89"/>
              </w:rPr>
              <w:t>Securities</w:t>
            </w:r>
          </w:p>
        </w:tc>
        <w:tc>
          <w:tcPr>
            <w:tcW w:w="170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Granted to</w:t>
            </w:r>
          </w:p>
        </w:tc>
        <w:tc>
          <w:tcPr>
            <w:tcW w:w="8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ind w:right="129"/>
              <w:spacing w:after="0" w:line="149" w:lineRule="exact"/>
              <w:rPr>
                <w:sz w:val="20"/>
                <w:szCs w:val="20"/>
                <w:color w:val="auto"/>
              </w:rPr>
            </w:pPr>
            <w:r>
              <w:rPr>
                <w:rFonts w:ascii="Arial" w:cs="Arial" w:eastAsia="Arial" w:hAnsi="Arial"/>
                <w:sz w:val="14"/>
                <w:szCs w:val="14"/>
                <w:b w:val="1"/>
                <w:bCs w:val="1"/>
                <w:color w:val="auto"/>
                <w:w w:val="95"/>
              </w:rPr>
              <w:t>Underlying</w:t>
            </w:r>
          </w:p>
        </w:tc>
        <w:tc>
          <w:tcPr>
            <w:tcW w:w="17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9"/>
              </w:rPr>
              <w:t>Employees</w:t>
            </w:r>
          </w:p>
        </w:tc>
        <w:tc>
          <w:tcPr>
            <w:tcW w:w="8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2380" w:type="dxa"/>
            <w:vAlign w:val="bottom"/>
            <w:vMerge w:val="continue"/>
          </w:tcPr>
          <w:p>
            <w:pPr>
              <w:spacing w:after="0"/>
              <w:rPr>
                <w:sz w:val="14"/>
                <w:szCs w:val="14"/>
                <w:color w:val="auto"/>
              </w:rPr>
            </w:pPr>
          </w:p>
        </w:tc>
        <w:tc>
          <w:tcPr>
            <w:tcW w:w="900" w:type="dxa"/>
            <w:vAlign w:val="bottom"/>
          </w:tcPr>
          <w:p>
            <w:pPr>
              <w:jc w:val="center"/>
              <w:ind w:right="149"/>
              <w:spacing w:after="0"/>
              <w:rPr>
                <w:sz w:val="20"/>
                <w:szCs w:val="20"/>
                <w:color w:val="auto"/>
              </w:rPr>
            </w:pPr>
            <w:r>
              <w:rPr>
                <w:rFonts w:ascii="Arial" w:cs="Arial" w:eastAsia="Arial" w:hAnsi="Arial"/>
                <w:sz w:val="14"/>
                <w:szCs w:val="14"/>
                <w:b w:val="1"/>
                <w:bCs w:val="1"/>
                <w:color w:val="auto"/>
                <w:w w:val="90"/>
              </w:rPr>
              <w:t>Options</w:t>
            </w:r>
          </w:p>
        </w:tc>
        <w:tc>
          <w:tcPr>
            <w:tcW w:w="1700" w:type="dxa"/>
            <w:vAlign w:val="bottom"/>
          </w:tcPr>
          <w:p>
            <w:pPr>
              <w:jc w:val="center"/>
              <w:ind w:left="9"/>
              <w:spacing w:after="0"/>
              <w:rPr>
                <w:sz w:val="20"/>
                <w:szCs w:val="20"/>
                <w:color w:val="auto"/>
              </w:rPr>
            </w:pPr>
            <w:r>
              <w:rPr>
                <w:rFonts w:ascii="Arial" w:cs="Arial" w:eastAsia="Arial" w:hAnsi="Arial"/>
                <w:sz w:val="14"/>
                <w:szCs w:val="14"/>
                <w:b w:val="1"/>
                <w:bCs w:val="1"/>
                <w:color w:val="auto"/>
                <w:w w:val="90"/>
              </w:rPr>
              <w:t>in Fiscal Year</w:t>
            </w:r>
          </w:p>
        </w:tc>
        <w:tc>
          <w:tcPr>
            <w:tcW w:w="86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Per Share</w:t>
            </w:r>
          </w:p>
        </w:tc>
        <w:tc>
          <w:tcPr>
            <w:tcW w:w="106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ind w:right="240"/>
        <w:spacing w:after="0" w:line="232" w:lineRule="auto"/>
        <w:rPr>
          <w:sz w:val="20"/>
          <w:szCs w:val="20"/>
          <w:color w:val="auto"/>
        </w:rPr>
      </w:pPr>
      <w:r>
        <w:rPr>
          <w:rFonts w:ascii="Arial" w:cs="Arial" w:eastAsia="Arial" w:hAnsi="Arial"/>
          <w:sz w:val="14"/>
          <w:szCs w:val="14"/>
          <w:b w:val="1"/>
          <w:bCs w:val="1"/>
          <w:color w:val="auto"/>
        </w:rPr>
        <w:t xml:space="preserve">Potential Realizable Value at Assumed Annual Stock Price Rates of Appreciation for Option Term </w:t>
      </w: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-3175</wp:posOffset>
            </wp:positionV>
            <wp:extent cx="1449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180"/>
        <w:spacing w:after="0" w:line="233" w:lineRule="auto"/>
        <w:tabs>
          <w:tab w:leader="none" w:pos="152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b w:val="1"/>
          <w:bCs w:val="1"/>
          <w:color w:val="auto"/>
        </w:rPr>
        <w:t>10%</w:t>
      </w:r>
    </w:p>
    <w:p>
      <w:pPr>
        <w:spacing w:after="0" w:line="20" w:lineRule="exact"/>
        <w:rPr>
          <w:sz w:val="20"/>
          <w:szCs w:val="20"/>
          <w:color w:val="auto"/>
        </w:rPr>
      </w:pPr>
    </w:p>
    <w:p>
      <w:pPr>
        <w:sectPr>
          <w:pgSz w:w="11900" w:h="16838" w:orient="portrait"/>
          <w:cols w:equalWidth="0" w:num="2">
            <w:col w:w="8640" w:space="520"/>
            <w:col w:w="226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Eugene A. Hall</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800,000</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15.68%</w:t>
            </w:r>
          </w:p>
        </w:tc>
        <w:tc>
          <w:tcPr>
            <w:tcW w:w="1340" w:type="dxa"/>
            <w:vAlign w:val="bottom"/>
            <w:gridSpan w:val="3"/>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  12.11</w:t>
            </w:r>
          </w:p>
        </w:tc>
        <w:tc>
          <w:tcPr>
            <w:tcW w:w="10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8/16/14</w:t>
            </w:r>
          </w:p>
        </w:tc>
        <w:tc>
          <w:tcPr>
            <w:tcW w:w="11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w w:val="88"/>
              </w:rPr>
              <w:t>$ 6,092,731</w:t>
            </w:r>
          </w:p>
        </w:tc>
        <w:tc>
          <w:tcPr>
            <w:tcW w:w="128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$ 15,440,177</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Alister Christopher</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12,000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0.24</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12.45</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6/1/14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93,957</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238,105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Michael McCarty</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1.47</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11.96</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5/17/14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564,118</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1,429,587</w:t>
            </w:r>
          </w:p>
        </w:tc>
      </w:tr>
      <w:tr>
        <w:trPr>
          <w:trHeight w:val="216"/>
        </w:trPr>
        <w:tc>
          <w:tcPr>
            <w:tcW w:w="384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50,000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0.98</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12.49</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6/07/04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392,745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995,292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Robert C. Patton</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150,000</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2.94</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11.96</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5/17/14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1,128,237</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2,859,174</w:t>
            </w:r>
          </w:p>
        </w:tc>
      </w:tr>
      <w:tr>
        <w:trPr>
          <w:trHeight w:val="216"/>
        </w:trPr>
        <w:tc>
          <w:tcPr>
            <w:tcW w:w="384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60,000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1.18</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12.49</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6/07/04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471,294</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1,194,351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Maureen O’Connell</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55,000</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1.08</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12.49</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6/07/14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432,019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1,094,821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Willard Pardue, Jr.</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600,000</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11.76</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11.15</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2/04/14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4,207,305</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10,662,137</w:t>
            </w:r>
          </w:p>
        </w:tc>
      </w:tr>
      <w:tr>
        <w:trPr>
          <w:trHeight w:val="216"/>
        </w:trPr>
        <w:tc>
          <w:tcPr>
            <w:tcW w:w="38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1.18</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12.49</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6/07/04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471,294</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1,194,351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right="140" w:hanging="532"/>
        <w:spacing w:after="0" w:line="34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options were granted under our 2003 Long Term Incentive Plan and are subject to its terms. These options vest in equal annual installments on the anniversary of the date of grant. Mr. Hall’s option vests over a four-year period, and all of the other options vest over a three-year period.</w:t>
      </w:r>
    </w:p>
    <w:p>
      <w:pPr>
        <w:spacing w:after="0" w:line="123"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Shown are the hypothetical gains or option spreads that would exist for the respective options. These gains are based on assumed rates of annual compounded stock price appreciation on our Class A Common Stock of 5% and 10% from the date the option was granted over the option term of ten years. The 5% and 10% assumed rates of appreciation are mandated by SEC rules and do not represent our projection of future increases in the price of our Class A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 IN 2004 BY THE NAMED EXECUTIVE OFFICERS AND 2004 YEAR-END OPTION VALUES</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provides information regarding options exercised by each Named Executive Officer during fiscal 2004, the number of unexercised options at fiscal year-end and the value of unexercised “in-the-money” options at fiscal year-end:</w:t>
      </w:r>
    </w:p>
    <w:p>
      <w:pPr>
        <w:sectPr>
          <w:pgSz w:w="11900" w:h="16838" w:orient="portrait"/>
          <w:cols w:equalWidth="0" w:num="1">
            <w:col w:w="11420"/>
          </w:cols>
          <w:pgMar w:left="240" w:top="419" w:right="239" w:bottom="1440" w:gutter="0" w:footer="0" w:header="0"/>
          <w:type w:val="continuous"/>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In-the-Money Options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Acquired</w:t>
            </w:r>
          </w:p>
        </w:tc>
        <w:tc>
          <w:tcPr>
            <w:tcW w:w="20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Options at Year-End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 xml:space="preserve">at Year-End </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ind w:left="1860"/>
              <w:spacing w:after="0" w:line="142" w:lineRule="exact"/>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on Exercise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Exercisable</w:t>
            </w:r>
          </w:p>
        </w:tc>
        <w:tc>
          <w:tcPr>
            <w:tcW w:w="8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Unexercisable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Exercisable</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Unexercisable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Eugene A. Hall</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Michael D. Fleisher</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1,165,417</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$ 3,456,648</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412,417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229,166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64,894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768,851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Alister Christopher</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97,662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219,926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Michael McCarty</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Robert C. Patton</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Clive Taylor</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136,435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7,665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351,163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Maureen O’Connell</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352,084</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1,703,977</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72,917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449,166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Willard Pardue, Jr.</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140,000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157,200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320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9" w:lineRule="exact"/>
        <w:rPr>
          <w:sz w:val="20"/>
          <w:szCs w:val="20"/>
          <w:color w:val="auto"/>
        </w:rPr>
      </w:pPr>
    </w:p>
    <w:p>
      <w:pPr>
        <w:ind w:left="540" w:right="20" w:hanging="532"/>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values for “in-the-money” options represent the difference between the exercise price of the options and the closing price of our Class A Common Stock on December 31, 2004, which was $12.46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Our Compensation Committee currently consists of Messrs. Bingle, Smith and Webb. No member of our Compensation Committee is a current or former officer or employee of Gartner or any of our subsidiaries. None of our executive officers has served on the board of directors or on the compensation committee of any other entity that had an executive officer serving on our Board or our 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0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b w:val="1"/>
          <w:bCs w:val="1"/>
          <w:i w:val="1"/>
          <w:iCs w:val="1"/>
          <w:color w:val="auto"/>
        </w:rPr>
        <w:t xml:space="preserve">Mr. Hall. </w:t>
      </w:r>
      <w:r>
        <w:rPr>
          <w:rFonts w:ascii="Arial" w:cs="Arial" w:eastAsia="Arial" w:hAnsi="Arial"/>
          <w:sz w:val="17"/>
          <w:szCs w:val="17"/>
          <w:color w:val="auto"/>
        </w:rPr>
        <w:t>Mr. Hall entered into an Employment Agreement effective August 4, 2004 (the “Hall Agreement”). Under the agreement, Mr. Hall serves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through July 31, 2007, and thereafter for subsequent one-year periods unless either party provides ninety days written notice not to renew. During the term of the agreement, we agree to include Mr. Hall on our slate of nominees to be elected to our Board.</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Mr. Hall’s initial base salary is $650,000, subject to annual adjustments by our Board or Compensation Committee. Mr. Hall’s annual target bonus is equal to 100% of his base salary and is based on the achievement of specified company and individual objectives. Mr. Hall’s bonus may be higher or lower than the target bonus amount based on over- or under- achievement of the objectives, but in no event shall the bonus exceed 200% of his base salary. Mr. Hall’s bonus for the first twelve months of his employment is guaranteed at 100% of his target bonus. Additionally, we agreed to provide Mr. Hall with an automobile and a driver during his employment term.</w:t>
      </w:r>
    </w:p>
    <w:p>
      <w:pPr>
        <w:spacing w:after="0" w:line="148"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Pursuant to the agreement, Mr. Hall received a grant on August 16, 2004 of options to purchase 800,000 of our Class A Common Stock at a price of $12.11 per share. These stock options vest in four equal annual installments on the anniversary of the date of grant. Mr. Hall also received a grant of 500,000 shares of restricted stock. The restrictions on these shares will lapse upon the earlier of (a) our 60-day average stock price meeting certain targets, or (b) a change in control. The price targets are $20 for the first 300,000 shares, $25 for the next 100,000 shares and $30 for the remaining 100,000 shares.</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Mr. Hall’s employment is at will and may be terminated by him or us upon sixty days’ notice. If we terminate Mr. Hall’s employment involuntarily without Business Reasons (as defined in the agreement) or a Constructive Termination (as defined in the agreement) occurs, or if we do not renew the agreement upon its expiration and Mr. Hall terminates his employment within ninety days following the expiration of the agreement, Mr. Hall will be entitled to receive:</w:t>
      </w:r>
    </w:p>
    <w:p>
      <w:pPr>
        <w:ind w:right="320" w:firstLine="8"/>
        <w:spacing w:after="0" w:line="255"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his base salary for twenty-four months, payable in accordance with our regular payroll schedule; (b) 200% of his target bonus for the year in which the termination occurs, and any earned but unpaid bonus from the prior year; (c) continued vesting for twenty-four months other than any award that vests pursuant to performance-based criteria.</w:t>
      </w:r>
    </w:p>
    <w:p>
      <w:pPr>
        <w:spacing w:after="0" w:line="1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 Change in Control (as defined in the agreement) occurs, Mr. Hall will be entitled to receive: (a) three times his base salary then in effect; (b) three times his minimum target bonus for the fiscal year in which the Change in Control occurs (plus any unpaid bonus from the prior fiscal year); (c) acceleration in full of his option grant and the lapsing of all restrictions on his restricted stock grant; (d) at our cost, group health benefits pursuant to our standard programs for himself, his spouse and any children for three years after the Change in Control; and (e) any Gross-Up Payments (as defined in the agreement) for Mr. Hall’s excise tax liabilities.</w:t>
      </w:r>
    </w:p>
    <w:p>
      <w:pPr>
        <w:spacing w:after="0" w:line="148"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b w:val="1"/>
          <w:bCs w:val="1"/>
          <w:i w:val="1"/>
          <w:iCs w:val="1"/>
          <w:color w:val="auto"/>
        </w:rPr>
        <w:t xml:space="preserve">Alister Christopher. </w:t>
      </w:r>
      <w:r>
        <w:rPr>
          <w:rFonts w:ascii="Arial" w:cs="Arial" w:eastAsia="Arial" w:hAnsi="Arial"/>
          <w:sz w:val="16"/>
          <w:szCs w:val="16"/>
          <w:color w:val="auto"/>
        </w:rPr>
        <w:t>Mr. Christopher entered into a service agreement on August 18, 2003 with our UK subsidiary, Gartner Group UK Limited.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Mr. Christopher serves as our Senior Vice President, Worldwide Events until the earlier of his 60</w:t>
      </w:r>
      <w:r>
        <w:rPr>
          <w:rFonts w:ascii="Arial" w:cs="Arial" w:eastAsia="Arial" w:hAnsi="Arial"/>
          <w:sz w:val="13"/>
          <w:szCs w:val="13"/>
          <w:color w:val="auto"/>
        </w:rPr>
        <w:t>th</w:t>
      </w:r>
      <w:r>
        <w:rPr>
          <w:rFonts w:ascii="Arial" w:cs="Arial" w:eastAsia="Arial" w:hAnsi="Arial"/>
          <w:sz w:val="16"/>
          <w:szCs w:val="16"/>
          <w:color w:val="auto"/>
        </w:rPr>
        <w:t xml:space="preserve"> birthday or the date that the agreement is terminated by either party, provided, however, that Gartner must give Mr. Christopher 12 months notice, or pay him out in lieu of notice.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Mr. Chrisopher’s base salary is £180,000 per annum and his discretionary bonus is £85,000, subject to Gartner meeting its performance targets and his meeting his defined personal objectives. We agreed to contribute an amount equal to 6% of Mr. Christopher’s base salary to our UK defined contribution pension scheme. This amount increases to 8% after two years of service. Additionally, we agreed to provide Mr. Christopher with either a car with a lease value of £850 per month , or a car allowance of £1,000 per month.</w:t>
      </w:r>
    </w:p>
    <w:p>
      <w:pPr>
        <w:spacing w:after="0" w:line="156"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i w:val="1"/>
          <w:iCs w:val="1"/>
          <w:color w:val="auto"/>
        </w:rPr>
        <w:t>Clive Taylor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Taylor entered into a service agreement on December 21, 2004 with our UK subsidiary, Gartner Group UK Limited. Under the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Taylor serves as our Senior Vice President, International Operations until the earlier of his 60</w:t>
      </w:r>
      <w:r>
        <w:rPr>
          <w:rFonts w:ascii="Arial" w:cs="Arial" w:eastAsia="Arial" w:hAnsi="Arial"/>
          <w:sz w:val="14"/>
          <w:szCs w:val="14"/>
          <w:color w:val="auto"/>
        </w:rPr>
        <w:t>th</w:t>
      </w:r>
      <w:r>
        <w:rPr>
          <w:rFonts w:ascii="Arial" w:cs="Arial" w:eastAsia="Arial" w:hAnsi="Arial"/>
          <w:sz w:val="17"/>
          <w:szCs w:val="17"/>
          <w:color w:val="auto"/>
        </w:rPr>
        <w:t xml:space="preserve"> birthday or the date that the agreement is terminated by either party, provided, however, that Gartner must give Mr. Taylor 12 months notice, or pay him out in lieu of notice.</w:t>
      </w:r>
    </w:p>
    <w:p>
      <w:pPr>
        <w:spacing w:after="0" w:line="12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Mr. Taylor’s base salary is £188,000 per annum and his discretionary bonus is £94,000 subject to Gartner meeting its performance targets and his meeting his defined personal objectives. We agreed to contribute an amount equal to 6% of Mr. Taylor’s base salary to our UK defined contribution pension scheme. The amount rises to 8% after two years of service. Additionally, we agreed to provide Mr. Taylor with a car or car allowance.</w:t>
      </w:r>
    </w:p>
    <w:p>
      <w:pPr>
        <w:spacing w:after="0" w:line="125" w:lineRule="exact"/>
        <w:rPr>
          <w:sz w:val="20"/>
          <w:szCs w:val="20"/>
          <w:color w:val="auto"/>
        </w:rPr>
      </w:pPr>
    </w:p>
    <w:p>
      <w:pPr>
        <w:jc w:val="both"/>
        <w:ind w:right="240"/>
        <w:spacing w:after="0" w:line="272" w:lineRule="auto"/>
        <w:rPr>
          <w:sz w:val="20"/>
          <w:szCs w:val="20"/>
          <w:color w:val="auto"/>
        </w:rPr>
      </w:pPr>
      <w:r>
        <w:rPr>
          <w:rFonts w:ascii="Arial" w:cs="Arial" w:eastAsia="Arial" w:hAnsi="Arial"/>
          <w:sz w:val="17"/>
          <w:szCs w:val="17"/>
          <w:b w:val="1"/>
          <w:bCs w:val="1"/>
          <w:i w:val="1"/>
          <w:iCs w:val="1"/>
          <w:color w:val="auto"/>
        </w:rPr>
        <w:t xml:space="preserve">Executive Officers. </w:t>
      </w:r>
      <w:r>
        <w:rPr>
          <w:rFonts w:ascii="Arial" w:cs="Arial" w:eastAsia="Arial" w:hAnsi="Arial"/>
          <w:sz w:val="17"/>
          <w:szCs w:val="17"/>
          <w:color w:val="auto"/>
        </w:rPr>
        <w:t>Other than Messrs. Christopher, Sondergaard and Taylor, who are employed by our UK subsidiary, and our CEO, we do not have long-term employment agreements with any of our executive officers. Each of our executive officers is covered by Gartner’s Executive Benefits Program which provides that upon either a change of control, involuntary termination without business reason, or a constructive termination, each of our executive officers will be entitled to receive: (a) one times base salary then in effect; (b) acceleration in full of vesting of all outstanding stock options that would have vested within twelve months of the termination date; and (c) at our cost, group health benefits pursuant to our standard programs for the executive, the executive’s spouse and any children for one year after the termination date. Additionally, the program provides for additional life and long term disability insurance, as well as a $5,000 financial planning allowance and an annual physical examination.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Directors who are also employees, and directors who we appoint at the request of another entity because of the relationship between that entity and us, receive no fees for their services as directors. All other directors receive the following compensation for their services: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Annual Fee:</w:t>
            </w:r>
          </w:p>
        </w:tc>
        <w:tc>
          <w:tcPr>
            <w:tcW w:w="9640" w:type="dxa"/>
            <w:vAlign w:val="bottom"/>
          </w:tcPr>
          <w:p>
            <w:pPr>
              <w:ind w:left="180"/>
              <w:spacing w:after="0"/>
              <w:rPr>
                <w:sz w:val="20"/>
                <w:szCs w:val="20"/>
                <w:color w:val="auto"/>
              </w:rPr>
            </w:pPr>
            <w:r>
              <w:rPr>
                <w:rFonts w:ascii="Arial" w:cs="Arial" w:eastAsia="Arial" w:hAnsi="Arial"/>
                <w:sz w:val="18"/>
                <w:szCs w:val="18"/>
                <w:color w:val="auto"/>
                <w:w w:val="93"/>
              </w:rPr>
              <w:t>$50,000 per director and an additional $60,000 for our non-executive Chairman, payable in four equal quarterly installments, on</w:t>
            </w:r>
          </w:p>
        </w:tc>
      </w:tr>
      <w:tr>
        <w:trPr>
          <w:trHeight w:val="216"/>
        </w:trPr>
        <w:tc>
          <w:tcPr>
            <w:tcW w:w="178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5"/>
              </w:rPr>
              <w:t>the first day of each quarter. Up to 50% of the fee may be paid in cash and the balance is paid in our Class A Common Stock</w:t>
            </w:r>
          </w:p>
        </w:tc>
      </w:tr>
      <w:tr>
        <w:trPr>
          <w:trHeight w:val="216"/>
        </w:trPr>
        <w:tc>
          <w:tcPr>
            <w:tcW w:w="178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0"/>
              </w:rPr>
              <w:t>equivalents. All payments in stock equivalents are credited to an account based on the fair market value of the stock on the last day</w:t>
            </w:r>
          </w:p>
        </w:tc>
      </w:tr>
      <w:tr>
        <w:trPr>
          <w:trHeight w:val="216"/>
        </w:trPr>
        <w:tc>
          <w:tcPr>
            <w:tcW w:w="178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0"/>
              </w:rPr>
              <w:t>of the preceding quarter. Payment of the stock equivalents, which may be in cash or shares of Class A Common Stock, is deferred</w:t>
            </w:r>
          </w:p>
        </w:tc>
      </w:tr>
      <w:tr>
        <w:trPr>
          <w:trHeight w:val="230"/>
        </w:trPr>
        <w:tc>
          <w:tcPr>
            <w:tcW w:w="178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until the director ceases to be a director.</w:t>
            </w: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Annual Committee</w:t>
            </w:r>
          </w:p>
        </w:tc>
        <w:tc>
          <w:tcPr>
            <w:tcW w:w="9640" w:type="dxa"/>
            <w:vAlign w:val="bottom"/>
          </w:tcPr>
          <w:p>
            <w:pPr>
              <w:ind w:left="180"/>
              <w:spacing w:after="0"/>
              <w:rPr>
                <w:sz w:val="20"/>
                <w:szCs w:val="20"/>
                <w:color w:val="auto"/>
              </w:rPr>
            </w:pPr>
            <w:r>
              <w:rPr>
                <w:rFonts w:ascii="Arial" w:cs="Arial" w:eastAsia="Arial" w:hAnsi="Arial"/>
                <w:sz w:val="18"/>
                <w:szCs w:val="18"/>
                <w:color w:val="auto"/>
                <w:w w:val="94"/>
              </w:rPr>
              <w:t>$5,000 for the chair of each of our Compensation and Governance Committees. $10,000 for the chair of our Audit Committee.</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Chair Retainer:</w:t>
            </w:r>
          </w:p>
        </w:tc>
        <w:tc>
          <w:tcPr>
            <w:tcW w:w="9640" w:type="dxa"/>
            <w:vAlign w:val="bottom"/>
          </w:tcPr>
          <w:p>
            <w:pPr>
              <w:ind w:left="180"/>
              <w:spacing w:after="0"/>
              <w:rPr>
                <w:sz w:val="20"/>
                <w:szCs w:val="20"/>
                <w:color w:val="auto"/>
              </w:rPr>
            </w:pPr>
            <w:r>
              <w:rPr>
                <w:rFonts w:ascii="Arial" w:cs="Arial" w:eastAsia="Arial" w:hAnsi="Arial"/>
                <w:sz w:val="18"/>
                <w:szCs w:val="18"/>
                <w:color w:val="auto"/>
              </w:rPr>
              <w:t>Amounts are payable in the same manner as the Annual Fee.</w:t>
            </w: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Attendance Fee for</w:t>
            </w:r>
          </w:p>
        </w:tc>
        <w:tc>
          <w:tcPr>
            <w:tcW w:w="9640" w:type="dxa"/>
            <w:vAlign w:val="bottom"/>
          </w:tcPr>
          <w:p>
            <w:pPr>
              <w:ind w:left="180"/>
              <w:spacing w:after="0"/>
              <w:rPr>
                <w:sz w:val="20"/>
                <w:szCs w:val="20"/>
                <w:color w:val="auto"/>
              </w:rPr>
            </w:pPr>
            <w:r>
              <w:rPr>
                <w:rFonts w:ascii="Arial" w:cs="Arial" w:eastAsia="Arial" w:hAnsi="Arial"/>
                <w:sz w:val="18"/>
                <w:szCs w:val="18"/>
                <w:color w:val="auto"/>
              </w:rPr>
              <w:t>None; however, we do reimburse directors for their expenses to attend meetings.</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Board Meetings:</w:t>
            </w:r>
          </w:p>
        </w:tc>
        <w:tc>
          <w:tcPr>
            <w:tcW w:w="9640" w:type="dxa"/>
            <w:vAlign w:val="bottom"/>
          </w:tcPr>
          <w:p>
            <w:pPr>
              <w:spacing w:after="0"/>
              <w:rPr>
                <w:sz w:val="20"/>
                <w:szCs w:val="20"/>
                <w:color w:val="auto"/>
              </w:rPr>
            </w:pP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Committee Member</w:t>
            </w:r>
          </w:p>
        </w:tc>
        <w:tc>
          <w:tcPr>
            <w:tcW w:w="9640" w:type="dxa"/>
            <w:vAlign w:val="bottom"/>
          </w:tcPr>
          <w:p>
            <w:pPr>
              <w:ind w:left="180"/>
              <w:spacing w:after="0"/>
              <w:rPr>
                <w:sz w:val="20"/>
                <w:szCs w:val="20"/>
                <w:color w:val="auto"/>
              </w:rPr>
            </w:pPr>
            <w:r>
              <w:rPr>
                <w:rFonts w:ascii="Arial" w:cs="Arial" w:eastAsia="Arial" w:hAnsi="Arial"/>
                <w:sz w:val="18"/>
                <w:szCs w:val="18"/>
                <w:color w:val="auto"/>
                <w:w w:val="97"/>
              </w:rPr>
              <w:t>$5,000 for each of our Compensation and Governance Committee members. $10,000 for each Audit Committee member.</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Retainer:</w:t>
            </w:r>
          </w:p>
        </w:tc>
        <w:tc>
          <w:tcPr>
            <w:tcW w:w="9640" w:type="dxa"/>
            <w:vAlign w:val="bottom"/>
          </w:tcPr>
          <w:p>
            <w:pPr>
              <w:ind w:left="180"/>
              <w:spacing w:after="0"/>
              <w:rPr>
                <w:sz w:val="20"/>
                <w:szCs w:val="20"/>
                <w:color w:val="auto"/>
              </w:rPr>
            </w:pPr>
            <w:r>
              <w:rPr>
                <w:rFonts w:ascii="Arial" w:cs="Arial" w:eastAsia="Arial" w:hAnsi="Arial"/>
                <w:sz w:val="18"/>
                <w:szCs w:val="18"/>
                <w:color w:val="auto"/>
              </w:rPr>
              <w:t>Committee chairs receive both a committee chair and a committee member retainer.</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Initial Option Grant:</w:t>
            </w:r>
          </w:p>
        </w:tc>
        <w:tc>
          <w:tcPr>
            <w:tcW w:w="9640" w:type="dxa"/>
            <w:vAlign w:val="bottom"/>
          </w:tcPr>
          <w:p>
            <w:pPr>
              <w:ind w:left="180"/>
              <w:spacing w:after="0"/>
              <w:rPr>
                <w:sz w:val="20"/>
                <w:szCs w:val="20"/>
                <w:color w:val="auto"/>
              </w:rPr>
            </w:pPr>
            <w:r>
              <w:rPr>
                <w:rFonts w:ascii="Arial" w:cs="Arial" w:eastAsia="Arial" w:hAnsi="Arial"/>
                <w:sz w:val="18"/>
                <w:szCs w:val="18"/>
                <w:color w:val="auto"/>
              </w:rPr>
              <w:t>15,000 shares of our Class A Common Stock upon becoming a director.</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Annual Option Grant:</w:t>
            </w:r>
          </w:p>
        </w:tc>
        <w:tc>
          <w:tcPr>
            <w:tcW w:w="9640" w:type="dxa"/>
            <w:vAlign w:val="bottom"/>
          </w:tcPr>
          <w:p>
            <w:pPr>
              <w:ind w:left="180"/>
              <w:spacing w:after="0"/>
              <w:rPr>
                <w:sz w:val="20"/>
                <w:szCs w:val="20"/>
                <w:color w:val="auto"/>
              </w:rPr>
            </w:pPr>
            <w:r>
              <w:rPr>
                <w:rFonts w:ascii="Arial" w:cs="Arial" w:eastAsia="Arial" w:hAnsi="Arial"/>
                <w:sz w:val="18"/>
                <w:szCs w:val="18"/>
                <w:color w:val="auto"/>
              </w:rPr>
              <w:t>7,000 shares of our Class A Common Stock on March 1 of each year if the director has served for at least six months.</w:t>
            </w: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Option Vesting and</w:t>
            </w: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Option grants vest in 3 equal installments on the first three anniversaries of grant and remain exercisable until 10 years from the</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Term:</w:t>
            </w:r>
          </w:p>
        </w:tc>
        <w:tc>
          <w:tcPr>
            <w:tcW w:w="9640" w:type="dxa"/>
            <w:vAlign w:val="bottom"/>
          </w:tcPr>
          <w:p>
            <w:pPr>
              <w:ind w:left="180"/>
              <w:spacing w:after="0"/>
              <w:rPr>
                <w:sz w:val="20"/>
                <w:szCs w:val="20"/>
                <w:color w:val="auto"/>
              </w:rPr>
            </w:pPr>
            <w:r>
              <w:rPr>
                <w:rFonts w:ascii="Arial" w:cs="Arial" w:eastAsia="Arial" w:hAnsi="Arial"/>
                <w:sz w:val="18"/>
                <w:szCs w:val="18"/>
                <w:color w:val="auto"/>
                <w:w w:val="92"/>
              </w:rPr>
              <w:t>date of grant (5 years for those issued prior to the adoption of our 2003 Long-Term Incentive Plan). If the director ceases to be a</w:t>
            </w:r>
          </w:p>
        </w:tc>
      </w:tr>
      <w:tr>
        <w:trPr>
          <w:trHeight w:val="216"/>
        </w:trPr>
        <w:tc>
          <w:tcPr>
            <w:tcW w:w="178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4"/>
              </w:rPr>
              <w:t>director, the option expires in 90 days, unless the director is permanently disabled or dies while serving as a director, in which</w:t>
            </w:r>
          </w:p>
        </w:tc>
      </w:tr>
      <w:tr>
        <w:trPr>
          <w:trHeight w:val="230"/>
        </w:trPr>
        <w:tc>
          <w:tcPr>
            <w:tcW w:w="1780" w:type="dxa"/>
            <w:vAlign w:val="bottom"/>
          </w:tcPr>
          <w:p>
            <w:pPr>
              <w:spacing w:after="0"/>
              <w:rPr>
                <w:sz w:val="20"/>
                <w:szCs w:val="20"/>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cases the option may be exercised for 6 months or one year, respectively, but in no event beyond its regular term.</w:t>
            </w:r>
          </w:p>
        </w:tc>
      </w:tr>
      <w:tr>
        <w:trPr>
          <w:trHeight w:val="405"/>
        </w:trPr>
        <w:tc>
          <w:tcPr>
            <w:tcW w:w="1780" w:type="dxa"/>
            <w:vAlign w:val="bottom"/>
          </w:tcPr>
          <w:p>
            <w:pPr>
              <w:spacing w:after="0"/>
              <w:rPr>
                <w:sz w:val="24"/>
                <w:szCs w:val="24"/>
                <w:color w:val="auto"/>
              </w:rPr>
            </w:pPr>
          </w:p>
        </w:tc>
        <w:tc>
          <w:tcPr>
            <w:tcW w:w="9640" w:type="dxa"/>
            <w:vAlign w:val="bottom"/>
          </w:tcPr>
          <w:p>
            <w:pPr>
              <w:ind w:left="3840"/>
              <w:spacing w:after="0"/>
              <w:rPr>
                <w:sz w:val="20"/>
                <w:szCs w:val="20"/>
                <w:color w:val="auto"/>
              </w:rPr>
            </w:pPr>
            <w:r>
              <w:rPr>
                <w:rFonts w:ascii="Arial" w:cs="Arial" w:eastAsia="Arial" w:hAnsi="Arial"/>
                <w:sz w:val="18"/>
                <w:szCs w:val="18"/>
                <w:color w:val="auto"/>
              </w:rPr>
              <w:t>33</w:t>
            </w:r>
          </w:p>
        </w:tc>
      </w:tr>
      <w:tr>
        <w:trPr>
          <w:trHeight w:val="226"/>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on our review of information on file with the Securities and Exchange Commission and our stock records, the following table provides certain information about beneficial ownership of our Class A and Class B Common Stock as of February 28, 2005 by: (i) each person (or group of affiliated persons) which is known by us to own beneficially more than five percent of our Class A or Class B Common Stock, (ii) each of our directors, (iii) each Named Executive Officer, and (iv) all directors and current executive officers as a group. Unless otherwise indicated, the address for those listed below is c/o Gartner, Inc., 56 Top Gallant Road, Stamford, CT 06904. Except as indicated by footnote, and subject to applicable community property laws, the persons named in the table have sole voting and investment power with respect to all shares of Common Stock shown as beneficially owned by them.</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ind w:left="2840"/>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 of</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 of</w:t>
            </w: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Class B</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Name of Beneficial Owner</w:t>
            </w: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Class A Shares</w:t>
            </w:r>
          </w:p>
        </w:tc>
        <w:tc>
          <w:tcPr>
            <w:tcW w:w="420" w:type="dxa"/>
            <w:vAlign w:val="bottom"/>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Class A</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Class B Shares</w:t>
            </w:r>
          </w:p>
        </w:tc>
        <w:tc>
          <w:tcPr>
            <w:tcW w:w="4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Michael J. Bingle</w:t>
            </w:r>
            <w:r>
              <w:rPr>
                <w:rFonts w:ascii="Arial" w:cs="Arial" w:eastAsia="Arial" w:hAnsi="Arial"/>
                <w:sz w:val="15"/>
                <w:szCs w:val="15"/>
                <w:color w:val="auto"/>
              </w:rPr>
              <w:t>(1)</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37,740,128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42.17%</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xml:space="preserve">Anne Sutherland Fuchs </w:t>
            </w:r>
            <w:r>
              <w:rPr>
                <w:rFonts w:ascii="Arial" w:cs="Arial" w:eastAsia="Arial" w:hAnsi="Arial"/>
                <w:sz w:val="15"/>
                <w:szCs w:val="15"/>
                <w:color w:val="auto"/>
              </w:rPr>
              <w:t>(2)</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33,001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William O. Grabe </w:t>
            </w:r>
            <w:r>
              <w:rPr>
                <w:rFonts w:ascii="Arial" w:cs="Arial" w:eastAsia="Arial" w:hAnsi="Arial"/>
                <w:sz w:val="15"/>
                <w:szCs w:val="15"/>
                <w:color w:val="auto"/>
              </w:rPr>
              <w:t>(2)</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102,001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xml:space="preserve">Max D. Hopper </w:t>
            </w:r>
            <w:r>
              <w:rPr>
                <w:rFonts w:ascii="Arial" w:cs="Arial" w:eastAsia="Arial" w:hAnsi="Arial"/>
                <w:sz w:val="15"/>
                <w:szCs w:val="15"/>
                <w:color w:val="auto"/>
              </w:rPr>
              <w:t>(2)</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49,001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Glenn H. Hutchins</w:t>
            </w:r>
            <w:r>
              <w:rPr>
                <w:rFonts w:ascii="Arial" w:cs="Arial" w:eastAsia="Arial" w:hAnsi="Arial"/>
                <w:sz w:val="15"/>
                <w:szCs w:val="15"/>
                <w:color w:val="auto"/>
              </w:rPr>
              <w:t>(3)</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37,740,128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42.17%</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xml:space="preserve">Stephen G. Pagliuca </w:t>
            </w:r>
            <w:r>
              <w:rPr>
                <w:rFonts w:ascii="Arial" w:cs="Arial" w:eastAsia="Arial" w:hAnsi="Arial"/>
                <w:sz w:val="15"/>
                <w:szCs w:val="15"/>
                <w:color w:val="auto"/>
              </w:rPr>
              <w:t>(4)</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67,001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James C. Smith</w:t>
            </w:r>
            <w:r>
              <w:rPr>
                <w:rFonts w:ascii="Arial" w:cs="Arial" w:eastAsia="Arial" w:hAnsi="Arial"/>
                <w:sz w:val="15"/>
                <w:szCs w:val="15"/>
                <w:color w:val="auto"/>
              </w:rPr>
              <w:t>(5)</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112,334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 xml:space="preserve">Maynard G. Webb, Jr. </w:t>
            </w:r>
            <w:r>
              <w:rPr>
                <w:rFonts w:ascii="Arial" w:cs="Arial" w:eastAsia="Arial" w:hAnsi="Arial"/>
                <w:sz w:val="15"/>
                <w:szCs w:val="15"/>
                <w:color w:val="auto"/>
              </w:rPr>
              <w:t>(6)</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42,001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Jeffrey W. Ubben</w:t>
            </w:r>
            <w:r>
              <w:rPr>
                <w:rFonts w:ascii="Arial" w:cs="Arial" w:eastAsia="Arial" w:hAnsi="Arial"/>
                <w:sz w:val="15"/>
                <w:szCs w:val="15"/>
                <w:color w:val="auto"/>
              </w:rPr>
              <w:t>(7)</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11,592,000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5,122,546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Eugene A. Hall</w:t>
            </w:r>
            <w:r>
              <w:rPr>
                <w:rFonts w:ascii="Arial" w:cs="Arial" w:eastAsia="Arial" w:hAnsi="Arial"/>
                <w:sz w:val="15"/>
                <w:szCs w:val="15"/>
                <w:color w:val="auto"/>
              </w:rPr>
              <w:t>(8)</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500,000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Christopher Alister </w:t>
            </w:r>
            <w:r>
              <w:rPr>
                <w:rFonts w:ascii="Arial" w:cs="Arial" w:eastAsia="Arial" w:hAnsi="Arial"/>
                <w:sz w:val="15"/>
                <w:szCs w:val="15"/>
                <w:color w:val="auto"/>
              </w:rPr>
              <w:t>(9)</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102,828</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Michael McCarty</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Robert C. Patton</w:t>
            </w:r>
            <w:r>
              <w:rPr>
                <w:rFonts w:ascii="Arial" w:cs="Arial" w:eastAsia="Arial" w:hAnsi="Arial"/>
                <w:sz w:val="15"/>
                <w:szCs w:val="15"/>
                <w:color w:val="auto"/>
              </w:rPr>
              <w:t>(10)</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Clive Taylor</w:t>
            </w:r>
            <w:r>
              <w:rPr>
                <w:rFonts w:ascii="Arial" w:cs="Arial" w:eastAsia="Arial" w:hAnsi="Arial"/>
                <w:sz w:val="15"/>
                <w:szCs w:val="15"/>
                <w:color w:val="auto"/>
              </w:rPr>
              <w:t>(11)</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140,601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All current directors, director nominees and current executive officers as a group (20</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persons) </w:t>
            </w:r>
            <w:r>
              <w:rPr>
                <w:rFonts w:ascii="Arial" w:cs="Arial" w:eastAsia="Arial" w:hAnsi="Arial"/>
                <w:sz w:val="15"/>
                <w:szCs w:val="15"/>
                <w:color w:val="auto"/>
              </w:rPr>
              <w:t>(12)</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51,089,575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5,126,635</w:t>
            </w: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line="201" w:lineRule="exact"/>
              <w:rPr>
                <w:sz w:val="20"/>
                <w:szCs w:val="20"/>
                <w:color w:val="auto"/>
              </w:rPr>
            </w:pPr>
            <w:r>
              <w:rPr>
                <w:rFonts w:ascii="Arial" w:cs="Arial" w:eastAsia="Arial" w:hAnsi="Arial"/>
                <w:sz w:val="18"/>
                <w:szCs w:val="18"/>
                <w:color w:val="auto"/>
              </w:rPr>
              <w:t xml:space="preserve">Wellington Management Company, LLP. </w:t>
            </w:r>
            <w:r>
              <w:rPr>
                <w:rFonts w:ascii="Arial" w:cs="Arial" w:eastAsia="Arial" w:hAnsi="Arial"/>
                <w:sz w:val="15"/>
                <w:szCs w:val="15"/>
                <w:color w:val="auto"/>
              </w:rPr>
              <w:t>(13)</w:t>
            </w:r>
          </w:p>
        </w:tc>
        <w:tc>
          <w:tcPr>
            <w:tcW w:w="1720" w:type="dxa"/>
            <w:vAlign w:val="bottom"/>
            <w:gridSpan w:val="3"/>
          </w:tcPr>
          <w:p>
            <w:pPr>
              <w:jc w:val="right"/>
              <w:ind w:right="420"/>
              <w:spacing w:after="0" w:line="201" w:lineRule="exact"/>
              <w:rPr>
                <w:sz w:val="20"/>
                <w:szCs w:val="20"/>
                <w:color w:val="auto"/>
              </w:rPr>
            </w:pPr>
            <w:r>
              <w:rPr>
                <w:rFonts w:ascii="Arial" w:cs="Arial" w:eastAsia="Arial" w:hAnsi="Arial"/>
                <w:sz w:val="18"/>
                <w:szCs w:val="18"/>
                <w:color w:val="auto"/>
              </w:rPr>
              <w:t>6,646,660</w:t>
            </w:r>
          </w:p>
        </w:tc>
        <w:tc>
          <w:tcPr>
            <w:tcW w:w="10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7.43%</w:t>
            </w:r>
          </w:p>
        </w:tc>
        <w:tc>
          <w:tcPr>
            <w:tcW w:w="160" w:type="dxa"/>
            <w:vAlign w:val="bottom"/>
          </w:tcPr>
          <w:p>
            <w:pPr>
              <w:spacing w:after="0"/>
              <w:rPr>
                <w:sz w:val="17"/>
                <w:szCs w:val="17"/>
                <w:color w:val="auto"/>
              </w:rPr>
            </w:pPr>
          </w:p>
        </w:tc>
        <w:tc>
          <w:tcPr>
            <w:tcW w:w="13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75 State Street, Boston, MA 02109</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Entities Affiliated with Silver Lake Partners, L.P. </w:t>
            </w:r>
            <w:r>
              <w:rPr>
                <w:rFonts w:ascii="Arial" w:cs="Arial" w:eastAsia="Arial" w:hAnsi="Arial"/>
                <w:sz w:val="15"/>
                <w:szCs w:val="15"/>
                <w:color w:val="auto"/>
              </w:rPr>
              <w:t>(14)</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37,740,128</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42.17%</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2725 Sand Hill Road, Suite 150, Menlo Park, CA 94025</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line="201" w:lineRule="exact"/>
              <w:rPr>
                <w:sz w:val="20"/>
                <w:szCs w:val="20"/>
                <w:color w:val="auto"/>
              </w:rPr>
            </w:pPr>
            <w:r>
              <w:rPr>
                <w:rFonts w:ascii="Arial" w:cs="Arial" w:eastAsia="Arial" w:hAnsi="Arial"/>
                <w:sz w:val="18"/>
                <w:szCs w:val="18"/>
                <w:color w:val="auto"/>
              </w:rPr>
              <w:t xml:space="preserve">VA Partners, L.L.C. </w:t>
            </w:r>
            <w:r>
              <w:rPr>
                <w:rFonts w:ascii="Arial" w:cs="Arial" w:eastAsia="Arial" w:hAnsi="Arial"/>
                <w:sz w:val="15"/>
                <w:szCs w:val="15"/>
                <w:color w:val="auto"/>
              </w:rPr>
              <w:t>(15)</w:t>
            </w:r>
          </w:p>
        </w:tc>
        <w:tc>
          <w:tcPr>
            <w:tcW w:w="1720" w:type="dxa"/>
            <w:vAlign w:val="bottom"/>
            <w:gridSpan w:val="3"/>
          </w:tcPr>
          <w:p>
            <w:pPr>
              <w:jc w:val="right"/>
              <w:ind w:right="420"/>
              <w:spacing w:after="0" w:line="201" w:lineRule="exact"/>
              <w:rPr>
                <w:sz w:val="20"/>
                <w:szCs w:val="20"/>
                <w:color w:val="auto"/>
              </w:rPr>
            </w:pPr>
            <w:r>
              <w:rPr>
                <w:rFonts w:ascii="Arial" w:cs="Arial" w:eastAsia="Arial" w:hAnsi="Arial"/>
                <w:sz w:val="18"/>
                <w:szCs w:val="18"/>
                <w:color w:val="auto"/>
              </w:rPr>
              <w:t>11,592,000</w:t>
            </w:r>
          </w:p>
        </w:tc>
        <w:tc>
          <w:tcPr>
            <w:tcW w:w="10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12.95%</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5,122,546</w:t>
            </w:r>
          </w:p>
        </w:tc>
        <w:tc>
          <w:tcPr>
            <w:tcW w:w="420" w:type="dxa"/>
            <w:vAlign w:val="bottom"/>
          </w:tcPr>
          <w:p>
            <w:pPr>
              <w:spacing w:after="0"/>
              <w:rPr>
                <w:sz w:val="17"/>
                <w:szCs w:val="17"/>
                <w:color w:val="auto"/>
              </w:rPr>
            </w:pPr>
          </w:p>
        </w:tc>
        <w:tc>
          <w:tcPr>
            <w:tcW w:w="8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One Maritime Plaza, Suite 1400, San Francisco, CA 94111</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7" w:lineRule="exact"/>
        <w:rPr>
          <w:sz w:val="20"/>
          <w:szCs w:val="20"/>
          <w:color w:val="auto"/>
        </w:rPr>
      </w:pPr>
    </w:p>
    <w:p>
      <w:pPr>
        <w:ind w:left="540" w:right="100" w:hanging="532"/>
        <w:spacing w:after="0" w:line="25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Silver Lake Partners, L.P., Silver Lake Investors, L.P. and Silver Lake Technology Investors, L.L.C. own 37,740,128 shares of Class A Common Stock. Silver Lake Technology Associates, L.L.C. is the General Partner of each of Silver Lake Partners, L.P. and Silver Lake Investors, L.P. Silver Lake Technology Management, L.L.C. is the manager of Silver Lake Technology Investors, L.L.C. Mr. Bingle is a Managing Director of each of Silver Lake Technology Associates, L.L.C. and of Silver Lake Technology Management, L.L.C. As such, Mr. Bingle could be deemed to have shared voting or dispositive power over these shares. Mr. Bingle, however, disclaims beneficial ownership in these shares, except to the extent of his pecuniary interest therein.</w:t>
      </w:r>
    </w:p>
    <w:p>
      <w:pPr>
        <w:spacing w:after="0" w:line="193" w:lineRule="exact"/>
        <w:rPr>
          <w:rFonts w:ascii="Arial" w:cs="Arial" w:eastAsia="Arial" w:hAnsi="Arial"/>
          <w:sz w:val="18"/>
          <w:szCs w:val="18"/>
          <w:color w:val="auto"/>
        </w:rPr>
      </w:pPr>
    </w:p>
    <w:p>
      <w:pPr>
        <w:ind w:left="540" w:right="440" w:hanging="532"/>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28,001 shares of Class A Common Stock issuable upon the exercise of stock options that are exercisable within 60 days of February 28, 2005.</w:t>
      </w:r>
    </w:p>
    <w:p>
      <w:pPr>
        <w:spacing w:after="0" w:line="170"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Silver Lake Partners, L.P., Silver Lake Investors, L.P. and Silver Lake Technology Investors, L.L.C. own 37,740,128 shares of Class A Common Stock. Silver Lake Technology Associates, L.L.C. is the General Partner of each of Silver Lake Partners, L.P. and Silver Lake Investors, L.P. Silver Lake Technology Management, L.L.C. is the manager of Silver Lake Technology Investors, L.L.C. Mr. Hutchins is a Managing Member of each of Silver Lake Technology Associates, L.L.C. and of Silver Lake Technology Management, L.L.C. As such, Mr. Hutchins could be deemed to have shared voting or dispositive power over these shares. Mr. Hutchins, however, disclaims beneficial ownership in these shares, except to the extent of his pecuniary interest therein.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hanging="63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28,001 shares of Class A Common Stock issuable upon the exercise of stock options that are exercisable within 60 days of February 28, 2005, and includes 10,000 shares of Class A Common Stock that are owned by Mr. Pagliuca indirectly.</w:t>
      </w:r>
    </w:p>
    <w:p>
      <w:pPr>
        <w:spacing w:after="0" w:line="170" w:lineRule="exact"/>
        <w:rPr>
          <w:rFonts w:ascii="Arial" w:cs="Arial" w:eastAsia="Arial" w:hAnsi="Arial"/>
          <w:sz w:val="18"/>
          <w:szCs w:val="18"/>
          <w:color w:val="auto"/>
        </w:rPr>
      </w:pPr>
    </w:p>
    <w:p>
      <w:pPr>
        <w:ind w:left="640" w:right="120" w:hanging="63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12,334 shares of Class A Common Stock issuable upon the exercise of stock options that are exercisable within 60 days of February 28, 2005.</w:t>
      </w:r>
    </w:p>
    <w:p>
      <w:pPr>
        <w:spacing w:after="0" w:line="170" w:lineRule="exact"/>
        <w:rPr>
          <w:rFonts w:ascii="Arial" w:cs="Arial" w:eastAsia="Arial" w:hAnsi="Arial"/>
          <w:sz w:val="18"/>
          <w:szCs w:val="18"/>
          <w:color w:val="auto"/>
        </w:rPr>
      </w:pPr>
    </w:p>
    <w:p>
      <w:pPr>
        <w:ind w:left="640" w:right="120" w:hanging="63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22,001 shares of Class A Common Stock issuable upon the exercise of stock options that are exercisable within 60 days of February 28, 2005.</w:t>
      </w:r>
    </w:p>
    <w:p>
      <w:pPr>
        <w:spacing w:after="0" w:line="170" w:lineRule="exact"/>
        <w:rPr>
          <w:rFonts w:ascii="Arial" w:cs="Arial" w:eastAsia="Arial" w:hAnsi="Arial"/>
          <w:sz w:val="18"/>
          <w:szCs w:val="18"/>
          <w:color w:val="auto"/>
        </w:rPr>
      </w:pPr>
    </w:p>
    <w:p>
      <w:pPr>
        <w:ind w:left="640" w:right="40" w:hanging="632"/>
        <w:spacing w:after="0" w:line="279"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ValueAct Capital Master Fund, L.P. and ValueAct Capital Partners Co-Investment, L.P. own 11,592,000 shares of our Class A Common Stock and 5,122,546 shares of our Class B Common Stock. VA Partners, L.L.C. is the General Partner of each of these entities. Mr. Ubben is a Managing Member of VA Partners, L.L.C. As such, Mr. Ubben could be deemed to have shared voting or dispositive power over these shares. Mr. Ubben, however, disclaims beneficial ownership in these shares, except to the extent of his pecuniary interest therein.</w:t>
      </w:r>
    </w:p>
    <w:p>
      <w:pPr>
        <w:spacing w:after="0" w:line="171" w:lineRule="exact"/>
        <w:rPr>
          <w:rFonts w:ascii="Arial" w:cs="Arial" w:eastAsia="Arial" w:hAnsi="Arial"/>
          <w:sz w:val="17"/>
          <w:szCs w:val="17"/>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500,000 shares of restricted stock.</w:t>
      </w:r>
    </w:p>
    <w:p>
      <w:pPr>
        <w:spacing w:after="0" w:line="225" w:lineRule="exact"/>
        <w:rPr>
          <w:rFonts w:ascii="Arial" w:cs="Arial" w:eastAsia="Arial" w:hAnsi="Arial"/>
          <w:sz w:val="18"/>
          <w:szCs w:val="18"/>
          <w:color w:val="auto"/>
        </w:rPr>
      </w:pPr>
    </w:p>
    <w:p>
      <w:pPr>
        <w:ind w:left="640" w:right="40" w:hanging="63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102,828 shares of Class A Common Stock issuable upon the exercise of stock options that are exercisable within 60 days of February 28, 2005.</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33,000 shares of restricted stock.</w:t>
      </w:r>
    </w:p>
    <w:p>
      <w:pPr>
        <w:spacing w:after="0" w:line="225" w:lineRule="exact"/>
        <w:rPr>
          <w:rFonts w:ascii="Arial" w:cs="Arial" w:eastAsia="Arial" w:hAnsi="Arial"/>
          <w:sz w:val="18"/>
          <w:szCs w:val="18"/>
          <w:color w:val="auto"/>
        </w:rPr>
      </w:pPr>
    </w:p>
    <w:p>
      <w:pPr>
        <w:ind w:left="640" w:right="40" w:hanging="63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134,001 shares of Class A Common Stock issuable upon the exercise of stock options that are exercisable within 60 days of February 28, 2005.</w:t>
      </w:r>
    </w:p>
    <w:p>
      <w:pPr>
        <w:spacing w:after="0" w:line="170" w:lineRule="exact"/>
        <w:rPr>
          <w:rFonts w:ascii="Arial" w:cs="Arial" w:eastAsia="Arial" w:hAnsi="Arial"/>
          <w:sz w:val="18"/>
          <w:szCs w:val="18"/>
          <w:color w:val="auto"/>
        </w:rPr>
      </w:pPr>
    </w:p>
    <w:p>
      <w:pPr>
        <w:ind w:left="640" w:right="40" w:hanging="63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940,042 shares of Class A Common Stock issuable upon the exercise of stock options that are exercisable within 60 days of February 28, 2005 and 533,084 shares of restricted stock.</w:t>
      </w:r>
    </w:p>
    <w:p>
      <w:pPr>
        <w:spacing w:after="0" w:line="170" w:lineRule="exact"/>
        <w:rPr>
          <w:rFonts w:ascii="Arial" w:cs="Arial" w:eastAsia="Arial" w:hAnsi="Arial"/>
          <w:sz w:val="18"/>
          <w:szCs w:val="18"/>
          <w:color w:val="auto"/>
        </w:rPr>
      </w:pPr>
    </w:p>
    <w:p>
      <w:pPr>
        <w:ind w:left="640" w:right="360" w:hanging="632"/>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shown as beneficially owned by Wellington Management Company, LLP were reported in its Schedule 13G filed with the SEC on February 14, 2005.</w:t>
      </w:r>
    </w:p>
    <w:p>
      <w:pPr>
        <w:spacing w:after="0" w:line="170" w:lineRule="exact"/>
        <w:rPr>
          <w:rFonts w:ascii="Arial" w:cs="Arial" w:eastAsia="Arial" w:hAnsi="Arial"/>
          <w:sz w:val="18"/>
          <w:szCs w:val="18"/>
          <w:color w:val="auto"/>
        </w:rPr>
      </w:pPr>
    </w:p>
    <w:p>
      <w:pPr>
        <w:ind w:left="640" w:right="100" w:hanging="632"/>
        <w:spacing w:after="0" w:line="264"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owned by a group of investment funds affiliated with Silver Lake Partners, L.P., the General Partner of which is Silver Lake Technology Associates, including (i) 34,755,105 shares owned by Silver Lake Partners, L.P.; (ii) 998,701 shares owned by Silver Lake Investors, L.P.; and (iii) 1,986,322 shares owned by Silver Lake Technology Investors, L.L.C.</w:t>
      </w:r>
    </w:p>
    <w:p>
      <w:pPr>
        <w:spacing w:after="0" w:line="181" w:lineRule="exact"/>
        <w:rPr>
          <w:rFonts w:ascii="Arial" w:cs="Arial" w:eastAsia="Arial" w:hAnsi="Arial"/>
          <w:sz w:val="18"/>
          <w:szCs w:val="18"/>
          <w:color w:val="auto"/>
        </w:rPr>
      </w:pPr>
    </w:p>
    <w:p>
      <w:pPr>
        <w:ind w:left="640" w:hanging="632"/>
        <w:spacing w:after="0" w:line="286"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shares owned by a group of investments whose General Partner is VA Partners, L.L.C., including: (i) 8,549,089 shares of Class A Common Stock and 5,083,973 shares of Class B Common Stock owned by ValueAct Capital Master Fund, L.P.; and (ii) 120,511 shares of Class A Common Stock and 38,573 shares of Class B Common Stock owned by ValueAct Capital Partners Co-Investors, L.P.</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information as of December 31, 2004 regarding the number of shares of our Class A Common Stock that may be issued under our equity compensation plans.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tcPr>
          <w:p>
            <w:pPr>
              <w:jc w:val="right"/>
              <w:ind w:right="142"/>
              <w:spacing w:after="0"/>
              <w:rPr>
                <w:sz w:val="20"/>
                <w:szCs w:val="20"/>
                <w:color w:val="auto"/>
              </w:rPr>
            </w:pPr>
            <w:r>
              <w:rPr>
                <w:rFonts w:ascii="Arial" w:cs="Arial" w:eastAsia="Arial" w:hAnsi="Arial"/>
                <w:sz w:val="14"/>
                <w:szCs w:val="14"/>
                <w:color w:val="auto"/>
              </w:rPr>
              <w:t>Column C</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Number of Securities</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58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Column A</w:t>
            </w:r>
          </w:p>
        </w:tc>
        <w:tc>
          <w:tcPr>
            <w:tcW w:w="360" w:type="dxa"/>
            <w:vAlign w:val="bottom"/>
          </w:tcPr>
          <w:p>
            <w:pPr>
              <w:spacing w:after="0"/>
              <w:rPr>
                <w:sz w:val="12"/>
                <w:szCs w:val="12"/>
                <w:color w:val="auto"/>
              </w:rPr>
            </w:pPr>
          </w:p>
        </w:tc>
        <w:tc>
          <w:tcPr>
            <w:tcW w:w="104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Column B</w:t>
            </w:r>
          </w:p>
        </w:tc>
        <w:tc>
          <w:tcPr>
            <w:tcW w:w="166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Remaining Available</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580" w:type="dxa"/>
            <w:vAlign w:val="bottom"/>
          </w:tcPr>
          <w:p>
            <w:pPr>
              <w:jc w:val="right"/>
              <w:ind w:right="281"/>
              <w:spacing w:after="0" w:line="149" w:lineRule="exact"/>
              <w:rPr>
                <w:sz w:val="20"/>
                <w:szCs w:val="20"/>
                <w:color w:val="auto"/>
              </w:rPr>
            </w:pPr>
            <w:r>
              <w:rPr>
                <w:rFonts w:ascii="Arial" w:cs="Arial" w:eastAsia="Arial" w:hAnsi="Arial"/>
                <w:sz w:val="14"/>
                <w:szCs w:val="14"/>
                <w:color w:val="auto"/>
                <w:w w:val="91"/>
              </w:rPr>
              <w:t>Number of Securities</w:t>
            </w:r>
          </w:p>
        </w:tc>
        <w:tc>
          <w:tcPr>
            <w:tcW w:w="1400" w:type="dxa"/>
            <w:vAlign w:val="bottom"/>
            <w:gridSpan w:val="2"/>
          </w:tcPr>
          <w:p>
            <w:pPr>
              <w:jc w:val="right"/>
              <w:ind w:right="98"/>
              <w:spacing w:after="0" w:line="149" w:lineRule="exact"/>
              <w:rPr>
                <w:sz w:val="20"/>
                <w:szCs w:val="20"/>
                <w:color w:val="auto"/>
              </w:rPr>
            </w:pPr>
            <w:r>
              <w:rPr>
                <w:rFonts w:ascii="Arial" w:cs="Arial" w:eastAsia="Arial" w:hAnsi="Arial"/>
                <w:sz w:val="14"/>
                <w:szCs w:val="14"/>
                <w:color w:val="auto"/>
              </w:rPr>
              <w:t>Weighted-Average</w:t>
            </w:r>
          </w:p>
        </w:tc>
        <w:tc>
          <w:tcPr>
            <w:tcW w:w="166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for Future Issuance</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58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to be Issued Upon</w:t>
            </w:r>
          </w:p>
        </w:tc>
        <w:tc>
          <w:tcPr>
            <w:tcW w:w="1400" w:type="dxa"/>
            <w:vAlign w:val="bottom"/>
            <w:gridSpan w:val="2"/>
          </w:tcPr>
          <w:p>
            <w:pPr>
              <w:jc w:val="right"/>
              <w:ind w:right="118"/>
              <w:spacing w:after="0" w:line="149" w:lineRule="exact"/>
              <w:rPr>
                <w:sz w:val="20"/>
                <w:szCs w:val="20"/>
                <w:color w:val="auto"/>
              </w:rPr>
            </w:pPr>
            <w:r>
              <w:rPr>
                <w:rFonts w:ascii="Arial" w:cs="Arial" w:eastAsia="Arial" w:hAnsi="Arial"/>
                <w:sz w:val="14"/>
                <w:szCs w:val="14"/>
                <w:color w:val="auto"/>
              </w:rPr>
              <w:t>Exercise Price of</w:t>
            </w:r>
          </w:p>
        </w:tc>
        <w:tc>
          <w:tcPr>
            <w:tcW w:w="166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Under Equity</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58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Exercise of</w:t>
            </w:r>
          </w:p>
        </w:tc>
        <w:tc>
          <w:tcPr>
            <w:tcW w:w="360" w:type="dxa"/>
            <w:vAlign w:val="bottom"/>
          </w:tcPr>
          <w:p>
            <w:pPr>
              <w:spacing w:after="0"/>
              <w:rPr>
                <w:sz w:val="12"/>
                <w:szCs w:val="12"/>
                <w:color w:val="auto"/>
              </w:rPr>
            </w:pPr>
          </w:p>
        </w:tc>
        <w:tc>
          <w:tcPr>
            <w:tcW w:w="104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Outstanding</w:t>
            </w:r>
          </w:p>
        </w:tc>
        <w:tc>
          <w:tcPr>
            <w:tcW w:w="166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Compensation Plans</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580" w:type="dxa"/>
            <w:vAlign w:val="bottom"/>
          </w:tcPr>
          <w:p>
            <w:pPr>
              <w:jc w:val="right"/>
              <w:ind w:right="281"/>
              <w:spacing w:after="0" w:line="149" w:lineRule="exact"/>
              <w:rPr>
                <w:sz w:val="20"/>
                <w:szCs w:val="20"/>
                <w:color w:val="auto"/>
              </w:rPr>
            </w:pPr>
            <w:r>
              <w:rPr>
                <w:rFonts w:ascii="Arial" w:cs="Arial" w:eastAsia="Arial" w:hAnsi="Arial"/>
                <w:sz w:val="14"/>
                <w:szCs w:val="14"/>
                <w:color w:val="auto"/>
                <w:w w:val="91"/>
              </w:rPr>
              <w:t>Outstanding Options,</w:t>
            </w:r>
          </w:p>
        </w:tc>
        <w:tc>
          <w:tcPr>
            <w:tcW w:w="1400" w:type="dxa"/>
            <w:vAlign w:val="bottom"/>
            <w:gridSpan w:val="2"/>
          </w:tcPr>
          <w:p>
            <w:pPr>
              <w:jc w:val="right"/>
              <w:ind w:right="118"/>
              <w:spacing w:after="0" w:line="149" w:lineRule="exact"/>
              <w:rPr>
                <w:sz w:val="20"/>
                <w:szCs w:val="20"/>
                <w:color w:val="auto"/>
              </w:rPr>
            </w:pPr>
            <w:r>
              <w:rPr>
                <w:rFonts w:ascii="Arial" w:cs="Arial" w:eastAsia="Arial" w:hAnsi="Arial"/>
                <w:sz w:val="14"/>
                <w:szCs w:val="14"/>
                <w:color w:val="auto"/>
              </w:rPr>
              <w:t>Options, Warrants</w:t>
            </w:r>
          </w:p>
        </w:tc>
        <w:tc>
          <w:tcPr>
            <w:tcW w:w="1660" w:type="dxa"/>
            <w:vAlign w:val="bottom"/>
          </w:tcPr>
          <w:p>
            <w:pPr>
              <w:jc w:val="right"/>
              <w:ind w:right="142"/>
              <w:spacing w:after="0" w:line="149" w:lineRule="exact"/>
              <w:rPr>
                <w:sz w:val="20"/>
                <w:szCs w:val="20"/>
                <w:color w:val="auto"/>
              </w:rPr>
            </w:pPr>
            <w:r>
              <w:rPr>
                <w:rFonts w:ascii="Arial" w:cs="Arial" w:eastAsia="Arial" w:hAnsi="Arial"/>
                <w:sz w:val="14"/>
                <w:szCs w:val="14"/>
                <w:color w:val="auto"/>
              </w:rPr>
              <w:t>(Excluding Securities</w:t>
            </w:r>
          </w:p>
        </w:tc>
      </w:tr>
      <w:tr>
        <w:trPr>
          <w:trHeight w:val="174"/>
        </w:trPr>
        <w:tc>
          <w:tcPr>
            <w:tcW w:w="678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1580" w:type="dxa"/>
            <w:vAlign w:val="bottom"/>
          </w:tcPr>
          <w:p>
            <w:pPr>
              <w:jc w:val="right"/>
              <w:ind w:right="281"/>
              <w:spacing w:after="0"/>
              <w:rPr>
                <w:sz w:val="20"/>
                <w:szCs w:val="20"/>
                <w:color w:val="auto"/>
              </w:rPr>
            </w:pPr>
            <w:r>
              <w:rPr>
                <w:rFonts w:ascii="Arial" w:cs="Arial" w:eastAsia="Arial" w:hAnsi="Arial"/>
                <w:sz w:val="14"/>
                <w:szCs w:val="14"/>
                <w:color w:val="auto"/>
                <w:w w:val="94"/>
              </w:rPr>
              <w:t>Warrants and Rights</w:t>
            </w:r>
          </w:p>
        </w:tc>
        <w:tc>
          <w:tcPr>
            <w:tcW w:w="360" w:type="dxa"/>
            <w:vAlign w:val="bottom"/>
          </w:tcPr>
          <w:p>
            <w:pPr>
              <w:spacing w:after="0"/>
              <w:rPr>
                <w:sz w:val="15"/>
                <w:szCs w:val="15"/>
                <w:color w:val="auto"/>
              </w:rPr>
            </w:pPr>
          </w:p>
        </w:tc>
        <w:tc>
          <w:tcPr>
            <w:tcW w:w="1040" w:type="dxa"/>
            <w:vAlign w:val="bottom"/>
          </w:tcPr>
          <w:p>
            <w:pPr>
              <w:jc w:val="right"/>
              <w:ind w:right="118"/>
              <w:spacing w:after="0"/>
              <w:rPr>
                <w:sz w:val="20"/>
                <w:szCs w:val="20"/>
                <w:color w:val="auto"/>
              </w:rPr>
            </w:pPr>
            <w:r>
              <w:rPr>
                <w:rFonts w:ascii="Arial" w:cs="Arial" w:eastAsia="Arial" w:hAnsi="Arial"/>
                <w:sz w:val="14"/>
                <w:szCs w:val="14"/>
                <w:color w:val="auto"/>
              </w:rPr>
              <w:t>and Rights</w:t>
            </w:r>
          </w:p>
        </w:tc>
        <w:tc>
          <w:tcPr>
            <w:tcW w:w="1660" w:type="dxa"/>
            <w:vAlign w:val="bottom"/>
          </w:tcPr>
          <w:p>
            <w:pPr>
              <w:jc w:val="right"/>
              <w:ind w:right="142"/>
              <w:spacing w:after="0"/>
              <w:rPr>
                <w:sz w:val="20"/>
                <w:szCs w:val="20"/>
                <w:color w:val="auto"/>
              </w:rPr>
            </w:pPr>
            <w:r>
              <w:rPr>
                <w:rFonts w:ascii="Arial" w:cs="Arial" w:eastAsia="Arial" w:hAnsi="Arial"/>
                <w:sz w:val="14"/>
                <w:szCs w:val="14"/>
                <w:color w:val="auto"/>
              </w:rPr>
              <w:t>in Column A)</w:t>
            </w:r>
          </w:p>
        </w:tc>
      </w:tr>
      <w:tr>
        <w:trPr>
          <w:trHeight w:val="216"/>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Stock option plans</w:t>
            </w:r>
          </w:p>
        </w:tc>
        <w:tc>
          <w:tcPr>
            <w:tcW w:w="1580" w:type="dxa"/>
            <w:vAlign w:val="bottom"/>
          </w:tcPr>
          <w:p>
            <w:pPr>
              <w:jc w:val="right"/>
              <w:ind w:right="61"/>
              <w:spacing w:after="0"/>
              <w:rPr>
                <w:sz w:val="20"/>
                <w:szCs w:val="20"/>
                <w:color w:val="auto"/>
              </w:rPr>
            </w:pPr>
            <w:r>
              <w:rPr>
                <w:rFonts w:ascii="Arial" w:cs="Arial" w:eastAsia="Arial" w:hAnsi="Arial"/>
                <w:sz w:val="18"/>
                <w:szCs w:val="18"/>
                <w:color w:val="auto"/>
              </w:rPr>
              <w:t>14,469,349(1)</w:t>
            </w:r>
          </w:p>
        </w:tc>
        <w:tc>
          <w:tcPr>
            <w:tcW w:w="3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8"/>
              <w:spacing w:after="0"/>
              <w:rPr>
                <w:sz w:val="20"/>
                <w:szCs w:val="20"/>
                <w:color w:val="auto"/>
              </w:rPr>
            </w:pPr>
            <w:r>
              <w:rPr>
                <w:rFonts w:ascii="Arial" w:cs="Arial" w:eastAsia="Arial" w:hAnsi="Arial"/>
                <w:sz w:val="18"/>
                <w:szCs w:val="18"/>
                <w:color w:val="auto"/>
              </w:rPr>
              <w:t>14.81</w:t>
            </w:r>
          </w:p>
        </w:tc>
        <w:tc>
          <w:tcPr>
            <w:tcW w:w="1660" w:type="dxa"/>
            <w:vAlign w:val="bottom"/>
          </w:tcPr>
          <w:p>
            <w:pPr>
              <w:jc w:val="right"/>
              <w:spacing w:after="0"/>
              <w:rPr>
                <w:sz w:val="20"/>
                <w:szCs w:val="20"/>
                <w:color w:val="auto"/>
              </w:rPr>
            </w:pPr>
            <w:r>
              <w:rPr>
                <w:rFonts w:ascii="Arial" w:cs="Arial" w:eastAsia="Arial" w:hAnsi="Arial"/>
                <w:sz w:val="18"/>
                <w:szCs w:val="18"/>
                <w:color w:val="auto"/>
              </w:rPr>
              <w:t>3,436,249(2)</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2002 Employee Stock Purchase Plan</w:t>
            </w:r>
          </w:p>
        </w:tc>
        <w:tc>
          <w:tcPr>
            <w:tcW w:w="158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N/A</w:t>
            </w:r>
          </w:p>
        </w:tc>
        <w:tc>
          <w:tcPr>
            <w:tcW w:w="16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2,733,414</w:t>
            </w: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58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10,670,284(3)</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10.36</w:t>
            </w:r>
          </w:p>
        </w:tc>
        <w:tc>
          <w:tcPr>
            <w:tcW w:w="166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8"/>
                <w:szCs w:val="18"/>
                <w:color w:val="auto"/>
              </w:rPr>
              <w:t>25,139,633</w:t>
            </w:r>
          </w:p>
        </w:tc>
        <w:tc>
          <w:tcPr>
            <w:tcW w:w="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12.92</w:t>
            </w:r>
          </w:p>
        </w:tc>
        <w:tc>
          <w:tcPr>
            <w:tcW w:w="16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6,169,663</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40" w:right="220" w:hanging="532"/>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the 1991 Stock Option Plan, the 1993 Directors Stock Option Plan, the 1994 Long-Term Option Plan, the 1996 Long-Term Option Plan, the 1998 Long Term Stock Option Plan and the 2003 Long Term Incentive Plan.</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the 2003 Long-Term Incentive Plan.</w:t>
      </w:r>
    </w:p>
    <w:p>
      <w:pPr>
        <w:spacing w:after="0" w:line="225" w:lineRule="exact"/>
        <w:rPr>
          <w:rFonts w:ascii="Arial" w:cs="Arial" w:eastAsia="Arial" w:hAnsi="Arial"/>
          <w:sz w:val="18"/>
          <w:szCs w:val="18"/>
          <w:color w:val="auto"/>
        </w:rPr>
      </w:pPr>
    </w:p>
    <w:p>
      <w:pPr>
        <w:ind w:left="540" w:right="160" w:hanging="532"/>
        <w:spacing w:after="0" w:line="25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the 1999 Stock Option Plan. In November 1999, we adopted the 1999 Stock Option Plan. Under the terms of the plan, our Board of Directors could grant non-qualified and incentive stock options and other awards to eligible employees and consultants. Gartner’s directors and most highly compensated executive officers were not eligible for awards under the plan. Substantially all of the options currently granted under the plan vest and become fully exercisable each year for three years in equal installments following the date of grant, based on continued employment, and have a term of ten years from the date of grant assuming continued employment.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SILVER LAKE PARTNERS, L.P.</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April 17, 2000, we issued and sold an aggregate of $300 million principal amount of our unsecured 6% Convertible Junior Subordinated Promissory Notes due April 17, 2005 to Silver Lake Partners, L.P. (“Silver Lake”) and certain of Silver Lake’s affiliates and to Integral Capital Partners IV, L.P. and one of its affiliates. In October 2003, these notes were converted into 49,441,122 shares of our Class A Common Stock. The determination of the number of shares issued upon the conversion was based upon a $7.45 conversion price and a convertible note of $368.3 million, consisting of the original face amount of $300 million plus accrued interest of $68.3 million. In connection with the issuance of the notes, we agreed, among other things, that Silver Lake would recommend two nominees for director and we would include two Silver Lake nominees on our slate of nominees to be elected to our Board. This obligation exists while Silver Lake owns Class A Common Stock representing at least 20 percent of the amount of Class A Common Stock into which the notes were converted.</w:t>
      </w:r>
    </w:p>
    <w:p>
      <w:pPr>
        <w:spacing w:after="0" w:line="1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Silver Lake purchased $112,200 in research and consulting services from us during 2004 and has contracted to purchase subscription research services from us in 2005 in the amount of $113,700.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WITH OTHER THIRD PARTIES</w:t>
      </w:r>
    </w:p>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Several of our other directors are employed by companies that purchase our research and consulting services in the ordinary course of their business. The following table shows the amount of research and consulting services purchased by each company during 2004 and the amount for which each company has signed commitments to date for 2005:</w:t>
      </w: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98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 of Company</w:t>
            </w:r>
          </w:p>
        </w:tc>
        <w:tc>
          <w:tcPr>
            <w:tcW w:w="5400" w:type="dxa"/>
            <w:vAlign w:val="bottom"/>
            <w:tcBorders>
              <w:top w:val="single" w:sz="8" w:color="auto"/>
              <w:bottom w:val="single" w:sz="8" w:color="auto"/>
              <w:right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right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right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2005</w:t>
            </w:r>
          </w:p>
        </w:tc>
      </w:tr>
      <w:tr>
        <w:trPr>
          <w:trHeight w:val="210"/>
        </w:trPr>
        <w:tc>
          <w:tcPr>
            <w:tcW w:w="39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Bain Capital, Inc.</w:t>
            </w:r>
          </w:p>
        </w:tc>
        <w:tc>
          <w:tcPr>
            <w:tcW w:w="540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89"/>
              </w:rPr>
              <w:t>107,635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91,550</w:t>
            </w:r>
          </w:p>
        </w:tc>
      </w:tr>
      <w:tr>
        <w:trPr>
          <w:trHeight w:val="210"/>
        </w:trPr>
        <w:tc>
          <w:tcPr>
            <w:tcW w:w="39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Behrman Capital</w:t>
            </w:r>
          </w:p>
        </w:tc>
        <w:tc>
          <w:tcPr>
            <w:tcW w:w="54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5,860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0</w:t>
            </w:r>
          </w:p>
        </w:tc>
      </w:tr>
      <w:tr>
        <w:trPr>
          <w:trHeight w:val="210"/>
        </w:trPr>
        <w:tc>
          <w:tcPr>
            <w:tcW w:w="39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Ebay, Inc.</w:t>
            </w:r>
          </w:p>
        </w:tc>
        <w:tc>
          <w:tcPr>
            <w:tcW w:w="540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89"/>
              </w:rPr>
              <w:t>164,000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37,250</w:t>
            </w:r>
          </w:p>
        </w:tc>
      </w:tr>
      <w:tr>
        <w:trPr>
          <w:trHeight w:val="210"/>
        </w:trPr>
        <w:tc>
          <w:tcPr>
            <w:tcW w:w="39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General Atlantic Partners, L.P.</w:t>
            </w:r>
          </w:p>
        </w:tc>
        <w:tc>
          <w:tcPr>
            <w:tcW w:w="54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w w:val="89"/>
              </w:rPr>
              <w:t>407,500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w w:val="89"/>
              </w:rPr>
              <w:t>205,000</w:t>
            </w:r>
          </w:p>
        </w:tc>
      </w:tr>
      <w:tr>
        <w:trPr>
          <w:trHeight w:val="210"/>
        </w:trPr>
        <w:tc>
          <w:tcPr>
            <w:tcW w:w="39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Value Act Capital</w:t>
            </w:r>
          </w:p>
        </w:tc>
        <w:tc>
          <w:tcPr>
            <w:tcW w:w="540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89"/>
              </w:rPr>
              <w:t>113,265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16,734</w:t>
            </w:r>
          </w:p>
        </w:tc>
      </w:tr>
      <w:tr>
        <w:trPr>
          <w:trHeight w:val="399"/>
        </w:trPr>
        <w:tc>
          <w:tcPr>
            <w:tcW w:w="3980" w:type="dxa"/>
            <w:vAlign w:val="bottom"/>
          </w:tcPr>
          <w:p>
            <w:pPr>
              <w:spacing w:after="0"/>
              <w:rPr>
                <w:sz w:val="24"/>
                <w:szCs w:val="24"/>
                <w:color w:val="auto"/>
              </w:rPr>
            </w:pPr>
          </w:p>
        </w:tc>
        <w:tc>
          <w:tcPr>
            <w:tcW w:w="5400" w:type="dxa"/>
            <w:vAlign w:val="bottom"/>
          </w:tcPr>
          <w:p>
            <w:pPr>
              <w:jc w:val="right"/>
              <w:ind w:right="349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6"/>
        </w:trPr>
        <w:tc>
          <w:tcPr>
            <w:tcW w:w="398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KPMG LLP has audited our financial statements since September 1996. During 2004, KPMG performed recurring audit services, including the examination of our annual financial statements, limited reviews of quarterly financial information and certain statutory audits. KPMG also performed services for us in other business areas. The following table sets forth the fees billed for these professional services during 2004 and 2003.</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91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1160" w:type="dxa"/>
            <w:vAlign w:val="bottom"/>
            <w:tcBorders>
              <w:top w:val="single" w:sz="8" w:color="auto"/>
              <w:bottom w:val="single" w:sz="8" w:color="auto"/>
              <w:right w:val="single" w:sz="8" w:color="auto"/>
            </w:tcBorders>
          </w:tcPr>
          <w:p>
            <w:pPr>
              <w:jc w:val="right"/>
              <w:ind w:right="413"/>
              <w:spacing w:after="0"/>
              <w:rPr>
                <w:sz w:val="20"/>
                <w:szCs w:val="20"/>
                <w:color w:val="auto"/>
              </w:rPr>
            </w:pPr>
            <w:r>
              <w:rPr>
                <w:rFonts w:ascii="Arial" w:cs="Arial" w:eastAsia="Arial" w:hAnsi="Arial"/>
                <w:sz w:val="14"/>
                <w:szCs w:val="14"/>
                <w:color w:val="auto"/>
              </w:rPr>
              <w:t>2004</w:t>
            </w: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right w:val="single" w:sz="8" w:color="auto"/>
            </w:tcBorders>
          </w:tcPr>
          <w:p>
            <w:pPr>
              <w:jc w:val="right"/>
              <w:ind w:right="413"/>
              <w:spacing w:after="0"/>
              <w:rPr>
                <w:sz w:val="20"/>
                <w:szCs w:val="20"/>
                <w:color w:val="auto"/>
              </w:rPr>
            </w:pPr>
            <w:r>
              <w:rPr>
                <w:rFonts w:ascii="Arial" w:cs="Arial" w:eastAsia="Arial" w:hAnsi="Arial"/>
                <w:sz w:val="14"/>
                <w:szCs w:val="14"/>
                <w:color w:val="auto"/>
              </w:rPr>
              <w:t>2003</w:t>
            </w:r>
          </w:p>
        </w:tc>
      </w:tr>
      <w:tr>
        <w:trPr>
          <w:trHeight w:val="210"/>
        </w:trPr>
        <w:tc>
          <w:tcPr>
            <w:tcW w:w="91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Audit Fees (1):</w:t>
            </w:r>
          </w:p>
        </w:tc>
        <w:tc>
          <w:tcPr>
            <w:tcW w:w="116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6"/>
              </w:rPr>
              <w:t>$ 1,823,584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806,145</w:t>
            </w:r>
          </w:p>
        </w:tc>
      </w:tr>
      <w:tr>
        <w:trPr>
          <w:trHeight w:val="210"/>
        </w:trPr>
        <w:tc>
          <w:tcPr>
            <w:tcW w:w="9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Audit-Related Fees (2):</w:t>
            </w:r>
          </w:p>
        </w:tc>
        <w:tc>
          <w:tcPr>
            <w:tcW w:w="116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45,045</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48,000</w:t>
            </w:r>
          </w:p>
        </w:tc>
      </w:tr>
      <w:tr>
        <w:trPr>
          <w:trHeight w:val="210"/>
        </w:trPr>
        <w:tc>
          <w:tcPr>
            <w:tcW w:w="91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Tax Fees (3):</w:t>
            </w:r>
          </w:p>
        </w:tc>
        <w:tc>
          <w:tcPr>
            <w:tcW w:w="116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700,044</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533,828</w:t>
            </w:r>
          </w:p>
        </w:tc>
      </w:tr>
      <w:tr>
        <w:trPr>
          <w:trHeight w:val="210"/>
        </w:trPr>
        <w:tc>
          <w:tcPr>
            <w:tcW w:w="9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All Other Fees:</w:t>
            </w:r>
          </w:p>
        </w:tc>
        <w:tc>
          <w:tcPr>
            <w:tcW w:w="116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10"/>
        </w:trPr>
        <w:tc>
          <w:tcPr>
            <w:tcW w:w="91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6"/>
              </w:rPr>
              <w:t>$ 2,568,673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87"/>
              </w:rPr>
              <w:t>1,387,973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240" w:right="320" w:hanging="232"/>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 fees consisted of audit work performed on consolidated financial statements, as well as work normally performed by the independent auditors in connection with statutory and regulatory filings.</w:t>
      </w:r>
    </w:p>
    <w:p>
      <w:pPr>
        <w:spacing w:after="0" w:line="170" w:lineRule="exact"/>
        <w:rPr>
          <w:rFonts w:ascii="Arial" w:cs="Arial" w:eastAsia="Arial" w:hAnsi="Arial"/>
          <w:sz w:val="18"/>
          <w:szCs w:val="18"/>
          <w:color w:val="auto"/>
        </w:rPr>
      </w:pPr>
    </w:p>
    <w:p>
      <w:pPr>
        <w:ind w:left="240" w:right="720" w:hanging="232"/>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Audit-related fees consisted primarily of audits of our employee benefit plan, as well as an audit of a foreign subsidiary not required by statute or regulation.</w:t>
      </w:r>
    </w:p>
    <w:p>
      <w:pPr>
        <w:spacing w:after="0" w:line="12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fees are fees associated with tax compliance in foreign locations, tax advice, and tax planning.</w:t>
      </w:r>
    </w:p>
    <w:p>
      <w:pPr>
        <w:spacing w:after="0" w:line="198"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Audit Committee’s policy is to pre-approve all audit and permissible non-audit services provided by the independent auditors. These services may include audit services, audit-related services, tax services and other services. Pre-approval is generally provided for up to one year and any pre-approval is detailed as to the particular service or category of services and is generally subject to a specific budget. The independent auditors and management are required to periodically report to the Audit Committee regarding the extent of services provided by the independent auditors in accordance with this pre-approval, and the fees for the services performed to date. The Audit Committee may also pre-approve particular services on a case-by-case basis. All of the services relating to the fees set forth on the above table were pre-approved by the Audit Committee.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1. and 2. Consolidated Financial Statements and Schedules</w:t>
      </w:r>
    </w:p>
    <w:p>
      <w:pPr>
        <w:spacing w:after="0" w:line="18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reports of our independent registered public accounting firm and consolidated financial statements listed in the Index to Consolidated Financial Statements on page 39 hereof are filed as part of this report.</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financial statement schedules not listed in the Index have been omitted because the information required is not applicable or is shown in the consolidated financial statements or notes thereto.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100" w:type="dxa"/>
            <w:vAlign w:val="bottom"/>
            <w:vMerge w:val="restart"/>
          </w:tcPr>
          <w:p>
            <w:pPr>
              <w:ind w:left="43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2.1(16)</w:t>
            </w:r>
          </w:p>
        </w:tc>
        <w:tc>
          <w:tcPr>
            <w:tcW w:w="10100" w:type="dxa"/>
            <w:vAlign w:val="bottom"/>
          </w:tcPr>
          <w:p>
            <w:pPr>
              <w:ind w:left="620"/>
              <w:spacing w:after="0"/>
              <w:rPr>
                <w:sz w:val="20"/>
                <w:szCs w:val="20"/>
                <w:color w:val="auto"/>
              </w:rPr>
            </w:pPr>
            <w:r>
              <w:rPr>
                <w:rFonts w:ascii="Arial" w:cs="Arial" w:eastAsia="Arial" w:hAnsi="Arial"/>
                <w:sz w:val="18"/>
                <w:szCs w:val="18"/>
                <w:color w:val="auto"/>
                <w:w w:val="95"/>
              </w:rPr>
              <w:t>Agreement and Plan of Merger, dated as of December 26, 2004, by and among the Company, Green Falcon, Inc. and META</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rPr>
              <w:t>Group, Inc.</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3.1a(5)</w:t>
            </w:r>
          </w:p>
        </w:tc>
        <w:tc>
          <w:tcPr>
            <w:tcW w:w="10100" w:type="dxa"/>
            <w:vAlign w:val="bottom"/>
          </w:tcPr>
          <w:p>
            <w:pPr>
              <w:ind w:left="620"/>
              <w:spacing w:after="0"/>
              <w:rPr>
                <w:sz w:val="20"/>
                <w:szCs w:val="20"/>
                <w:color w:val="auto"/>
              </w:rPr>
            </w:pPr>
            <w:r>
              <w:rPr>
                <w:rFonts w:ascii="Arial" w:cs="Arial" w:eastAsia="Arial" w:hAnsi="Arial"/>
                <w:sz w:val="18"/>
                <w:szCs w:val="18"/>
                <w:color w:val="auto"/>
              </w:rPr>
              <w:t>Amended and Restated Certificate of Incorporation-July 16, 1999.</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3.1b(6)</w:t>
            </w:r>
          </w:p>
        </w:tc>
        <w:tc>
          <w:tcPr>
            <w:tcW w:w="10100" w:type="dxa"/>
            <w:vAlign w:val="bottom"/>
          </w:tcPr>
          <w:p>
            <w:pPr>
              <w:ind w:left="620"/>
              <w:spacing w:after="0"/>
              <w:rPr>
                <w:sz w:val="20"/>
                <w:szCs w:val="20"/>
                <w:color w:val="auto"/>
              </w:rPr>
            </w:pPr>
            <w:r>
              <w:rPr>
                <w:rFonts w:ascii="Arial" w:cs="Arial" w:eastAsia="Arial" w:hAnsi="Arial"/>
                <w:sz w:val="18"/>
                <w:szCs w:val="18"/>
                <w:color w:val="auto"/>
              </w:rPr>
              <w:t>Certificate of Amendment of the Restated Certificate of Incorporation-February 1, 2001.</w:t>
            </w: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3.1c(4)</w:t>
            </w:r>
          </w:p>
        </w:tc>
        <w:tc>
          <w:tcPr>
            <w:tcW w:w="10100" w:type="dxa"/>
            <w:vAlign w:val="bottom"/>
          </w:tcPr>
          <w:p>
            <w:pPr>
              <w:ind w:left="620"/>
              <w:spacing w:after="0"/>
              <w:rPr>
                <w:sz w:val="20"/>
                <w:szCs w:val="20"/>
                <w:color w:val="auto"/>
              </w:rPr>
            </w:pPr>
            <w:r>
              <w:rPr>
                <w:rFonts w:ascii="Arial" w:cs="Arial" w:eastAsia="Arial" w:hAnsi="Arial"/>
                <w:sz w:val="18"/>
                <w:szCs w:val="18"/>
                <w:color w:val="auto"/>
              </w:rPr>
              <w:t>Certificate of Designation, Preferences and Rights of Series A Junior Participating Preferred Stock and Series B Junior</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rPr>
              <w:t>Participating Preferred Stock of the Company-March 1, 2000.</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3.2(5)</w:t>
            </w:r>
          </w:p>
        </w:tc>
        <w:tc>
          <w:tcPr>
            <w:tcW w:w="10100" w:type="dxa"/>
            <w:vAlign w:val="bottom"/>
          </w:tcPr>
          <w:p>
            <w:pPr>
              <w:ind w:left="620"/>
              <w:spacing w:after="0"/>
              <w:rPr>
                <w:sz w:val="20"/>
                <w:szCs w:val="20"/>
                <w:color w:val="auto"/>
              </w:rPr>
            </w:pPr>
            <w:r>
              <w:rPr>
                <w:rFonts w:ascii="Arial" w:cs="Arial" w:eastAsia="Arial" w:hAnsi="Arial"/>
                <w:sz w:val="18"/>
                <w:szCs w:val="18"/>
                <w:color w:val="auto"/>
              </w:rPr>
              <w:t>Amended Bylaws, as amended through February 3, 2004.</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4.1(6)</w:t>
            </w:r>
          </w:p>
        </w:tc>
        <w:tc>
          <w:tcPr>
            <w:tcW w:w="10100" w:type="dxa"/>
            <w:vAlign w:val="bottom"/>
          </w:tcPr>
          <w:p>
            <w:pPr>
              <w:ind w:left="620"/>
              <w:spacing w:after="0"/>
              <w:rPr>
                <w:sz w:val="20"/>
                <w:szCs w:val="20"/>
                <w:color w:val="auto"/>
              </w:rPr>
            </w:pPr>
            <w:r>
              <w:rPr>
                <w:rFonts w:ascii="Arial" w:cs="Arial" w:eastAsia="Arial" w:hAnsi="Arial"/>
                <w:sz w:val="18"/>
                <w:szCs w:val="18"/>
                <w:color w:val="auto"/>
              </w:rPr>
              <w:t>Form of Certificate for Common Stock, Class A-as of February 2001.</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4.2(6)</w:t>
            </w:r>
          </w:p>
        </w:tc>
        <w:tc>
          <w:tcPr>
            <w:tcW w:w="10100" w:type="dxa"/>
            <w:vAlign w:val="bottom"/>
          </w:tcPr>
          <w:p>
            <w:pPr>
              <w:ind w:left="620"/>
              <w:spacing w:after="0"/>
              <w:rPr>
                <w:sz w:val="20"/>
                <w:szCs w:val="20"/>
                <w:color w:val="auto"/>
              </w:rPr>
            </w:pPr>
            <w:r>
              <w:rPr>
                <w:rFonts w:ascii="Arial" w:cs="Arial" w:eastAsia="Arial" w:hAnsi="Arial"/>
                <w:sz w:val="18"/>
                <w:szCs w:val="18"/>
                <w:color w:val="auto"/>
              </w:rPr>
              <w:t>Form of Certificate for Common Stock, Class B-as of February 2001.</w:t>
            </w: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4.3(8)</w:t>
            </w:r>
          </w:p>
        </w:tc>
        <w:tc>
          <w:tcPr>
            <w:tcW w:w="10100" w:type="dxa"/>
            <w:vAlign w:val="bottom"/>
          </w:tcPr>
          <w:p>
            <w:pPr>
              <w:ind w:left="620"/>
              <w:spacing w:after="0"/>
              <w:rPr>
                <w:sz w:val="20"/>
                <w:szCs w:val="20"/>
                <w:color w:val="auto"/>
              </w:rPr>
            </w:pPr>
            <w:r>
              <w:rPr>
                <w:rFonts w:ascii="Arial" w:cs="Arial" w:eastAsia="Arial" w:hAnsi="Arial"/>
                <w:sz w:val="18"/>
                <w:szCs w:val="18"/>
                <w:color w:val="auto"/>
                <w:w w:val="91"/>
              </w:rPr>
              <w:t>Amended and Restated Rights Agreement, dated as of August 31, 2002, between the Company and Mellon Investor Services LLC</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rPr>
              <w:t>(as successor Rights Agent of Fleet National Bank).</w:t>
            </w: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4.4(12)</w:t>
            </w:r>
          </w:p>
        </w:tc>
        <w:tc>
          <w:tcPr>
            <w:tcW w:w="10100" w:type="dxa"/>
            <w:vAlign w:val="bottom"/>
          </w:tcPr>
          <w:p>
            <w:pPr>
              <w:ind w:left="620"/>
              <w:spacing w:after="0"/>
              <w:rPr>
                <w:sz w:val="20"/>
                <w:szCs w:val="20"/>
                <w:color w:val="auto"/>
              </w:rPr>
            </w:pPr>
            <w:r>
              <w:rPr>
                <w:rFonts w:ascii="Arial" w:cs="Arial" w:eastAsia="Arial" w:hAnsi="Arial"/>
                <w:sz w:val="18"/>
                <w:szCs w:val="18"/>
                <w:color w:val="auto"/>
                <w:w w:val="90"/>
              </w:rPr>
              <w:t>Amendment No. 1 to the Amended and Restated Rights Agreement, dated as of August 31, 2002, by and between Gartner, Inc. and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w w:val="91"/>
              </w:rPr>
              <w:t>Mellon Investor Services LLC (as successor Rights Agent of Fleet National Bank), dated June 30, 2003, by and between Gartner,</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rPr>
              <w:t>Inc. and Mellon Investor Services LLC.</w:t>
            </w: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4.5 (14)</w:t>
            </w:r>
          </w:p>
        </w:tc>
        <w:tc>
          <w:tcPr>
            <w:tcW w:w="10100" w:type="dxa"/>
            <w:vAlign w:val="bottom"/>
          </w:tcPr>
          <w:p>
            <w:pPr>
              <w:ind w:left="620"/>
              <w:spacing w:after="0"/>
              <w:rPr>
                <w:sz w:val="20"/>
                <w:szCs w:val="20"/>
                <w:color w:val="auto"/>
              </w:rPr>
            </w:pPr>
            <w:r>
              <w:rPr>
                <w:rFonts w:ascii="Arial" w:cs="Arial" w:eastAsia="Arial" w:hAnsi="Arial"/>
                <w:sz w:val="18"/>
                <w:szCs w:val="18"/>
                <w:color w:val="auto"/>
                <w:w w:val="92"/>
              </w:rPr>
              <w:t>Credit Agreement, dated as of August 12, 2004, among the Company, the several lenders from time to time parties thereto, Fleet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w w:val="94"/>
              </w:rPr>
              <w:t>National Bank, N.A., Citizens Bank of Massachusetts, Comercia Bank and HSBC Bank USE, N.A., as Co-Syndication Agents,</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w w:val="96"/>
              </w:rPr>
              <w:t>LaSalle Bank National Association, as Agent, and JPMorgan Chase Bank, as Administrative Agent (the “Credit Agreement”)</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4.6(17)</w:t>
            </w:r>
          </w:p>
        </w:tc>
        <w:tc>
          <w:tcPr>
            <w:tcW w:w="10100" w:type="dxa"/>
            <w:vAlign w:val="bottom"/>
          </w:tcPr>
          <w:p>
            <w:pPr>
              <w:ind w:left="620"/>
              <w:spacing w:after="0"/>
              <w:rPr>
                <w:sz w:val="20"/>
                <w:szCs w:val="20"/>
                <w:color w:val="auto"/>
              </w:rPr>
            </w:pPr>
            <w:r>
              <w:rPr>
                <w:rFonts w:ascii="Arial" w:cs="Arial" w:eastAsia="Arial" w:hAnsi="Arial"/>
                <w:sz w:val="18"/>
                <w:szCs w:val="18"/>
                <w:color w:val="auto"/>
              </w:rPr>
              <w:t>First Amendment, dated as of March 3, 2005, to the Credit Agreement.</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10.1(1)</w:t>
            </w:r>
          </w:p>
        </w:tc>
        <w:tc>
          <w:tcPr>
            <w:tcW w:w="10100" w:type="dxa"/>
            <w:vAlign w:val="bottom"/>
          </w:tcPr>
          <w:p>
            <w:pPr>
              <w:ind w:left="620"/>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10.2(8)</w:t>
            </w:r>
          </w:p>
        </w:tc>
        <w:tc>
          <w:tcPr>
            <w:tcW w:w="10100" w:type="dxa"/>
            <w:vAlign w:val="bottom"/>
          </w:tcPr>
          <w:p>
            <w:pPr>
              <w:ind w:left="620"/>
              <w:spacing w:after="0"/>
              <w:rPr>
                <w:sz w:val="20"/>
                <w:szCs w:val="20"/>
                <w:color w:val="auto"/>
              </w:rPr>
            </w:pPr>
            <w:r>
              <w:rPr>
                <w:rFonts w:ascii="Arial" w:cs="Arial" w:eastAsia="Arial" w:hAnsi="Arial"/>
                <w:sz w:val="18"/>
                <w:szCs w:val="18"/>
                <w:color w:val="auto"/>
                <w:w w:val="91"/>
              </w:rPr>
              <w:t>Amended and Restated Securityholders Agreement dated as of July 12, 2002 among the Company, Silver Lake Partners, L.P. and</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rPr>
              <w:t>other parties thereto.</w:t>
            </w: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10.3(2)</w:t>
            </w:r>
          </w:p>
        </w:tc>
        <w:tc>
          <w:tcPr>
            <w:tcW w:w="10100" w:type="dxa"/>
            <w:vAlign w:val="bottom"/>
          </w:tcPr>
          <w:p>
            <w:pPr>
              <w:ind w:left="620"/>
              <w:spacing w:after="0"/>
              <w:rPr>
                <w:sz w:val="20"/>
                <w:szCs w:val="20"/>
                <w:color w:val="auto"/>
              </w:rPr>
            </w:pPr>
            <w:r>
              <w:rPr>
                <w:rFonts w:ascii="Arial" w:cs="Arial" w:eastAsia="Arial" w:hAnsi="Arial"/>
                <w:sz w:val="18"/>
                <w:szCs w:val="18"/>
                <w:color w:val="auto"/>
                <w:w w:val="90"/>
              </w:rPr>
              <w:t>Lease dated December 29, 1994 between Soundview Farms and the Company for premises at 56 Top Gallant Road, 70 Gatehouse</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rPr>
              <w:t>Road, and 88 Gatehouse Road, Stamford, Connecticut.</w:t>
            </w: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10.4(3)</w:t>
            </w:r>
          </w:p>
        </w:tc>
        <w:tc>
          <w:tcPr>
            <w:tcW w:w="10100" w:type="dxa"/>
            <w:vAlign w:val="bottom"/>
          </w:tcPr>
          <w:p>
            <w:pPr>
              <w:ind w:left="620"/>
              <w:spacing w:after="0"/>
              <w:rPr>
                <w:sz w:val="20"/>
                <w:szCs w:val="20"/>
                <w:color w:val="auto"/>
              </w:rPr>
            </w:pPr>
            <w:r>
              <w:rPr>
                <w:rFonts w:ascii="Arial" w:cs="Arial" w:eastAsia="Arial" w:hAnsi="Arial"/>
                <w:sz w:val="18"/>
                <w:szCs w:val="18"/>
                <w:color w:val="auto"/>
                <w:w w:val="89"/>
              </w:rPr>
              <w:t>Lease dated May 16, 1997 between Soundview Farms and the Company for premises at 56 Top Gallant Road, 70 Gatehouse Road,</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100" w:type="dxa"/>
            <w:vAlign w:val="bottom"/>
          </w:tcPr>
          <w:p>
            <w:pPr>
              <w:ind w:left="620"/>
              <w:spacing w:after="0"/>
              <w:rPr>
                <w:sz w:val="20"/>
                <w:szCs w:val="20"/>
                <w:color w:val="auto"/>
              </w:rPr>
            </w:pPr>
            <w:r>
              <w:rPr>
                <w:rFonts w:ascii="Arial" w:cs="Arial" w:eastAsia="Arial" w:hAnsi="Arial"/>
                <w:sz w:val="18"/>
                <w:szCs w:val="18"/>
                <w:color w:val="auto"/>
                <w:w w:val="89"/>
              </w:rPr>
              <w:t>88 Gatehouse Road and 10 Signal Road, Stamford, Connecticut (amendment to lease dated December 29, 1994, see exhibit 10.3a).</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10.5(2)+</w:t>
            </w:r>
          </w:p>
        </w:tc>
        <w:tc>
          <w:tcPr>
            <w:tcW w:w="10100" w:type="dxa"/>
            <w:vAlign w:val="bottom"/>
          </w:tcPr>
          <w:p>
            <w:pPr>
              <w:ind w:left="620"/>
              <w:spacing w:after="0"/>
              <w:rPr>
                <w:sz w:val="20"/>
                <w:szCs w:val="20"/>
                <w:color w:val="auto"/>
              </w:rPr>
            </w:pPr>
            <w:r>
              <w:rPr>
                <w:rFonts w:ascii="Arial" w:cs="Arial" w:eastAsia="Arial" w:hAnsi="Arial"/>
                <w:sz w:val="18"/>
                <w:szCs w:val="18"/>
                <w:color w:val="auto"/>
              </w:rPr>
              <w:t>1991 Stock Option Plan as amended and restated on October 19, 1999.</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10.6(5)</w:t>
            </w:r>
            <w:r>
              <w:rPr>
                <w:rFonts w:ascii="Arial" w:cs="Arial" w:eastAsia="Arial" w:hAnsi="Arial"/>
                <w:sz w:val="15"/>
                <w:szCs w:val="15"/>
                <w:color w:val="auto"/>
              </w:rPr>
              <w:t>ª</w:t>
            </w:r>
          </w:p>
        </w:tc>
        <w:tc>
          <w:tcPr>
            <w:tcW w:w="10100" w:type="dxa"/>
            <w:vAlign w:val="bottom"/>
          </w:tcPr>
          <w:p>
            <w:pPr>
              <w:ind w:left="620"/>
              <w:spacing w:after="0"/>
              <w:rPr>
                <w:sz w:val="20"/>
                <w:szCs w:val="20"/>
                <w:color w:val="auto"/>
              </w:rPr>
            </w:pPr>
            <w:r>
              <w:rPr>
                <w:rFonts w:ascii="Arial" w:cs="Arial" w:eastAsia="Arial" w:hAnsi="Arial"/>
                <w:sz w:val="18"/>
                <w:szCs w:val="18"/>
                <w:color w:val="auto"/>
              </w:rPr>
              <w:t>1993 Director Stock Option Plan as amended and restated on April 14, 2000.</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 xml:space="preserve">10.7(13) </w:t>
            </w:r>
            <w:r>
              <w:rPr>
                <w:rFonts w:ascii="Arial" w:cs="Arial" w:eastAsia="Arial" w:hAnsi="Arial"/>
                <w:sz w:val="15"/>
                <w:szCs w:val="15"/>
                <w:color w:val="auto"/>
              </w:rPr>
              <w:t>ª</w:t>
            </w:r>
          </w:p>
        </w:tc>
        <w:tc>
          <w:tcPr>
            <w:tcW w:w="10100" w:type="dxa"/>
            <w:vAlign w:val="bottom"/>
          </w:tcPr>
          <w:p>
            <w:pPr>
              <w:ind w:left="620"/>
              <w:spacing w:after="0"/>
              <w:rPr>
                <w:sz w:val="20"/>
                <w:szCs w:val="20"/>
                <w:color w:val="auto"/>
              </w:rPr>
            </w:pPr>
            <w:r>
              <w:rPr>
                <w:rFonts w:ascii="Arial" w:cs="Arial" w:eastAsia="Arial" w:hAnsi="Arial"/>
                <w:sz w:val="18"/>
                <w:szCs w:val="18"/>
                <w:color w:val="auto"/>
              </w:rPr>
              <w:t>2002 Employee Stock Purchase Plan, as Amended and Restated February 5, 2003.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 xml:space="preserve">10.8(3) </w:t>
            </w:r>
            <w:r>
              <w:rPr>
                <w:rFonts w:ascii="Arial" w:cs="Arial" w:eastAsia="Arial" w:hAnsi="Arial"/>
                <w:sz w:val="15"/>
                <w:szCs w:val="15"/>
                <w:color w:val="auto"/>
              </w:rPr>
              <w:t>ª</w:t>
            </w:r>
          </w:p>
        </w:tc>
        <w:tc>
          <w:tcPr>
            <w:tcW w:w="10100" w:type="dxa"/>
            <w:vAlign w:val="bottom"/>
          </w:tcPr>
          <w:p>
            <w:pPr>
              <w:ind w:left="620"/>
              <w:spacing w:after="0"/>
              <w:rPr>
                <w:sz w:val="20"/>
                <w:szCs w:val="20"/>
                <w:color w:val="auto"/>
              </w:rPr>
            </w:pPr>
            <w:r>
              <w:rPr>
                <w:rFonts w:ascii="Arial" w:cs="Arial" w:eastAsia="Arial" w:hAnsi="Arial"/>
                <w:sz w:val="18"/>
                <w:szCs w:val="18"/>
                <w:color w:val="auto"/>
              </w:rPr>
              <w:t>1994 Long Term Stock Option Plan, as amended and restated on October 12, 1999.</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10.9(3)</w:t>
            </w:r>
            <w:r>
              <w:rPr>
                <w:rFonts w:ascii="Arial" w:cs="Arial" w:eastAsia="Arial" w:hAnsi="Arial"/>
                <w:sz w:val="15"/>
                <w:szCs w:val="15"/>
                <w:color w:val="auto"/>
              </w:rPr>
              <w:t>ª</w:t>
            </w:r>
          </w:p>
        </w:tc>
        <w:tc>
          <w:tcPr>
            <w:tcW w:w="10100" w:type="dxa"/>
            <w:vAlign w:val="bottom"/>
          </w:tcPr>
          <w:p>
            <w:pPr>
              <w:ind w:left="620"/>
              <w:spacing w:after="0"/>
              <w:rPr>
                <w:sz w:val="20"/>
                <w:szCs w:val="20"/>
                <w:color w:val="auto"/>
              </w:rPr>
            </w:pPr>
            <w:r>
              <w:rPr>
                <w:rFonts w:ascii="Arial" w:cs="Arial" w:eastAsia="Arial" w:hAnsi="Arial"/>
                <w:sz w:val="18"/>
                <w:szCs w:val="18"/>
                <w:color w:val="auto"/>
              </w:rPr>
              <w:t>1998 Long Term Stock Option Plan, as amended and restated on October 12, 1999.</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10.10(3)</w:t>
            </w:r>
            <w:r>
              <w:rPr>
                <w:rFonts w:ascii="Arial" w:cs="Arial" w:eastAsia="Arial" w:hAnsi="Arial"/>
                <w:sz w:val="15"/>
                <w:szCs w:val="15"/>
                <w:color w:val="auto"/>
              </w:rPr>
              <w:t>ª</w:t>
            </w:r>
          </w:p>
        </w:tc>
        <w:tc>
          <w:tcPr>
            <w:tcW w:w="10100" w:type="dxa"/>
            <w:vAlign w:val="bottom"/>
          </w:tcPr>
          <w:p>
            <w:pPr>
              <w:ind w:left="620"/>
              <w:spacing w:after="0"/>
              <w:rPr>
                <w:sz w:val="20"/>
                <w:szCs w:val="20"/>
                <w:color w:val="auto"/>
              </w:rPr>
            </w:pPr>
            <w:r>
              <w:rPr>
                <w:rFonts w:ascii="Arial" w:cs="Arial" w:eastAsia="Arial" w:hAnsi="Arial"/>
                <w:sz w:val="18"/>
                <w:szCs w:val="18"/>
                <w:color w:val="auto"/>
              </w:rPr>
              <w:t>1996 Long Term Stock Option Plan, as amended and restated on October 12, 1999.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63"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63"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10.11(10)</w:t>
            </w:r>
            <w:r>
              <w:rPr>
                <w:rFonts w:ascii="Arial" w:cs="Arial" w:eastAsia="Arial" w:hAnsi="Arial"/>
                <w:sz w:val="15"/>
                <w:szCs w:val="15"/>
                <w:color w:val="auto"/>
              </w:rPr>
              <w:t>ª</w:t>
            </w:r>
          </w:p>
        </w:tc>
        <w:tc>
          <w:tcPr>
            <w:tcW w:w="8720" w:type="dxa"/>
            <w:vAlign w:val="bottom"/>
          </w:tcPr>
          <w:p>
            <w:pPr>
              <w:ind w:left="580"/>
              <w:spacing w:after="0"/>
              <w:rPr>
                <w:sz w:val="20"/>
                <w:szCs w:val="20"/>
                <w:color w:val="auto"/>
              </w:rPr>
            </w:pPr>
            <w:r>
              <w:rPr>
                <w:rFonts w:ascii="Arial" w:cs="Arial" w:eastAsia="Arial" w:hAnsi="Arial"/>
                <w:sz w:val="18"/>
                <w:szCs w:val="18"/>
                <w:color w:val="auto"/>
              </w:rPr>
              <w:t>1999 Stock Option Plan.</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10.12(9)</w:t>
            </w:r>
            <w:r>
              <w:rPr>
                <w:rFonts w:ascii="Arial" w:cs="Arial" w:eastAsia="Arial" w:hAnsi="Arial"/>
                <w:sz w:val="15"/>
                <w:szCs w:val="15"/>
                <w:color w:val="auto"/>
              </w:rPr>
              <w:t>ª</w:t>
            </w:r>
          </w:p>
        </w:tc>
        <w:tc>
          <w:tcPr>
            <w:tcW w:w="8720" w:type="dxa"/>
            <w:vAlign w:val="bottom"/>
          </w:tcPr>
          <w:p>
            <w:pPr>
              <w:ind w:left="580"/>
              <w:spacing w:after="0"/>
              <w:rPr>
                <w:sz w:val="20"/>
                <w:szCs w:val="20"/>
                <w:color w:val="auto"/>
              </w:rPr>
            </w:pPr>
            <w:r>
              <w:rPr>
                <w:rFonts w:ascii="Arial" w:cs="Arial" w:eastAsia="Arial" w:hAnsi="Arial"/>
                <w:sz w:val="18"/>
                <w:szCs w:val="18"/>
                <w:color w:val="auto"/>
              </w:rPr>
              <w:t>2003 Long-Term Incentive Plan.</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10.13 (15)</w:t>
            </w:r>
            <w:r>
              <w:rPr>
                <w:rFonts w:ascii="Arial" w:cs="Arial" w:eastAsia="Arial" w:hAnsi="Arial"/>
                <w:sz w:val="15"/>
                <w:szCs w:val="15"/>
                <w:color w:val="auto"/>
              </w:rPr>
              <w:t>ª</w:t>
            </w:r>
          </w:p>
        </w:tc>
        <w:tc>
          <w:tcPr>
            <w:tcW w:w="8720" w:type="dxa"/>
            <w:vAlign w:val="bottom"/>
          </w:tcPr>
          <w:p>
            <w:pPr>
              <w:ind w:left="580"/>
              <w:spacing w:after="0"/>
              <w:rPr>
                <w:sz w:val="20"/>
                <w:szCs w:val="20"/>
                <w:color w:val="auto"/>
              </w:rPr>
            </w:pPr>
            <w:r>
              <w:rPr>
                <w:rFonts w:ascii="Arial" w:cs="Arial" w:eastAsia="Arial" w:hAnsi="Arial"/>
                <w:sz w:val="18"/>
                <w:szCs w:val="18"/>
                <w:color w:val="auto"/>
              </w:rPr>
              <w:t>Employment Agreement between Eugene A. Hall and the Company dated as of October 15, 2004.</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10.14(15)</w:t>
            </w:r>
            <w:r>
              <w:rPr>
                <w:rFonts w:ascii="Arial" w:cs="Arial" w:eastAsia="Arial" w:hAnsi="Arial"/>
                <w:sz w:val="15"/>
                <w:szCs w:val="15"/>
                <w:color w:val="auto"/>
              </w:rPr>
              <w:t>ª</w:t>
            </w:r>
          </w:p>
        </w:tc>
        <w:tc>
          <w:tcPr>
            <w:tcW w:w="8720" w:type="dxa"/>
            <w:vAlign w:val="bottom"/>
          </w:tcPr>
          <w:p>
            <w:pPr>
              <w:ind w:left="580"/>
              <w:spacing w:after="0"/>
              <w:rPr>
                <w:sz w:val="20"/>
                <w:szCs w:val="20"/>
                <w:color w:val="auto"/>
              </w:rPr>
            </w:pPr>
            <w:r>
              <w:rPr>
                <w:rFonts w:ascii="Arial" w:cs="Arial" w:eastAsia="Arial" w:hAnsi="Arial"/>
                <w:sz w:val="18"/>
                <w:szCs w:val="18"/>
                <w:color w:val="auto"/>
                <w:w w:val="93"/>
              </w:rPr>
              <w:t>Restricted Stock Agreement by and between Eugene A. Hall and the Company dated as of October 15, 2004.</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5"/>
                <w:szCs w:val="15"/>
                <w:color w:val="auto"/>
              </w:rPr>
              <w:t>ª</w:t>
            </w:r>
          </w:p>
        </w:tc>
        <w:tc>
          <w:tcPr>
            <w:tcW w:w="8720" w:type="dxa"/>
            <w:vAlign w:val="bottom"/>
          </w:tcPr>
          <w:p>
            <w:pPr>
              <w:ind w:left="580"/>
              <w:spacing w:after="0"/>
              <w:rPr>
                <w:sz w:val="20"/>
                <w:szCs w:val="20"/>
                <w:color w:val="auto"/>
              </w:rPr>
            </w:pPr>
            <w:r>
              <w:rPr>
                <w:rFonts w:ascii="Arial" w:cs="Arial" w:eastAsia="Arial" w:hAnsi="Arial"/>
                <w:sz w:val="18"/>
                <w:szCs w:val="18"/>
                <w:color w:val="auto"/>
                <w:w w:val="91"/>
              </w:rPr>
              <w:t>Employment Agreement between Gartner Group UK Limited and Alister Christopher dated September 23, 2003.</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5"/>
                <w:szCs w:val="15"/>
                <w:color w:val="auto"/>
              </w:rPr>
              <w:t>ª</w:t>
            </w:r>
          </w:p>
        </w:tc>
        <w:tc>
          <w:tcPr>
            <w:tcW w:w="8720" w:type="dxa"/>
            <w:vAlign w:val="bottom"/>
          </w:tcPr>
          <w:p>
            <w:pPr>
              <w:ind w:left="580"/>
              <w:spacing w:after="0"/>
              <w:rPr>
                <w:sz w:val="20"/>
                <w:szCs w:val="20"/>
                <w:color w:val="auto"/>
              </w:rPr>
            </w:pPr>
            <w:r>
              <w:rPr>
                <w:rFonts w:ascii="Arial" w:cs="Arial" w:eastAsia="Arial" w:hAnsi="Arial"/>
                <w:sz w:val="18"/>
                <w:szCs w:val="18"/>
                <w:color w:val="auto"/>
                <w:w w:val="97"/>
              </w:rPr>
              <w:t>Employment Agreement between Gartner Group UK Limited and Clive Taylor dated December 21, 2004.</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8720" w:type="dxa"/>
            <w:vAlign w:val="bottom"/>
          </w:tcPr>
          <w:p>
            <w:pPr>
              <w:ind w:left="580"/>
              <w:spacing w:after="0"/>
              <w:rPr>
                <w:sz w:val="20"/>
                <w:szCs w:val="20"/>
                <w:color w:val="auto"/>
              </w:rPr>
            </w:pPr>
            <w:r>
              <w:rPr>
                <w:rFonts w:ascii="Arial" w:cs="Arial" w:eastAsia="Arial" w:hAnsi="Arial"/>
                <w:sz w:val="18"/>
                <w:szCs w:val="18"/>
                <w:color w:val="auto"/>
              </w:rPr>
              <w:t>Subsidiaries of Registrant.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8720" w:type="dxa"/>
            <w:vAlign w:val="bottom"/>
          </w:tcPr>
          <w:p>
            <w:pPr>
              <w:ind w:left="5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24.1</w:t>
            </w:r>
          </w:p>
        </w:tc>
        <w:tc>
          <w:tcPr>
            <w:tcW w:w="8720" w:type="dxa"/>
            <w:vAlign w:val="bottom"/>
          </w:tcPr>
          <w:p>
            <w:pPr>
              <w:ind w:left="580"/>
              <w:spacing w:after="0"/>
              <w:rPr>
                <w:sz w:val="20"/>
                <w:szCs w:val="20"/>
                <w:color w:val="auto"/>
              </w:rPr>
            </w:pPr>
            <w:r>
              <w:rPr>
                <w:rFonts w:ascii="Arial" w:cs="Arial" w:eastAsia="Arial" w:hAnsi="Arial"/>
                <w:sz w:val="18"/>
                <w:szCs w:val="18"/>
                <w:color w:val="auto"/>
              </w:rPr>
              <w:t>Power of Attorney (see Signature Page).</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8720" w:type="dxa"/>
            <w:vAlign w:val="bottom"/>
          </w:tcPr>
          <w:p>
            <w:pPr>
              <w:ind w:left="580"/>
              <w:spacing w:after="0"/>
              <w:rPr>
                <w:sz w:val="20"/>
                <w:szCs w:val="20"/>
                <w:color w:val="auto"/>
              </w:rPr>
            </w:pPr>
            <w:r>
              <w:rPr>
                <w:rFonts w:ascii="Arial" w:cs="Arial" w:eastAsia="Arial" w:hAnsi="Arial"/>
                <w:sz w:val="18"/>
                <w:szCs w:val="18"/>
                <w:color w:val="auto"/>
              </w:rPr>
              <w:t>Certification of chief executive officer under Section 302 of the Sarbanes-Oxley Act of 2002.</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8720" w:type="dxa"/>
            <w:vAlign w:val="bottom"/>
          </w:tcPr>
          <w:p>
            <w:pPr>
              <w:ind w:left="580"/>
              <w:spacing w:after="0"/>
              <w:rPr>
                <w:sz w:val="20"/>
                <w:szCs w:val="20"/>
                <w:color w:val="auto"/>
              </w:rPr>
            </w:pPr>
            <w:r>
              <w:rPr>
                <w:rFonts w:ascii="Arial" w:cs="Arial" w:eastAsia="Arial" w:hAnsi="Arial"/>
                <w:sz w:val="18"/>
                <w:szCs w:val="18"/>
                <w:color w:val="auto"/>
              </w:rPr>
              <w:t>Certification of chief financial officer under Section 302 of the Sarbanes-Oxley Act of 2002.</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32*</w:t>
            </w:r>
          </w:p>
        </w:tc>
        <w:tc>
          <w:tcPr>
            <w:tcW w:w="8720" w:type="dxa"/>
            <w:vAlign w:val="bottom"/>
          </w:tcPr>
          <w:p>
            <w:pPr>
              <w:ind w:left="580"/>
              <w:spacing w:after="0"/>
              <w:rPr>
                <w:sz w:val="20"/>
                <w:szCs w:val="20"/>
                <w:color w:val="auto"/>
              </w:rPr>
            </w:pPr>
            <w:r>
              <w:rPr>
                <w:rFonts w:ascii="Arial" w:cs="Arial" w:eastAsia="Arial" w:hAnsi="Arial"/>
                <w:sz w:val="18"/>
                <w:szCs w:val="18"/>
                <w:color w:val="auto"/>
              </w:rPr>
              <w:t>Certification under Section 906 of the Sarbanes-Oxley Act of 2002.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Filed with this document.</w:t>
      </w:r>
    </w:p>
    <w:p>
      <w:pPr>
        <w:spacing w:after="0" w:line="185" w:lineRule="exact"/>
        <w:rPr>
          <w:sz w:val="20"/>
          <w:szCs w:val="20"/>
          <w:color w:val="auto"/>
        </w:rPr>
      </w:pPr>
    </w:p>
    <w:p>
      <w:pPr>
        <w:ind w:left="100" w:hanging="92"/>
        <w:spacing w:after="0"/>
        <w:tabs>
          <w:tab w:leader="none" w:pos="100" w:val="left"/>
        </w:tabs>
        <w:numPr>
          <w:ilvl w:val="0"/>
          <w:numId w:val="27"/>
        </w:numPr>
        <w:rPr>
          <w:rFonts w:ascii="Arial" w:cs="Arial" w:eastAsia="Arial" w:hAnsi="Arial"/>
          <w:sz w:val="15"/>
          <w:szCs w:val="15"/>
          <w:color w:val="auto"/>
        </w:rPr>
      </w:pPr>
      <w:r>
        <w:rPr>
          <w:rFonts w:ascii="Arial" w:cs="Arial" w:eastAsia="Arial" w:hAnsi="Arial"/>
          <w:sz w:val="18"/>
          <w:szCs w:val="18"/>
          <w:color w:val="auto"/>
        </w:rPr>
        <w:t>Management compensation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20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7"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from the Company’s Registration Statement on Form S-1 (File No. 33-67576), as amended, effective October 4, 1993.</w:t>
      </w:r>
    </w:p>
    <w:p>
      <w:pPr>
        <w:spacing w:after="0" w:line="248" w:lineRule="exact"/>
        <w:rPr>
          <w:rFonts w:ascii="Arial" w:cs="Arial" w:eastAsia="Arial" w:hAnsi="Arial"/>
          <w:sz w:val="16"/>
          <w:szCs w:val="16"/>
          <w:color w:val="auto"/>
        </w:rPr>
      </w:pPr>
    </w:p>
    <w:p>
      <w:pPr>
        <w:ind w:left="640" w:hanging="632"/>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 from the Company’s Annual Report on Form 10-K as filed on December 21, 1995, SEC File No. 000-15144.</w:t>
      </w:r>
    </w:p>
    <w:p>
      <w:pPr>
        <w:spacing w:after="0" w:line="236" w:lineRule="exact"/>
        <w:rPr>
          <w:rFonts w:ascii="Arial" w:cs="Arial" w:eastAsia="Arial" w:hAnsi="Arial"/>
          <w:sz w:val="17"/>
          <w:szCs w:val="17"/>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filed on December 22, 1999.</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dated March 1, 2000 as filed on March 7, 2000.</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as filed on May 4, 2004.</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as filed on December 28, 2001.</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as filed on February 13, 2002.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Annual Report on Form 10-K as filed on December 29, 2002.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Definitive Proxy Statement for its annual meeting dated February 13, 2003.</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Form S-8 as filed on February 16, 2002.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Transition Report on Form 10-KT as filed on March 31, 2003.</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Amendment Number 2. To Form 8-A as filed on June 30, 2003.</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as filed on August 14, 2003.</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as filed on November 8, 2004.</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from the Company Current Report on Form 8-K dated October 15, 2004.</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as filed on December 28, 2004.</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Company Current Report on Form 8-K filed on March 7, 2005.</w:t>
      </w:r>
    </w:p>
    <w:p>
      <w:pPr>
        <w:spacing w:after="0" w:line="18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19" w:right="5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93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r>
      <w:tr>
        <w:trPr>
          <w:trHeight w:val="534"/>
        </w:trPr>
        <w:tc>
          <w:tcPr>
            <w:tcW w:w="10660" w:type="dxa"/>
            <w:vAlign w:val="bottom"/>
            <w:gridSpan w:val="11"/>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660" w:type="dxa"/>
            <w:vAlign w:val="bottom"/>
          </w:tcPr>
          <w:p>
            <w:pPr>
              <w:spacing w:after="0"/>
              <w:rPr>
                <w:sz w:val="24"/>
                <w:szCs w:val="24"/>
                <w:color w:val="auto"/>
              </w:rPr>
            </w:pPr>
          </w:p>
        </w:tc>
      </w:tr>
      <w:tr>
        <w:trPr>
          <w:trHeight w:val="387"/>
        </w:trPr>
        <w:tc>
          <w:tcPr>
            <w:tcW w:w="10660" w:type="dxa"/>
            <w:vAlign w:val="bottom"/>
            <w:gridSpan w:val="11"/>
          </w:tcPr>
          <w:p>
            <w:pPr>
              <w:spacing w:after="0"/>
              <w:rPr>
                <w:sz w:val="20"/>
                <w:szCs w:val="20"/>
                <w:color w:val="auto"/>
              </w:rPr>
            </w:pPr>
            <w:r>
              <w:rPr>
                <w:rFonts w:ascii="Arial" w:cs="Arial" w:eastAsia="Arial" w:hAnsi="Arial"/>
                <w:sz w:val="18"/>
                <w:szCs w:val="18"/>
                <w:b w:val="1"/>
                <w:bCs w:val="1"/>
                <w:color w:val="auto"/>
              </w:rPr>
              <w:t>GARTNER, INC.</w:t>
            </w:r>
          </w:p>
        </w:tc>
        <w:tc>
          <w:tcPr>
            <w:tcW w:w="660" w:type="dxa"/>
            <w:vAlign w:val="bottom"/>
          </w:tcPr>
          <w:p>
            <w:pPr>
              <w:spacing w:after="0"/>
              <w:rPr>
                <w:sz w:val="24"/>
                <w:szCs w:val="24"/>
                <w:color w:val="auto"/>
              </w:rPr>
            </w:pPr>
          </w:p>
        </w:tc>
      </w:tr>
      <w:tr>
        <w:trPr>
          <w:trHeight w:val="234"/>
        </w:trPr>
        <w:tc>
          <w:tcPr>
            <w:tcW w:w="10660" w:type="dxa"/>
            <w:vAlign w:val="bottom"/>
            <w:gridSpan w:val="11"/>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60" w:type="dxa"/>
            <w:vAlign w:val="bottom"/>
          </w:tcPr>
          <w:p>
            <w:pPr>
              <w:spacing w:after="0"/>
              <w:rPr>
                <w:sz w:val="20"/>
                <w:szCs w:val="20"/>
                <w:color w:val="auto"/>
              </w:rPr>
            </w:pPr>
          </w:p>
        </w:tc>
      </w:tr>
      <w:tr>
        <w:trPr>
          <w:trHeight w:val="567"/>
        </w:trPr>
        <w:tc>
          <w:tcPr>
            <w:tcW w:w="10660" w:type="dxa"/>
            <w:vAlign w:val="bottom"/>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2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660" w:type="dxa"/>
            <w:vAlign w:val="bottom"/>
            <w:gridSpan w:val="11"/>
          </w:tcPr>
          <w:p>
            <w:pPr>
              <w:spacing w:after="0" w:line="196" w:lineRule="exact"/>
              <w:rPr>
                <w:sz w:val="20"/>
                <w:szCs w:val="20"/>
                <w:color w:val="auto"/>
              </w:rPr>
            </w:pPr>
            <w:r>
              <w:rPr>
                <w:rFonts w:ascii="Arial" w:cs="Arial" w:eastAsia="Arial" w:hAnsi="Arial"/>
                <w:sz w:val="18"/>
                <w:szCs w:val="18"/>
                <w:color w:val="auto"/>
              </w:rPr>
              <w:t>Report of Independent Registered Public Accounting Firm</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220" w:type="dxa"/>
            <w:vAlign w:val="bottom"/>
            <w:shd w:val="clear" w:color="auto" w:fill="000000"/>
          </w:tcPr>
          <w:p>
            <w:pPr>
              <w:spacing w:after="0" w:line="20" w:lineRule="exact"/>
              <w:rPr>
                <w:sz w:val="1"/>
                <w:szCs w:val="1"/>
                <w:color w:val="auto"/>
              </w:rPr>
            </w:pPr>
          </w:p>
        </w:tc>
        <w:tc>
          <w:tcPr>
            <w:tcW w:w="294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660" w:type="dxa"/>
            <w:vAlign w:val="bottom"/>
            <w:gridSpan w:val="1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Balance Sheets as of December 31, 2004, and 2003</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22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660" w:type="dxa"/>
            <w:vAlign w:val="bottom"/>
            <w:gridSpan w:val="11"/>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Consolidated Statements of Operations for the Years Ended December 31, 2004, 2003 and 2002 (Unaudited), the Three Month Period Ended</w:t>
              </w:r>
            </w:hyperlink>
          </w:p>
        </w:tc>
        <w:tc>
          <w:tcPr>
            <w:tcW w:w="6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4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December 31, 2002, and the Year Ended September 30, 2002</w:t>
              </w:r>
            </w:hyperlink>
          </w:p>
        </w:tc>
        <w:tc>
          <w:tcPr>
            <w:tcW w:w="5440" w:type="dxa"/>
            <w:vAlign w:val="bottom"/>
            <w:tcBorders>
              <w:top w:val="single" w:sz="8" w:color="0000EE"/>
            </w:tcBorders>
            <w:gridSpan w:val="3"/>
          </w:tcPr>
          <w:p>
            <w:pPr>
              <w:spacing w:after="0"/>
              <w:rPr>
                <w:sz w:val="17"/>
                <w:szCs w:val="17"/>
                <w:color w:val="auto"/>
              </w:rPr>
            </w:pPr>
          </w:p>
        </w:tc>
        <w:tc>
          <w:tcPr>
            <w:tcW w:w="52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0660" w:type="dxa"/>
            <w:vAlign w:val="bottom"/>
            <w:gridSpan w:val="11"/>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Consolidated Statements of Stockholders’ Equity (Deficit) and Comprehensive Income (Loss) for the Years Ended December 31, 2004 and</w:t>
              </w:r>
            </w:hyperlink>
          </w:p>
        </w:tc>
        <w:tc>
          <w:tcPr>
            <w:tcW w:w="6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2003, the Three Month Period Ended December 31, 2002, and the Year Ended September 30, 2002</w:t>
              </w:r>
            </w:hyperlink>
          </w:p>
        </w:tc>
        <w:tc>
          <w:tcPr>
            <w:tcW w:w="64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2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660" w:type="dxa"/>
            <w:vAlign w:val="bottom"/>
            <w:gridSpan w:val="11"/>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Consolidated Statements of Cash Flows for the Years Ended December 31, 2004, 2003 and 2002 (Unaudited), the Three Month Period Ended</w:t>
              </w:r>
            </w:hyperlink>
          </w:p>
        </w:tc>
        <w:tc>
          <w:tcPr>
            <w:tcW w:w="6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4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December 31, 2002, and the Year Ended September 30, 2002</w:t>
              </w:r>
            </w:hyperlink>
          </w:p>
        </w:tc>
        <w:tc>
          <w:tcPr>
            <w:tcW w:w="5580" w:type="dxa"/>
            <w:vAlign w:val="bottom"/>
            <w:tcBorders>
              <w:top w:val="single" w:sz="8" w:color="0000EE"/>
            </w:tcBorders>
            <w:gridSpan w:val="5"/>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750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bl>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financial statement schedules have been omitted because the information required is not applicable or is shown in the consolidated financial statements or notes thereto.</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5"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audited the accompanying consolidated balance sheets of Gartner, Inc. and subsidiaries as of December 31, 2004 and 2003, and the related consolidated statements of operations, stockholders’ equity (deficit) and comprehensive income (loss), and cash flows for each of the years in the two-year period ended December 31, 2004, the three-month period ended December 31, 2002, and the year ended September 30, 2002. These consolidated financial statements are the responsibility of the Company’s management. Our responsibility is to express an opinion on these consolidated financial statements based on our audits.</w:t>
      </w:r>
    </w:p>
    <w:p>
      <w:pPr>
        <w:spacing w:after="0" w:line="1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Gartner, Inc. and subsidiaries as of December 31, 2004 and 2003, and the results of their operations and their cash flows for each of the years in the two-year period ended December 31, 2004, the three-month period ended December 31, 2002, and the year ended September 30, 2002, in conformity with U.S. generally accepted accounting principles.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Gartner, Inc.’s internal control over financial reporting as of December 31, 2004, based on criteria established in Internal Control—Integrated Framework issued by the Committee of Sponsoring Organizations of the Treadway Commission (COSO), and our report dated March 16, 2005 expressed an unqualified opinion on management’s assessment of, and the effective operation of,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2005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under Item 9A, that Gartner, Inc. (the “Company”) maintained effective internal control over financial reporting as of December 31, 2004, based on criteria established in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5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opinion, management’s assessment that Gartner, Inc. maintained effective internal control over financial reporting as of December 31, 2004, is fairly stated, in all material respects, based on criteria established in Internal Control—Integrated Framework issued by the Committee of Sponsoring Organizations of the Treadway Commission (COSO). Also, in our opinion, Gartner, Inc. maintained, in all material respects, effective internal control over financial reporting as of December 31, 2004, based on criteria established in Internal Control—Integrated Framework issued by the Committee of Sponsoring Organizations of the Treadway Commission (COSO).</w:t>
      </w:r>
    </w:p>
    <w:p>
      <w:pPr>
        <w:spacing w:after="0" w:line="1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Gartner, Inc. and subsidiaries as of December 31, 2004 and 2003, and the related consolidated statements of operations, stockholders’ equity (deficit) and comprehensive income (loss), and cash flows for each of the years in the two-year period ended December 31, 2004, the three-month period ended December 31, 2002, and the year ended September 30, 2002, and our report dated March 16, 2005 expressed an unqualified opinion on those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2005</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GARTNER,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right"/>
              <w:ind w:right="6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color w:val="auto"/>
              </w:rPr>
              <w:t>2004</w:t>
            </w: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2003</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8"/>
              </w:rPr>
              <w:t>160,126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Fees receivable, net of allowances of $8,450, and $9,000,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w w:val="98"/>
              </w:rPr>
              <w:t>257,689</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266,122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32,978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37,052</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8"/>
              </w:rPr>
              <w:t>487,845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554,300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Property, equipment and leasehold improvements,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63,495</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8"/>
              </w:rPr>
              <w:t>231,759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230,387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77,957</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8"/>
              </w:rPr>
              <w:t>861,194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918,732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8"/>
              </w:rPr>
              <w:t>181,502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180,432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w w:val="98"/>
              </w:rPr>
              <w:t>307,696</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315,524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40,000</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w w:val="98"/>
              </w:rPr>
              <w:t>529,198</w:t>
            </w: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495,956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8"/>
              </w:rPr>
              <w:t>150,000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51,948</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8"/>
              </w:rPr>
              <w:t>731,146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543,942</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$.01 par value, authorized 5,000,000 shares; none issued or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$.0005 par value, authorized 166,000,000 shares of Class A Common Stock and 84,000,000 shares of Class B Common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Stock; issued 110,130,444 and 102,436,100 shares, respectively, of Class A Common Stock and 40,689,648 shares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Common Stock for both periods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w w:val="98"/>
              </w:rPr>
              <w:t>485,713</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Unearned compensation,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(7,553)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Accumulated other comprehensive income (loss),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12,722</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8"/>
              </w:rPr>
              <w:t>190,089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173,200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spacing w:after="0" w:line="201" w:lineRule="exact"/>
              <w:rPr>
                <w:sz w:val="20"/>
                <w:szCs w:val="20"/>
                <w:color w:val="auto"/>
              </w:rPr>
            </w:pPr>
            <w:r>
              <w:rPr>
                <w:rFonts w:ascii="Arial" w:cs="Arial" w:eastAsia="Arial" w:hAnsi="Arial"/>
                <w:sz w:val="18"/>
                <w:szCs w:val="18"/>
                <w:color w:val="auto"/>
                <w:w w:val="99"/>
              </w:rPr>
              <w:t>Treasury stock, at cost, 20,977,585 and 669,837 shares, respectively, of Class A Common Stock and 18,076,694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12,456,605 shares, respectively, of Class B Common Stock</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88"/>
              </w:rPr>
              <w:t>(550,998)</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0"/>
              </w:rPr>
              <w:t>(206,450)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8"/>
              </w:rPr>
              <w:t>130,048</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374,790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8"/>
              </w:rPr>
              <w:t>861,194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918,732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GARTNER,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Fiscal Year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color w:val="auto"/>
              </w:rPr>
              <w:t>Year Ended December 31,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411"/>
              <w:spacing w:after="0"/>
              <w:rPr>
                <w:sz w:val="20"/>
                <w:szCs w:val="20"/>
                <w:color w:val="auto"/>
              </w:rPr>
            </w:pPr>
            <w:r>
              <w:rPr>
                <w:rFonts w:ascii="Arial" w:cs="Arial" w:eastAsia="Arial" w:hAnsi="Arial"/>
                <w:sz w:val="14"/>
                <w:szCs w:val="14"/>
                <w:color w:val="auto"/>
              </w:rPr>
              <w:t>Transition</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2004</w:t>
            </w: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color w:val="auto"/>
              </w:rPr>
              <w:t>2003</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2002</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2002</w:t>
            </w:r>
          </w:p>
        </w:tc>
        <w:tc>
          <w:tcPr>
            <w:tcW w:w="4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Unaudited</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Research</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w w:val="89"/>
              </w:rPr>
              <w:t>480,486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w w:val="89"/>
              </w:rPr>
              <w:t>466,907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486,967</w:t>
            </w:r>
          </w:p>
        </w:tc>
        <w:tc>
          <w:tcPr>
            <w:tcW w:w="2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rPr>
                <w:sz w:val="20"/>
                <w:szCs w:val="20"/>
                <w:color w:val="auto"/>
              </w:rPr>
            </w:pPr>
            <w:r>
              <w:rPr>
                <w:rFonts w:ascii="Arial" w:cs="Arial" w:eastAsia="Arial" w:hAnsi="Arial"/>
                <w:sz w:val="18"/>
                <w:szCs w:val="18"/>
                <w:color w:val="auto"/>
                <w:w w:val="89"/>
              </w:rPr>
              <w:t>120,038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496,403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Consulting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9"/>
              </w:rPr>
              <w:t>259,419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9"/>
              </w:rPr>
              <w:t>258,628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276,059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58,098</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Events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w w:val="89"/>
              </w:rPr>
              <w:t>138,393</w:t>
            </w:r>
          </w:p>
        </w:tc>
        <w:tc>
          <w:tcPr>
            <w:tcW w:w="30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w w:val="89"/>
              </w:rPr>
              <w:t>119,355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109,694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47,169</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15,523</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13,556</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14,873</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4,509</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w w:val="89"/>
              </w:rPr>
              <w:t>893,821</w:t>
            </w:r>
          </w:p>
        </w:tc>
        <w:tc>
          <w:tcPr>
            <w:tcW w:w="300" w:type="dxa"/>
            <w:vAlign w:val="bottom"/>
          </w:tcPr>
          <w:p>
            <w:pPr>
              <w:spacing w:after="0"/>
              <w:rPr>
                <w:sz w:val="19"/>
                <w:szCs w:val="19"/>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w w:val="89"/>
              </w:rPr>
              <w:t>858,446</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887,593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51"/>
              <w:spacing w:after="0"/>
              <w:rPr>
                <w:sz w:val="20"/>
                <w:szCs w:val="20"/>
                <w:color w:val="auto"/>
              </w:rPr>
            </w:pPr>
            <w:r>
              <w:rPr>
                <w:rFonts w:ascii="Arial" w:cs="Arial" w:eastAsia="Arial" w:hAnsi="Arial"/>
                <w:sz w:val="18"/>
                <w:szCs w:val="18"/>
                <w:color w:val="auto"/>
                <w:w w:val="89"/>
              </w:rPr>
              <w:t>229,814</w:t>
            </w:r>
          </w:p>
        </w:tc>
        <w:tc>
          <w:tcPr>
            <w:tcW w:w="4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907,174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Cost of services and product development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w w:val="89"/>
              </w:rPr>
              <w:t>434,499</w:t>
            </w:r>
          </w:p>
        </w:tc>
        <w:tc>
          <w:tcPr>
            <w:tcW w:w="30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w w:val="89"/>
              </w:rPr>
              <w:t>410,666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396,489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51"/>
              <w:spacing w:after="0"/>
              <w:rPr>
                <w:sz w:val="20"/>
                <w:szCs w:val="20"/>
                <w:color w:val="auto"/>
              </w:rPr>
            </w:pPr>
            <w:r>
              <w:rPr>
                <w:rFonts w:ascii="Arial" w:cs="Arial" w:eastAsia="Arial" w:hAnsi="Arial"/>
                <w:sz w:val="18"/>
                <w:szCs w:val="18"/>
                <w:color w:val="auto"/>
                <w:w w:val="89"/>
              </w:rPr>
              <w:t>108,600</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9"/>
              </w:rPr>
              <w:t>349,834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9"/>
              </w:rPr>
              <w:t>333,411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346,496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90,306</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27,650</w:t>
            </w:r>
          </w:p>
        </w:tc>
        <w:tc>
          <w:tcPr>
            <w:tcW w:w="30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36,045</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43,726</w:t>
            </w:r>
          </w:p>
        </w:tc>
        <w:tc>
          <w:tcPr>
            <w:tcW w:w="260" w:type="dxa"/>
            <w:vAlign w:val="bottom"/>
          </w:tcPr>
          <w:p>
            <w:pPr>
              <w:spacing w:after="0"/>
              <w:rPr>
                <w:sz w:val="18"/>
                <w:szCs w:val="18"/>
                <w:color w:val="auto"/>
              </w:rPr>
            </w:pP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11,146</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482</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Goodwill impairments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2,711</w:t>
            </w:r>
          </w:p>
        </w:tc>
        <w:tc>
          <w:tcPr>
            <w:tcW w:w="30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charges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35,781</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29,716</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49,412</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32,166</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17,246</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89"/>
              </w:rPr>
              <w:t>851,162</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89"/>
              </w:rPr>
              <w:t>811,113</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838,052</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89"/>
              </w:rPr>
              <w:t>242,700</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810,991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42,659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47,333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49,541</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5"/>
              </w:rPr>
              <w:t>(12,886)</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gain on investments,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(2,958)</w:t>
            </w:r>
          </w:p>
        </w:tc>
        <w:tc>
          <w:tcPr>
            <w:tcW w:w="30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4,740</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(4,137)</w:t>
            </w:r>
          </w:p>
        </w:tc>
        <w:tc>
          <w:tcPr>
            <w:tcW w:w="260" w:type="dxa"/>
            <w:vAlign w:val="bottom"/>
          </w:tcPr>
          <w:p>
            <w:pPr>
              <w:spacing w:after="0"/>
              <w:rPr>
                <w:sz w:val="18"/>
                <w:szCs w:val="18"/>
                <w:color w:val="auto"/>
              </w:rPr>
            </w:pPr>
          </w:p>
        </w:tc>
        <w:tc>
          <w:tcPr>
            <w:tcW w:w="1040" w:type="dxa"/>
            <w:vAlign w:val="bottom"/>
          </w:tcPr>
          <w:p>
            <w:pPr>
              <w:jc w:val="right"/>
              <w:ind w:right="291"/>
              <w:spacing w:after="0"/>
              <w:rPr>
                <w:sz w:val="20"/>
                <w:szCs w:val="20"/>
                <w:color w:val="auto"/>
              </w:rPr>
            </w:pPr>
            <w:r>
              <w:rPr>
                <w:rFonts w:ascii="Arial" w:cs="Arial" w:eastAsia="Arial" w:hAnsi="Arial"/>
                <w:sz w:val="18"/>
                <w:szCs w:val="18"/>
                <w:color w:val="auto"/>
              </w:rPr>
              <w:t>(1,688)</w:t>
            </w:r>
          </w:p>
        </w:tc>
        <w:tc>
          <w:tcPr>
            <w:tcW w:w="4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3,063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635</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(4,380)</w:t>
            </w:r>
          </w:p>
        </w:tc>
        <w:tc>
          <w:tcPr>
            <w:tcW w:w="3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8"/>
                <w:szCs w:val="18"/>
                <w:color w:val="auto"/>
                <w:w w:val="95"/>
              </w:rPr>
              <w:t>(19,402)</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(23,206)</w:t>
            </w:r>
          </w:p>
        </w:tc>
        <w:tc>
          <w:tcPr>
            <w:tcW w:w="260" w:type="dxa"/>
            <w:vAlign w:val="bottom"/>
          </w:tcPr>
          <w:p>
            <w:pPr>
              <w:spacing w:after="0"/>
              <w:rPr>
                <w:sz w:val="18"/>
                <w:szCs w:val="18"/>
                <w:color w:val="auto"/>
              </w:rPr>
            </w:pPr>
          </w:p>
        </w:tc>
        <w:tc>
          <w:tcPr>
            <w:tcW w:w="1040" w:type="dxa"/>
            <w:vAlign w:val="bottom"/>
          </w:tcPr>
          <w:p>
            <w:pPr>
              <w:jc w:val="right"/>
              <w:ind w:right="291"/>
              <w:spacing w:after="0"/>
              <w:rPr>
                <w:sz w:val="20"/>
                <w:szCs w:val="20"/>
                <w:color w:val="auto"/>
              </w:rPr>
            </w:pPr>
            <w:r>
              <w:rPr>
                <w:rFonts w:ascii="Arial" w:cs="Arial" w:eastAsia="Arial" w:hAnsi="Arial"/>
                <w:sz w:val="18"/>
                <w:szCs w:val="18"/>
                <w:color w:val="auto"/>
              </w:rPr>
              <w:t>(5,942)</w:t>
            </w:r>
          </w:p>
        </w:tc>
        <w:tc>
          <w:tcPr>
            <w:tcW w:w="4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(3,922)</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(141)</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34,462</w:t>
            </w:r>
          </w:p>
        </w:tc>
        <w:tc>
          <w:tcPr>
            <w:tcW w:w="300" w:type="dxa"/>
            <w:vAlign w:val="bottom"/>
          </w:tcPr>
          <w:p>
            <w:pPr>
              <w:spacing w:after="0"/>
              <w:rPr>
                <w:sz w:val="19"/>
                <w:szCs w:val="19"/>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35,428</w:t>
            </w: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24,285</w:t>
            </w:r>
          </w:p>
        </w:tc>
        <w:tc>
          <w:tcPr>
            <w:tcW w:w="260" w:type="dxa"/>
            <w:vAlign w:val="bottom"/>
          </w:tcPr>
          <w:p>
            <w:pPr>
              <w:spacing w:after="0"/>
              <w:rPr>
                <w:sz w:val="19"/>
                <w:szCs w:val="19"/>
                <w:color w:val="auto"/>
              </w:rPr>
            </w:pPr>
          </w:p>
        </w:tc>
        <w:tc>
          <w:tcPr>
            <w:tcW w:w="1040" w:type="dxa"/>
            <w:vAlign w:val="bottom"/>
          </w:tcPr>
          <w:p>
            <w:pPr>
              <w:jc w:val="right"/>
              <w:ind w:right="291"/>
              <w:spacing w:after="0"/>
              <w:rPr>
                <w:sz w:val="20"/>
                <w:szCs w:val="20"/>
                <w:color w:val="auto"/>
              </w:rPr>
            </w:pPr>
            <w:r>
              <w:rPr>
                <w:rFonts w:ascii="Arial" w:cs="Arial" w:eastAsia="Arial" w:hAnsi="Arial"/>
                <w:sz w:val="18"/>
                <w:szCs w:val="18"/>
                <w:color w:val="auto"/>
                <w:w w:val="95"/>
              </w:rPr>
              <w:t>(20,022)</w:t>
            </w:r>
          </w:p>
        </w:tc>
        <w:tc>
          <w:tcPr>
            <w:tcW w:w="4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17,573</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11,839</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2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(5,604)</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24,988</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16,889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23,589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15,118</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5"/>
              </w:rPr>
              <w:t>(14,418)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Basic: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0.14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0.26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1"/>
              <w:spacing w:after="0"/>
              <w:rPr>
                <w:sz w:val="20"/>
                <w:szCs w:val="20"/>
                <w:color w:val="auto"/>
              </w:rPr>
            </w:pPr>
            <w:r>
              <w:rPr>
                <w:rFonts w:ascii="Arial" w:cs="Arial" w:eastAsia="Arial" w:hAnsi="Arial"/>
                <w:sz w:val="18"/>
                <w:szCs w:val="18"/>
                <w:color w:val="auto"/>
              </w:rPr>
              <w:t>(0.18)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(0.18)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9"/>
              </w:rPr>
              <w:t>123,603</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91,123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83,329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81,379</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w w:val="89"/>
              </w:rPr>
              <w:t>126,326</w:t>
            </w:r>
          </w:p>
        </w:tc>
        <w:tc>
          <w:tcPr>
            <w:tcW w:w="300" w:type="dxa"/>
            <w:vAlign w:val="bottom"/>
          </w:tcPr>
          <w:p>
            <w:pPr>
              <w:spacing w:after="0"/>
              <w:rPr>
                <w:sz w:val="20"/>
                <w:szCs w:val="20"/>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92,579</w:t>
            </w: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85,040</w:t>
            </w:r>
          </w:p>
        </w:tc>
        <w:tc>
          <w:tcPr>
            <w:tcW w:w="260" w:type="dxa"/>
            <w:vAlign w:val="bottom"/>
          </w:tcPr>
          <w:p>
            <w:pPr>
              <w:spacing w:after="0"/>
              <w:rPr>
                <w:sz w:val="20"/>
                <w:szCs w:val="20"/>
                <w:color w:val="auto"/>
              </w:rPr>
            </w:pP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81,379</w:t>
            </w:r>
          </w:p>
        </w:tc>
        <w:tc>
          <w:tcPr>
            <w:tcW w:w="4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130,882</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GARTNER,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Accumulated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Other</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Additional</w:t>
            </w:r>
          </w:p>
        </w:tc>
        <w:tc>
          <w:tcPr>
            <w:tcW w:w="380" w:type="dxa"/>
            <w:vAlign w:val="bottom"/>
          </w:tcPr>
          <w:p>
            <w:pPr>
              <w:spacing w:after="0"/>
              <w:rPr>
                <w:sz w:val="12"/>
                <w:szCs w:val="12"/>
                <w:color w:val="auto"/>
              </w:rPr>
            </w:pPr>
          </w:p>
        </w:tc>
        <w:tc>
          <w:tcPr>
            <w:tcW w:w="90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Unearned</w:t>
            </w:r>
          </w:p>
        </w:tc>
        <w:tc>
          <w:tcPr>
            <w:tcW w:w="13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Comprehensive</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111"/>
              <w:spacing w:after="0" w:line="149" w:lineRule="exact"/>
              <w:rPr>
                <w:sz w:val="20"/>
                <w:szCs w:val="20"/>
                <w:color w:val="auto"/>
              </w:rPr>
            </w:pPr>
            <w:r>
              <w:rPr>
                <w:rFonts w:ascii="Arial" w:cs="Arial" w:eastAsia="Arial" w:hAnsi="Arial"/>
                <w:sz w:val="14"/>
                <w:szCs w:val="14"/>
                <w:color w:val="auto"/>
                <w:w w:val="91"/>
              </w:rPr>
              <w:t>Common</w:t>
            </w:r>
          </w:p>
        </w:tc>
        <w:tc>
          <w:tcPr>
            <w:tcW w:w="114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Paid-In</w:t>
            </w:r>
          </w:p>
        </w:tc>
        <w:tc>
          <w:tcPr>
            <w:tcW w:w="1280" w:type="dxa"/>
            <w:vAlign w:val="bottom"/>
            <w:gridSpan w:val="2"/>
          </w:tcPr>
          <w:p>
            <w:pPr>
              <w:jc w:val="right"/>
              <w:ind w:right="151"/>
              <w:spacing w:after="0" w:line="149" w:lineRule="exact"/>
              <w:rPr>
                <w:sz w:val="20"/>
                <w:szCs w:val="20"/>
                <w:color w:val="auto"/>
              </w:rPr>
            </w:pPr>
            <w:r>
              <w:rPr>
                <w:rFonts w:ascii="Arial" w:cs="Arial" w:eastAsia="Arial" w:hAnsi="Arial"/>
                <w:sz w:val="14"/>
                <w:szCs w:val="14"/>
                <w:color w:val="auto"/>
              </w:rPr>
              <w:t>Compensation,</w:t>
            </w:r>
          </w:p>
        </w:tc>
        <w:tc>
          <w:tcPr>
            <w:tcW w:w="1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Income (Loss),</w:t>
            </w:r>
          </w:p>
        </w:tc>
        <w:tc>
          <w:tcPr>
            <w:tcW w:w="11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Accumulated</w:t>
            </w:r>
          </w:p>
        </w:tc>
        <w:tc>
          <w:tcPr>
            <w:tcW w:w="116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Stockholders'</w:t>
            </w:r>
          </w:p>
        </w:tc>
      </w:tr>
      <w:tr>
        <w:trPr>
          <w:trHeight w:val="174"/>
        </w:trPr>
        <w:tc>
          <w:tcPr>
            <w:tcW w:w="20" w:type="dxa"/>
            <w:vAlign w:val="bottom"/>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Stock</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Capital</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Net</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Net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Earnings</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Stock</w:t>
            </w: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Equity (Deficit)</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59</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$ 342,216</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(5,145)</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(14,964)</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$ 115,606</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 (472,770)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(34,998)</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48,423</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48,423</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r>
      <w:tr>
        <w:trPr>
          <w:trHeight w:val="202"/>
        </w:trPr>
        <w:tc>
          <w:tcPr>
            <w:tcW w:w="20" w:type="dxa"/>
            <w:vAlign w:val="bottom"/>
          </w:tcPr>
          <w:p>
            <w:pPr>
              <w:spacing w:after="0"/>
              <w:rPr>
                <w:sz w:val="17"/>
                <w:szCs w:val="17"/>
                <w:color w:val="auto"/>
              </w:rPr>
            </w:pPr>
          </w:p>
        </w:tc>
        <w:tc>
          <w:tcPr>
            <w:tcW w:w="3160" w:type="dxa"/>
            <w:vAlign w:val="bottom"/>
          </w:tcPr>
          <w:p>
            <w:pPr>
              <w:ind w:left="200"/>
              <w:spacing w:after="0" w:line="201" w:lineRule="exact"/>
              <w:rPr>
                <w:sz w:val="20"/>
                <w:szCs w:val="20"/>
                <w:color w:val="auto"/>
              </w:rPr>
            </w:pPr>
            <w:r>
              <w:rPr>
                <w:rFonts w:ascii="Arial" w:cs="Arial" w:eastAsia="Arial" w:hAnsi="Arial"/>
                <w:sz w:val="18"/>
                <w:szCs w:val="18"/>
                <w:color w:val="auto"/>
              </w:rPr>
              <w:t>Net unrealized gain on investments,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160" w:type="dxa"/>
            <w:vAlign w:val="bottom"/>
          </w:tcPr>
          <w:p>
            <w:pPr>
              <w:ind w:left="400"/>
              <w:spacing w:after="0"/>
              <w:rPr>
                <w:sz w:val="20"/>
                <w:szCs w:val="20"/>
                <w:color w:val="auto"/>
              </w:rPr>
            </w:pPr>
            <w:r>
              <w:rPr>
                <w:rFonts w:ascii="Arial" w:cs="Arial" w:eastAsia="Arial" w:hAnsi="Arial"/>
                <w:sz w:val="18"/>
                <w:szCs w:val="18"/>
                <w:color w:val="auto"/>
              </w:rPr>
              <w:t>net of tax of $630</w:t>
            </w:r>
          </w:p>
        </w:tc>
        <w:tc>
          <w:tcPr>
            <w:tcW w:w="28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805</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stock plans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21,130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1,035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22,166</w:t>
            </w: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Tax benefits of employee stock</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transactions</w:t>
            </w:r>
          </w:p>
        </w:tc>
        <w:tc>
          <w:tcPr>
            <w:tcW w:w="28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2,280</w:t>
            </w:r>
          </w:p>
        </w:tc>
        <w:tc>
          <w:tcPr>
            <w:tcW w:w="38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2,280</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for treasury stock</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(47,047)</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(47,047)</w:t>
            </w: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 compensation (net of forfeitures)</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1,097</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1,678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2,775</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60</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366,723</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(3,467)</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(14,159)</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164,029</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(518,782)</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(5,596)</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(14,418)</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(14,418)</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2,667</w:t>
            </w:r>
          </w:p>
        </w:tc>
      </w:tr>
      <w:tr>
        <w:trPr>
          <w:trHeight w:val="202"/>
        </w:trPr>
        <w:tc>
          <w:tcPr>
            <w:tcW w:w="20" w:type="dxa"/>
            <w:vAlign w:val="bottom"/>
          </w:tcPr>
          <w:p>
            <w:pPr>
              <w:spacing w:after="0"/>
              <w:rPr>
                <w:sz w:val="17"/>
                <w:szCs w:val="17"/>
                <w:color w:val="auto"/>
              </w:rPr>
            </w:pPr>
          </w:p>
        </w:tc>
        <w:tc>
          <w:tcPr>
            <w:tcW w:w="3160" w:type="dxa"/>
            <w:vAlign w:val="bottom"/>
          </w:tcPr>
          <w:p>
            <w:pPr>
              <w:ind w:left="200"/>
              <w:spacing w:after="0" w:line="201" w:lineRule="exact"/>
              <w:rPr>
                <w:sz w:val="20"/>
                <w:szCs w:val="20"/>
                <w:color w:val="auto"/>
              </w:rPr>
            </w:pPr>
            <w:r>
              <w:rPr>
                <w:rFonts w:ascii="Arial" w:cs="Arial" w:eastAsia="Arial" w:hAnsi="Arial"/>
                <w:sz w:val="18"/>
                <w:szCs w:val="18"/>
                <w:color w:val="auto"/>
              </w:rPr>
              <w:t>Net unrealized gain on investments,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160" w:type="dxa"/>
            <w:vAlign w:val="bottom"/>
          </w:tcPr>
          <w:p>
            <w:pPr>
              <w:ind w:left="400"/>
              <w:spacing w:after="0"/>
              <w:rPr>
                <w:sz w:val="20"/>
                <w:szCs w:val="20"/>
                <w:color w:val="auto"/>
              </w:rPr>
            </w:pPr>
            <w:r>
              <w:rPr>
                <w:rFonts w:ascii="Arial" w:cs="Arial" w:eastAsia="Arial" w:hAnsi="Arial"/>
                <w:sz w:val="18"/>
                <w:szCs w:val="18"/>
                <w:color w:val="auto"/>
              </w:rPr>
              <w:t>net of tax of $17</w:t>
            </w:r>
          </w:p>
        </w:tc>
        <w:tc>
          <w:tcPr>
            <w:tcW w:w="28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stock plans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1,016</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Tax benefits of employee stock</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transactions</w:t>
            </w:r>
          </w:p>
        </w:tc>
        <w:tc>
          <w:tcPr>
            <w:tcW w:w="28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for treasury stock</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(13,880)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(13,880)</w:t>
            </w: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 compensation (net of forfeitures)</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550</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398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948</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60</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368,090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(3,069)</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(11,467)</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149,611</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(532,633)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(29,408)</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23,589</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23,589</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12,645</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12,645</w:t>
            </w:r>
          </w:p>
        </w:tc>
      </w:tr>
      <w:tr>
        <w:trPr>
          <w:trHeight w:val="202"/>
        </w:trPr>
        <w:tc>
          <w:tcPr>
            <w:tcW w:w="20" w:type="dxa"/>
            <w:vAlign w:val="bottom"/>
          </w:tcPr>
          <w:p>
            <w:pPr>
              <w:spacing w:after="0"/>
              <w:rPr>
                <w:sz w:val="17"/>
                <w:szCs w:val="17"/>
                <w:color w:val="auto"/>
              </w:rPr>
            </w:pPr>
          </w:p>
        </w:tc>
        <w:tc>
          <w:tcPr>
            <w:tcW w:w="3160" w:type="dxa"/>
            <w:vAlign w:val="bottom"/>
          </w:tcPr>
          <w:p>
            <w:pPr>
              <w:ind w:left="200"/>
              <w:spacing w:after="0" w:line="201" w:lineRule="exact"/>
              <w:rPr>
                <w:sz w:val="20"/>
                <w:szCs w:val="20"/>
                <w:color w:val="auto"/>
              </w:rPr>
            </w:pPr>
            <w:r>
              <w:rPr>
                <w:rFonts w:ascii="Arial" w:cs="Arial" w:eastAsia="Arial" w:hAnsi="Arial"/>
                <w:sz w:val="18"/>
                <w:szCs w:val="18"/>
                <w:color w:val="auto"/>
              </w:rPr>
              <w:t>Net unrealized gain on investments,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160" w:type="dxa"/>
            <w:vAlign w:val="bottom"/>
          </w:tcPr>
          <w:p>
            <w:pPr>
              <w:ind w:left="400"/>
              <w:spacing w:after="0"/>
              <w:rPr>
                <w:sz w:val="20"/>
                <w:szCs w:val="20"/>
                <w:color w:val="auto"/>
              </w:rPr>
            </w:pPr>
            <w:r>
              <w:rPr>
                <w:rFonts w:ascii="Arial" w:cs="Arial" w:eastAsia="Arial" w:hAnsi="Arial"/>
                <w:sz w:val="18"/>
                <w:szCs w:val="18"/>
                <w:color w:val="auto"/>
              </w:rPr>
              <w:t>net of tax of $55</w:t>
            </w:r>
          </w:p>
        </w:tc>
        <w:tc>
          <w:tcPr>
            <w:tcW w:w="28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12,777</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12,777</w:t>
            </w: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stock plans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39,662</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1,990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41,655</w:t>
            </w: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Tax benefits of employee stock</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transactions</w:t>
            </w:r>
          </w:p>
        </w:tc>
        <w:tc>
          <w:tcPr>
            <w:tcW w:w="28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3,930</w:t>
            </w:r>
          </w:p>
        </w:tc>
        <w:tc>
          <w:tcPr>
            <w:tcW w:w="38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3,930</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for treasury stock</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(43,434)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(43,434)</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4"/>
              </w:rPr>
              <w:t>Conversion of debt into shares of Class A</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(3,027)</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367,627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364,609</w:t>
            </w:r>
          </w:p>
        </w:tc>
      </w:tr>
      <w:tr>
        <w:trPr>
          <w:trHeight w:val="223"/>
        </w:trPr>
        <w:tc>
          <w:tcPr>
            <w:tcW w:w="20" w:type="dxa"/>
            <w:vAlign w:val="bottom"/>
          </w:tcPr>
          <w:p>
            <w:pPr>
              <w:spacing w:after="0"/>
              <w:rPr>
                <w:sz w:val="19"/>
                <w:szCs w:val="19"/>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 compensation (net of forfeitures)</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(151)</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1,223</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1,072</w:t>
            </w:r>
          </w:p>
        </w:tc>
      </w:tr>
      <w:tr>
        <w:trPr>
          <w:trHeight w:val="216"/>
        </w:trPr>
        <w:tc>
          <w:tcPr>
            <w:tcW w:w="20" w:type="dxa"/>
            <w:vAlign w:val="bottom"/>
          </w:tcPr>
          <w:p>
            <w:pPr>
              <w:spacing w:after="0"/>
              <w:rPr>
                <w:sz w:val="18"/>
                <w:szCs w:val="18"/>
                <w:color w:val="auto"/>
              </w:rPr>
            </w:pPr>
          </w:p>
        </w:tc>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72</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408,504</w:t>
            </w: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(1,846)</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173,200</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(206,450)</w:t>
            </w:r>
          </w:p>
        </w:tc>
        <w:tc>
          <w:tcPr>
            <w:tcW w:w="11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374,790</w:t>
            </w: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16,889</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16,889</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11,284</w:t>
            </w:r>
          </w:p>
        </w:tc>
      </w:tr>
      <w:tr>
        <w:trPr>
          <w:trHeight w:val="202"/>
        </w:trPr>
        <w:tc>
          <w:tcPr>
            <w:tcW w:w="20" w:type="dxa"/>
            <w:vAlign w:val="bottom"/>
          </w:tcPr>
          <w:p>
            <w:pPr>
              <w:spacing w:after="0"/>
              <w:rPr>
                <w:sz w:val="17"/>
                <w:szCs w:val="17"/>
                <w:color w:val="auto"/>
              </w:rPr>
            </w:pPr>
          </w:p>
        </w:tc>
        <w:tc>
          <w:tcPr>
            <w:tcW w:w="3160" w:type="dxa"/>
            <w:vAlign w:val="bottom"/>
          </w:tcPr>
          <w:p>
            <w:pPr>
              <w:ind w:left="200"/>
              <w:spacing w:after="0" w:line="201" w:lineRule="exact"/>
              <w:rPr>
                <w:sz w:val="20"/>
                <w:szCs w:val="20"/>
                <w:color w:val="auto"/>
              </w:rPr>
            </w:pPr>
            <w:r>
              <w:rPr>
                <w:rFonts w:ascii="Arial" w:cs="Arial" w:eastAsia="Arial" w:hAnsi="Arial"/>
                <w:sz w:val="18"/>
                <w:szCs w:val="18"/>
                <w:color w:val="auto"/>
              </w:rPr>
              <w:t>Net unrealized gain on investments,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160" w:type="dxa"/>
            <w:vAlign w:val="bottom"/>
          </w:tcPr>
          <w:p>
            <w:pPr>
              <w:ind w:left="400"/>
              <w:spacing w:after="0"/>
              <w:rPr>
                <w:sz w:val="20"/>
                <w:szCs w:val="20"/>
                <w:color w:val="auto"/>
              </w:rPr>
            </w:pPr>
            <w:r>
              <w:rPr>
                <w:rFonts w:ascii="Arial" w:cs="Arial" w:eastAsia="Arial" w:hAnsi="Arial"/>
                <w:sz w:val="18"/>
                <w:szCs w:val="18"/>
                <w:color w:val="auto"/>
              </w:rPr>
              <w:t>net of tax of $0</w:t>
            </w:r>
          </w:p>
        </w:tc>
        <w:tc>
          <w:tcPr>
            <w:tcW w:w="28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11,412</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11,412</w:t>
            </w: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stock plans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60,199</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7,714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67,916</w:t>
            </w: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Tax benefits of employee stock</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transactions</w:t>
            </w:r>
          </w:p>
        </w:tc>
        <w:tc>
          <w:tcPr>
            <w:tcW w:w="28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10,004</w:t>
            </w:r>
          </w:p>
        </w:tc>
        <w:tc>
          <w:tcPr>
            <w:tcW w:w="38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10,004</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for treasury stock</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(352,262)</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(352,262)</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78"/>
        </w:trPr>
        <w:tc>
          <w:tcPr>
            <w:tcW w:w="20" w:type="dxa"/>
            <w:vAlign w:val="bottom"/>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419"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Stock compensation (net of forfeitures)</w:t>
            </w:r>
          </w:p>
        </w:tc>
        <w:tc>
          <w:tcPr>
            <w:tcW w:w="5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7,006</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(5,707)</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1,299</w:t>
            </w:r>
          </w:p>
        </w:tc>
      </w:tr>
      <w:tr>
        <w:trPr>
          <w:trHeight w:val="223"/>
        </w:trPr>
        <w:tc>
          <w:tcPr>
            <w:tcW w:w="20" w:type="dxa"/>
            <w:vAlign w:val="bottom"/>
          </w:tcPr>
          <w:p>
            <w:pPr>
              <w:spacing w:after="0"/>
              <w:rPr>
                <w:sz w:val="19"/>
                <w:szCs w:val="19"/>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2004</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75</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$ 485,713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(7,553)</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12,722</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$ 190,089</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(550,998)</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130,048</w:t>
            </w:r>
          </w:p>
        </w:tc>
      </w:tr>
      <w:tr>
        <w:trPr>
          <w:trHeight w:val="20"/>
        </w:trPr>
        <w:tc>
          <w:tcPr>
            <w:tcW w:w="2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730"/>
              <w:spacing w:after="0"/>
              <w:rPr>
                <w:sz w:val="20"/>
                <w:szCs w:val="20"/>
                <w:color w:val="auto"/>
              </w:rPr>
            </w:pPr>
            <w:r>
              <w:rPr>
                <w:rFonts w:ascii="Arial" w:cs="Arial" w:eastAsia="Arial" w:hAnsi="Arial"/>
                <w:sz w:val="18"/>
                <w:szCs w:val="18"/>
                <w:color w:val="auto"/>
                <w:w w:val="79"/>
              </w:rPr>
              <w:t>45</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GARTNER,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3860"/>
        <w:spacing w:after="0"/>
        <w:rPr>
          <w:sz w:val="20"/>
          <w:szCs w:val="20"/>
          <w:color w:val="auto"/>
        </w:rPr>
      </w:pPr>
      <w:r>
        <w:rPr>
          <w:rFonts w:ascii="Arial" w:cs="Arial" w:eastAsia="Arial" w:hAnsi="Arial"/>
          <w:sz w:val="16"/>
          <w:szCs w:val="16"/>
          <w:color w:val="auto"/>
        </w:rPr>
        <w:t>Operating activities:</w:t>
      </w:r>
    </w:p>
    <w:p>
      <w:pPr>
        <w:spacing w:after="0" w:line="46" w:lineRule="exact"/>
        <w:rPr>
          <w:sz w:val="20"/>
          <w:szCs w:val="20"/>
          <w:color w:val="auto"/>
        </w:rPr>
      </w:pPr>
    </w:p>
    <w:p>
      <w:pPr>
        <w:jc w:val="right"/>
        <w:ind w:right="3840"/>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ind w:left="420" w:right="320" w:hanging="202"/>
        <w:spacing w:after="0" w:line="250" w:lineRule="auto"/>
        <w:rPr>
          <w:sz w:val="20"/>
          <w:szCs w:val="20"/>
          <w:color w:val="auto"/>
        </w:rPr>
      </w:pPr>
      <w:r>
        <w:rPr>
          <w:rFonts w:ascii="Arial" w:cs="Arial" w:eastAsia="Arial" w:hAnsi="Arial"/>
          <w:sz w:val="18"/>
          <w:szCs w:val="18"/>
          <w:color w:val="auto"/>
        </w:rPr>
        <w:t>Adjustments to reconcile net income (loss) to net cash provided by operating activities:</w:t>
      </w:r>
    </w:p>
    <w:p>
      <w:pPr>
        <w:spacing w:after="0" w:line="1" w:lineRule="exact"/>
        <w:rPr>
          <w:sz w:val="20"/>
          <w:szCs w:val="20"/>
          <w:color w:val="auto"/>
        </w:rPr>
      </w:pPr>
    </w:p>
    <w:p>
      <w:pPr>
        <w:ind w:left="220" w:right="1920"/>
        <w:spacing w:after="0" w:line="250" w:lineRule="auto"/>
        <w:rPr>
          <w:sz w:val="20"/>
          <w:szCs w:val="20"/>
          <w:color w:val="auto"/>
        </w:rPr>
      </w:pPr>
      <w:r>
        <w:rPr>
          <w:rFonts w:ascii="Arial" w:cs="Arial" w:eastAsia="Arial" w:hAnsi="Arial"/>
          <w:sz w:val="18"/>
          <w:szCs w:val="18"/>
          <w:color w:val="auto"/>
        </w:rPr>
        <w:t>Depreciation and amortization of intangibles Non-cash compensation</w:t>
      </w:r>
    </w:p>
    <w:p>
      <w:pPr>
        <w:spacing w:after="0" w:line="1" w:lineRule="exact"/>
        <w:rPr>
          <w:sz w:val="20"/>
          <w:szCs w:val="20"/>
          <w:color w:val="auto"/>
        </w:rPr>
      </w:pPr>
    </w:p>
    <w:p>
      <w:pPr>
        <w:ind w:left="220" w:right="600"/>
        <w:spacing w:after="0" w:line="250" w:lineRule="auto"/>
        <w:rPr>
          <w:sz w:val="20"/>
          <w:szCs w:val="20"/>
          <w:color w:val="auto"/>
        </w:rPr>
      </w:pPr>
      <w:r>
        <w:rPr>
          <w:rFonts w:ascii="Arial" w:cs="Arial" w:eastAsia="Arial" w:hAnsi="Arial"/>
          <w:sz w:val="18"/>
          <w:szCs w:val="18"/>
          <w:color w:val="auto"/>
        </w:rPr>
        <w:t>Tax benefit associated with employee exercise of stock options Deferred taxes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Loss (gain) from investments and sales of assets,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Accretion of interest and amortization of debt issue costs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Goodwill impairments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Non-cash charges associated with impairment of long-lived assets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assets and liabilities: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Fees receivable, net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commissions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revenues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payable and accrued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insurance recovery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Purchases of businesses</w:t>
      </w:r>
    </w:p>
    <w:p>
      <w:pPr>
        <w:spacing w:after="0" w:line="9" w:lineRule="exact"/>
        <w:rPr>
          <w:sz w:val="20"/>
          <w:szCs w:val="20"/>
          <w:color w:val="auto"/>
        </w:rPr>
      </w:pPr>
    </w:p>
    <w:p>
      <w:pPr>
        <w:ind w:left="220" w:right="1900"/>
        <w:spacing w:after="0" w:line="250" w:lineRule="auto"/>
        <w:rPr>
          <w:sz w:val="20"/>
          <w:szCs w:val="20"/>
          <w:color w:val="auto"/>
        </w:rPr>
      </w:pPr>
      <w:r>
        <w:rPr>
          <w:rFonts w:ascii="Arial" w:cs="Arial" w:eastAsia="Arial" w:hAnsi="Arial"/>
          <w:sz w:val="18"/>
          <w:szCs w:val="18"/>
          <w:color w:val="auto"/>
        </w:rPr>
        <w:t>Proceeds from sale of investments and assets Investments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Prepaid acquisition costs for Meta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Additions to property, equipment and leasehold improvements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stock issued for stock plans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Proceeds from issuance of debt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Payments on debt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Payments for debt issuance and debt conversion costs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Purchases of stock via tender offer, including costs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Purchases of treasury stock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Effects of exchange rates on 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beginning of period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end of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paid during the period for: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w:t>
      </w:r>
    </w:p>
    <w:p>
      <w:pPr>
        <w:spacing w:after="0" w:line="9" w:lineRule="exact"/>
        <w:rPr>
          <w:sz w:val="20"/>
          <w:szCs w:val="20"/>
          <w:color w:val="auto"/>
        </w:rPr>
      </w:pPr>
    </w:p>
    <w:p>
      <w:pPr>
        <w:jc w:val="both"/>
        <w:ind w:left="420" w:hanging="202"/>
        <w:spacing w:after="0" w:line="250" w:lineRule="auto"/>
        <w:rPr>
          <w:sz w:val="20"/>
          <w:szCs w:val="20"/>
          <w:color w:val="auto"/>
        </w:rPr>
      </w:pPr>
      <w:r>
        <w:rPr>
          <w:rFonts w:ascii="Arial" w:cs="Arial" w:eastAsia="Arial" w:hAnsi="Arial"/>
          <w:sz w:val="18"/>
          <w:szCs w:val="18"/>
          <w:color w:val="auto"/>
        </w:rPr>
        <w:t>Income taxes, net of refunds received of $1,342, $744, and $17,589 in Calendar 2004, 2003, and 2002, respectively, and $26,650 for Fiscal 2002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Supplemental schedule of non-cash investing and financing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Transfer of investment to SI II</w:t>
      </w:r>
    </w:p>
    <w:p>
      <w:pPr>
        <w:spacing w:after="0" w:line="9" w:lineRule="exact"/>
        <w:rPr>
          <w:sz w:val="20"/>
          <w:szCs w:val="20"/>
          <w:color w:val="auto"/>
        </w:rPr>
      </w:pPr>
    </w:p>
    <w:p>
      <w:pPr>
        <w:ind w:left="220" w:right="240"/>
        <w:spacing w:after="0" w:line="290" w:lineRule="auto"/>
        <w:rPr>
          <w:sz w:val="20"/>
          <w:szCs w:val="20"/>
          <w:color w:val="auto"/>
        </w:rPr>
      </w:pPr>
      <w:r>
        <w:rPr>
          <w:rFonts w:ascii="Arial" w:cs="Arial" w:eastAsia="Arial" w:hAnsi="Arial"/>
          <w:sz w:val="17"/>
          <w:szCs w:val="17"/>
          <w:color w:val="auto"/>
        </w:rPr>
        <w:t>Conversion of convertible debt to shares of Class A Common Stock Accretion of interest and debt discount on convertible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Fiscal Year</w:t>
            </w: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color w:val="auto"/>
              </w:rPr>
              <w:t>Year Ended December 31,</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4"/>
                <w:szCs w:val="14"/>
                <w:color w:val="auto"/>
              </w:rPr>
              <w:t>Transition</w:t>
            </w:r>
          </w:p>
        </w:tc>
        <w:tc>
          <w:tcPr>
            <w:tcW w:w="1120" w:type="dxa"/>
            <w:vAlign w:val="bottom"/>
            <w:gridSpan w:val="4"/>
          </w:tcPr>
          <w:p>
            <w:pPr>
              <w:jc w:val="center"/>
              <w:spacing w:after="0"/>
              <w:rPr>
                <w:sz w:val="20"/>
                <w:szCs w:val="20"/>
                <w:color w:val="auto"/>
              </w:rPr>
            </w:pPr>
            <w:r>
              <w:rPr>
                <w:rFonts w:ascii="Arial" w:cs="Arial" w:eastAsia="Arial" w:hAnsi="Arial"/>
                <w:sz w:val="14"/>
                <w:szCs w:val="14"/>
                <w:color w:val="auto"/>
                <w:w w:val="91"/>
              </w:rPr>
              <w:t>September 30,</w:t>
            </w:r>
          </w:p>
        </w:tc>
      </w:t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color w:val="auto"/>
              </w:rPr>
              <w:t>2004</w:t>
            </w: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30"/>
              <w:spacing w:after="0" w:line="142" w:lineRule="exact"/>
              <w:rPr>
                <w:sz w:val="20"/>
                <w:szCs w:val="20"/>
                <w:color w:val="auto"/>
              </w:rPr>
            </w:pPr>
            <w:r>
              <w:rPr>
                <w:rFonts w:ascii="Arial" w:cs="Arial" w:eastAsia="Arial" w:hAnsi="Arial"/>
                <w:sz w:val="14"/>
                <w:szCs w:val="14"/>
                <w:color w:val="auto"/>
              </w:rPr>
              <w:t>2003</w:t>
            </w: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2002</w:t>
            </w: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0"/>
              <w:spacing w:after="0" w:line="142" w:lineRule="exact"/>
              <w:rPr>
                <w:sz w:val="20"/>
                <w:szCs w:val="20"/>
                <w:color w:val="auto"/>
              </w:rPr>
            </w:pPr>
            <w:r>
              <w:rPr>
                <w:rFonts w:ascii="Arial" w:cs="Arial" w:eastAsia="Arial" w:hAnsi="Arial"/>
                <w:sz w:val="14"/>
                <w:szCs w:val="14"/>
                <w:color w:val="auto"/>
              </w:rPr>
              <w:t>2002</w:t>
            </w:r>
          </w:p>
        </w:tc>
        <w:tc>
          <w:tcPr>
            <w:tcW w:w="18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ind w:right="130"/>
              <w:spacing w:after="0" w:line="142" w:lineRule="exact"/>
              <w:rPr>
                <w:sz w:val="20"/>
                <w:szCs w:val="20"/>
                <w:color w:val="auto"/>
              </w:rPr>
            </w:pPr>
            <w:r>
              <w:rPr>
                <w:rFonts w:ascii="Arial" w:cs="Arial" w:eastAsia="Arial" w:hAnsi="Arial"/>
                <w:sz w:val="14"/>
                <w:szCs w:val="14"/>
                <w:color w:val="auto"/>
                <w:w w:val="89"/>
              </w:rPr>
              <w:t>2002</w:t>
            </w:r>
          </w:p>
        </w:tc>
        <w:tc>
          <w:tcPr>
            <w:tcW w:w="100" w:type="dxa"/>
            <w:vAlign w:val="bottom"/>
            <w:tcBorders>
              <w:bottom w:val="single" w:sz="8" w:color="auto"/>
            </w:tcBorders>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98"/>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16,889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23,589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15,118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5"/>
              </w:rPr>
              <w:t>(14,418)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48,423</w:t>
            </w:r>
          </w:p>
        </w:tc>
      </w:tr>
      <w:tr>
        <w:trPr>
          <w:trHeight w:val="63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28,337</w:t>
            </w:r>
          </w:p>
        </w:tc>
        <w:tc>
          <w:tcPr>
            <w:tcW w:w="30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37,320</w:t>
            </w:r>
          </w:p>
        </w:tc>
        <w:tc>
          <w:tcPr>
            <w:tcW w:w="1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45,655</w:t>
            </w:r>
          </w:p>
        </w:tc>
        <w:tc>
          <w:tcPr>
            <w:tcW w:w="30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11,628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44,453</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1,299</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3,286</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2,775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10,004</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3,930</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1,579</w:t>
            </w: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(8,613)</w:t>
            </w:r>
          </w:p>
        </w:tc>
        <w:tc>
          <w:tcPr>
            <w:tcW w:w="3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(4,139)</w:t>
            </w: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(7,383)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4,066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2,958</w:t>
            </w:r>
          </w:p>
        </w:tc>
        <w:tc>
          <w:tcPr>
            <w:tcW w:w="3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(4,740)</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3,644</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1,688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954</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18,649</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22,430</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5,734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22,116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2,711</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5,157</w:t>
            </w:r>
          </w:p>
        </w:tc>
        <w:tc>
          <w:tcPr>
            <w:tcW w:w="3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2,083</w:t>
            </w:r>
          </w:p>
        </w:tc>
        <w:tc>
          <w:tcPr>
            <w:tcW w:w="30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r>
      <w:tr>
        <w:trPr>
          <w:trHeight w:val="41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13,711</w:t>
            </w:r>
          </w:p>
        </w:tc>
        <w:tc>
          <w:tcPr>
            <w:tcW w:w="30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29,980</w:t>
            </w:r>
          </w:p>
        </w:tc>
        <w:tc>
          <w:tcPr>
            <w:tcW w:w="1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42,686</w:t>
            </w:r>
          </w:p>
        </w:tc>
        <w:tc>
          <w:tcPr>
            <w:tcW w:w="30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5"/>
              </w:rPr>
              <w:t>(13,748)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40,299</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(5,197)</w:t>
            </w:r>
          </w:p>
        </w:tc>
        <w:tc>
          <w:tcPr>
            <w:tcW w:w="3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15,602</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9,046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(788)</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2,578</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10,218</w:t>
            </w: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25,088</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(5,850)</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7,388</w:t>
            </w: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(14,764)</w:t>
            </w:r>
          </w:p>
        </w:tc>
        <w:tc>
          <w:tcPr>
            <w:tcW w:w="3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(4,467)</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(33,259)</w:t>
            </w: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(5,683)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(50,886)</w:t>
            </w: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1,393</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34,230</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13,535</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23,238</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(14,032)</w:t>
            </w: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48,201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6"/>
              </w:rPr>
              <w:t>136,337</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89"/>
              </w:rPr>
              <w:t>145,826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1,153</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2"/>
              </w:rPr>
              <w:t>145,552</w:t>
            </w:r>
          </w:p>
        </w:tc>
      </w:tr>
      <w:tr>
        <w:trPr>
          <w:trHeight w:val="64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5,464</w:t>
            </w:r>
          </w:p>
        </w:tc>
        <w:tc>
          <w:tcPr>
            <w:tcW w:w="1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(3,858)</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(4,537)</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6,264</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(1,960)</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(1,508)</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(1,508)</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(3,870)</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(25,104)</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2"/>
              </w:rPr>
              <w:t>(28,928)</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5"/>
              </w:rPr>
              <w:t>(21,124)</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(5,866)</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(19,639)</w:t>
            </w: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(28,974)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2"/>
              </w:rPr>
              <w:t>(25,424)</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5"/>
              </w:rPr>
              <w:t>(26,251)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(5,866)</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(19,420)</w:t>
            </w:r>
          </w:p>
        </w:tc>
      </w:tr>
      <w:tr>
        <w:trPr>
          <w:trHeight w:val="64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67,916</w:t>
            </w:r>
          </w:p>
        </w:tc>
        <w:tc>
          <w:tcPr>
            <w:tcW w:w="300" w:type="dxa"/>
            <w:vAlign w:val="bottom"/>
          </w:tcPr>
          <w:p>
            <w:pPr>
              <w:spacing w:after="0"/>
              <w:rPr>
                <w:sz w:val="24"/>
                <w:szCs w:val="24"/>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41,655</w:t>
            </w:r>
          </w:p>
        </w:tc>
        <w:tc>
          <w:tcPr>
            <w:tcW w:w="1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17,925</w:t>
            </w:r>
          </w:p>
        </w:tc>
        <w:tc>
          <w:tcPr>
            <w:tcW w:w="30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1,045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22,166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w w:val="98"/>
              </w:rPr>
              <w:t>200,000</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(15,000)</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(2,823)</w:t>
            </w:r>
          </w:p>
        </w:tc>
        <w:tc>
          <w:tcPr>
            <w:tcW w:w="300" w:type="dxa"/>
            <w:vAlign w:val="bottom"/>
          </w:tcPr>
          <w:p>
            <w:pPr>
              <w:spacing w:after="0"/>
              <w:rPr>
                <w:sz w:val="18"/>
                <w:szCs w:val="18"/>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w w:val="90"/>
              </w:rPr>
              <w:t>(346,150)</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(6,112)</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2"/>
              </w:rPr>
              <w:t>(43,434)</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5"/>
              </w:rPr>
              <w:t>(59,880)</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(13,880)</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(47,047)</w:t>
            </w: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(97,169)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(2,961)</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5"/>
              </w:rPr>
              <w:t>(42,193)</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(12,835)</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8"/>
              </w:rPr>
              <w:t>(40,119)</w:t>
            </w: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(77,942)</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w w:val="86"/>
              </w:rPr>
              <w:t>107,952</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77,382</w:t>
            </w:r>
          </w:p>
        </w:tc>
        <w:tc>
          <w:tcPr>
            <w:tcW w:w="30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5"/>
              </w:rPr>
              <w:t>(17,548)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86,013</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8,106</w:t>
            </w:r>
          </w:p>
        </w:tc>
        <w:tc>
          <w:tcPr>
            <w:tcW w:w="3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12,353</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4,844</w:t>
            </w:r>
          </w:p>
        </w:tc>
        <w:tc>
          <w:tcPr>
            <w:tcW w:w="30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2,412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1,652</w:t>
            </w: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8"/>
              </w:rPr>
              <w:t>229,962</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6"/>
              </w:rPr>
              <w:t>109,657</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27,431</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124,793</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37,128</w:t>
            </w:r>
          </w:p>
        </w:tc>
      </w:tr>
      <w:tr>
        <w:trPr>
          <w:trHeight w:val="223"/>
        </w:trPr>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8"/>
              </w:rPr>
              <w:t>160,126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6"/>
              </w:rPr>
              <w:t>229,962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89"/>
              </w:rPr>
              <w:t>109,657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109,657</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2"/>
              </w:rPr>
              <w:t>124,793</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r>
      <w:tr>
        <w:trPr>
          <w:trHeight w:val="858"/>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2,591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753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159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r>
      <w:tr>
        <w:trPr>
          <w:trHeight w:val="648"/>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12,474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12,174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5,105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(7,614)</w:t>
            </w:r>
          </w:p>
        </w:tc>
      </w:tr>
      <w:tr>
        <w:trPr>
          <w:trHeight w:val="418"/>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(2,186)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w w:val="86"/>
              </w:rPr>
              <w:t>364,609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16,456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20,401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5,239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-7426325</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-7151370</wp:posOffset>
            </wp:positionV>
            <wp:extent cx="72466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-6739890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-6465570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-6191250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-5916930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-5641975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-5367655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-5093335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-4801870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-4373245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-4098290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-3823970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-3532505</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-3103880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-2829560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-2555240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-2263140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-1971675</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-1680210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-1234440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-960120</wp:posOffset>
            </wp:positionV>
            <wp:extent cx="724662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-410845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-136525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5340" w:space="500"/>
            <w:col w:w="5580"/>
          </w:cols>
          <w:pgMar w:left="240" w:top="41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GARTNER, INC.</w:t>
      </w:r>
    </w:p>
    <w:p>
      <w:pPr>
        <w:spacing w:after="0" w:line="198" w:lineRule="exact"/>
        <w:rPr>
          <w:sz w:val="20"/>
          <w:szCs w:val="20"/>
          <w:color w:val="auto"/>
        </w:rPr>
      </w:pPr>
    </w:p>
    <w:p>
      <w:pPr>
        <w:ind w:right="3340" w:firstLine="3347"/>
        <w:spacing w:after="0" w:line="456" w:lineRule="auto"/>
        <w:rPr>
          <w:sz w:val="20"/>
          <w:szCs w:val="20"/>
          <w:color w:val="auto"/>
        </w:rPr>
      </w:pPr>
      <w:r>
        <w:rPr>
          <w:rFonts w:ascii="Arial" w:cs="Arial" w:eastAsia="Arial" w:hAnsi="Arial"/>
          <w:sz w:val="18"/>
          <w:szCs w:val="18"/>
          <w:b w:val="1"/>
          <w:bCs w:val="1"/>
          <w:color w:val="auto"/>
        </w:rPr>
        <w:t>NOTES TO CONSOLIDATED FINANCIAL STATEMENTS 1—SUMMARY OF SIGNIFICANT ACCOUNTING POLICIES</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Basis of presentation</w:t>
      </w:r>
      <w:r>
        <w:rPr>
          <w:rFonts w:ascii="Arial" w:cs="Arial" w:eastAsia="Arial" w:hAnsi="Arial"/>
          <w:sz w:val="16"/>
          <w:szCs w:val="16"/>
          <w:color w:val="auto"/>
        </w:rPr>
        <w:t>. On October 30, 2002, the Company announced that the Board of Directors approved a change in the Company’s fiscal year end from</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to December 31, effective January 1, 2003. This change resulted in a three-month transitional period ending December 31, 2002. References to Transition 2002, unless otherwise indicated, refer to the three-month transitional period ended December 31, 2002. References to Fiscal 2002 and Fiscal 2001, unless otherwise indicated, are to the respective fiscal year period from October 1 through September 30. References to Calendar 2004, Calendar 2003 and Calendar 2002, unless otherwise indicated, are to the respective twelve-month period from January 1 through December 31. The unaudited financial information for the twelve months ended December 31, 2002 is presented for comparative purposes. Certain prior year amounts have been reclassified to conform to the current year presentation. When used in these notes, the terms “Company,” “we,” “us,” or “our” mean Gartner, Inc. and its subsidiaries.</w:t>
      </w:r>
    </w:p>
    <w:p>
      <w:pPr>
        <w:spacing w:after="0" w:line="14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 The consolidated financial statements include the accounts of the Company and its majority-owned subsidiaries. All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intercompany transactions and balances have been eliminated. Investments in companies in which the Company owns less than 50% but have the ability to exercise significant influence over operating and financial policies are accounted for using the equity method. All other investments for which the Company does not have the ability to exercise significant influence are accounted for under the cost method of accounting. The results of operations for acquisitions of companies accounted for using the purchase method have been included in the Consolidated Statements of Operations beginning on the closing date of acquisition. Certain amounts in the prior year presentations have been reclassified to conform to the current year presentation.</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Revenues and commission expense recognition</w:t>
      </w:r>
      <w:r>
        <w:rPr>
          <w:rFonts w:ascii="Arial" w:cs="Arial" w:eastAsia="Arial" w:hAnsi="Arial"/>
          <w:sz w:val="17"/>
          <w:szCs w:val="17"/>
          <w:color w:val="auto"/>
        </w:rPr>
        <w:t>. The Company typically enters into annually renewable subscription contracts for research products.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from research products are deferred and recognized ratably over the applicable contract terms. The majority of research contracts are billable upon signing, absent special terms granted on a limited basis from time to time. All research contracts are non-cancelable and non-refundable, except for government contracts that have a 30-day cancellation clause but have not produced material cancellations to date. With the exception of certain government contracts which permit termination and contracts with special billing terms, it is Company policy to record the entire amount of the contract that is billable as a fee receivable at the time the contract is signed, which represents a legally enforceable claim, and a corresponding amount as deferred revenue. For those government contracts that permit termination, the Company bills the client the full amount billable under the contract but only records a receivable equal to the earned portion of the contract. In addition, the Company only records deferred revenue on these government contracts when cash is received. Deferred revenue attributable to government contracts was $40.9 million and $38.6 million at December 31, 2004 and 2003, respectively. In addition, at December 31, 2004 and 2003, the Company had not recognized receivables or deferred revenues relating to government contracts that permit termination of $4.2 million, and $6.6 million, respectively, which had been billed but not yet collected. The Company records the commission obligation related to research contracts upon the signing of the contract and amortizes the corresponding deferred commission expense over the contract period in which the related revenues are earned.</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Consulting revenues, primarily derived from consulting, measurement and strategic advisory services (paid one-day analyst engagements), are based primarily on fixed fees or time and materials for discrete projects. Such revenues are recognized as work is delivered and as services are provided and are evaluated on a contract by contract basis. Unbilled fees receivables associated with consulting engagements were $27.9 million at December 31, 2004 and $24.3 million at December 31, 2003.</w:t>
      </w:r>
    </w:p>
    <w:p>
      <w:pPr>
        <w:spacing w:after="0" w:line="160"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Events revenues are deferred and recognized upon the completion of the related symposium, conference or exhibition. In addition, the Company defers certain costs directly related to events and expenses these costs in the period during which the related symposium, conference or exhibition occurs. The Company policy is to defer only those costs, primarily prepaid site and production services costs, which are incremental and are directly attributable to a specific event. Other costs of organizing and producing Company events, primarily personnel and non-event specific expenses, are expensed in the period incurred. At the end of each fiscal quarter, the Company assesses on an event-by-event basis whether expected direct costs of producing a scheduled event will exceed expected revenues. If such costs are expected to exceed revenues, the Company records the expected loss in the period determined.</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revenues includes software licensing fees which are recognized when a signed non-cancelable software license exists, delivery has occurred, collection is probable, and the fees are fixed or determinable. Revenues from software maintenance is deferred and recognized ratably over the term of each maintenance agreement, which is typically twelve months.</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All highly liquid investments with original maturities of three months or less are classified as cash equivalents. The carrying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investments approximates fair value based upon their short-term maturity. Investments with maturities of more than three months are classified as marketable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Investments in equity securities</w:t>
      </w:r>
      <w:r>
        <w:rPr>
          <w:rFonts w:ascii="Arial" w:cs="Arial" w:eastAsia="Arial" w:hAnsi="Arial"/>
          <w:sz w:val="16"/>
          <w:szCs w:val="16"/>
          <w:color w:val="auto"/>
        </w:rPr>
        <w:t>. The Company accounts for its investments in publicly traded equity securities under Statement of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(“SFAS”) No. 115, “Accounting for Certain Investments in Debt and Equity Securities.” These investments meet the criteria for classification as available for sale, given the Company’s ability and intent to sell such investments, and are recorded at fair value and included in Other assets on the Consolidated Balance Sheets. Unrealized gains and losses on these marketable investments are recorded, net of tax, as a component of Accumulated other comprehensive income (loss) within the Stockholders’ equity section of the Consolidated Balance Sheets. Realized gains and losses are recorded in Gain (loss) on investments, net within the Consolidated Statements of Operations. The cost of equity securities sold is based on specific identification. The Company assesses the need to record impairment losses on investments and records such losses when the impairment of an investment is determined to be other than temporary in nature. In making this assessment, the Company considers the significance and duration of the decline in value and the valuation of comparable companies operating in the Internet and technology sectors. The impairment factors the Company evaluates may change in subsequent periods, since the entities underlying these investments operate in a volatile business environment. In addition, these entities may require additional financing to meet their cash and operational needs; however, there can be no assurance that such funds will be available to the extent needed at terms acceptable to the entities, if at all. These impairment losses are reflected in Gain (loss) on investments, net within the Consolidated Statements of Operations.</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accounts for investments that it does not have the ability to exercise significant influence over using the cost method of accounting. Accordingly, these investments are carried at the lower of cost or net realizable value and are included in Other assets in the Consolidated Balance Sheets (see Note 5 - Investments). The equity method is used to account for investments in entities that are not majority-owned and that the Company does not control but over which it has the ability to exercise significant influence.</w:t>
      </w:r>
    </w:p>
    <w:p>
      <w:pPr>
        <w:spacing w:after="0" w:line="1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Property, equipment and leasehold improvements</w:t>
      </w:r>
      <w:r>
        <w:rPr>
          <w:rFonts w:ascii="Arial" w:cs="Arial" w:eastAsia="Arial" w:hAnsi="Arial"/>
          <w:sz w:val="16"/>
          <w:szCs w:val="16"/>
          <w:color w:val="auto"/>
        </w:rPr>
        <w:t>. Property, equipment and leasehold improvements are stated at cost less accumulated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Property and equipment are depreciated using the straight-line method over the estimated useful lives of the assets. Leasehold improvements are amortized using the straight-line method over the shorter of the estimated useful lives of the assets or the remaining term of the related leases. Property, equipment and leasehold improvements, less accumulated depreciation and amortization consist of the following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540" w:type="dxa"/>
            <w:vAlign w:val="bottom"/>
            <w:vMerge w:val="restart"/>
          </w:tcPr>
          <w:p>
            <w:pPr>
              <w:jc w:val="right"/>
              <w:ind w:right="334"/>
              <w:spacing w:after="0"/>
              <w:rPr>
                <w:sz w:val="20"/>
                <w:szCs w:val="20"/>
                <w:color w:val="auto"/>
              </w:rPr>
            </w:pPr>
            <w:r>
              <w:rPr>
                <w:rFonts w:ascii="Arial" w:cs="Arial" w:eastAsia="Arial" w:hAnsi="Arial"/>
                <w:sz w:val="14"/>
                <w:szCs w:val="14"/>
                <w:color w:val="auto"/>
                <w:w w:val="94"/>
              </w:rPr>
              <w:t>Useful Life (Years)</w:t>
            </w:r>
          </w:p>
        </w:tc>
        <w:tc>
          <w:tcPr>
            <w:tcW w:w="100" w:type="dxa"/>
            <w:vAlign w:val="bottom"/>
          </w:tcPr>
          <w:p>
            <w:pPr>
              <w:spacing w:after="0"/>
              <w:rPr>
                <w:sz w:val="14"/>
                <w:szCs w:val="14"/>
                <w:color w:val="auto"/>
              </w:rPr>
            </w:pPr>
          </w:p>
        </w:tc>
        <w:tc>
          <w:tcPr>
            <w:tcW w:w="1960" w:type="dxa"/>
            <w:vAlign w:val="bottom"/>
            <w:gridSpan w:val="4"/>
          </w:tcPr>
          <w:p>
            <w:pPr>
              <w:jc w:val="right"/>
              <w:ind w:right="6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540" w:type="dxa"/>
            <w:vAlign w:val="bottom"/>
            <w:tcBorders>
              <w:bottom w:val="single" w:sz="8" w:color="auto"/>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2004</w:t>
            </w: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2003</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2 - 3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8"/>
              </w:rPr>
              <w:t>153,489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540" w:type="dxa"/>
            <w:vAlign w:val="bottom"/>
          </w:tcPr>
          <w:p>
            <w:pPr>
              <w:jc w:val="right"/>
              <w:ind w:right="334"/>
              <w:spacing w:after="0"/>
              <w:rPr>
                <w:sz w:val="20"/>
                <w:szCs w:val="20"/>
                <w:color w:val="auto"/>
              </w:rPr>
            </w:pPr>
            <w:r>
              <w:rPr>
                <w:rFonts w:ascii="Arial" w:cs="Arial" w:eastAsia="Arial" w:hAnsi="Arial"/>
                <w:sz w:val="18"/>
                <w:szCs w:val="18"/>
                <w:color w:val="auto"/>
              </w:rPr>
              <w:t>3 - 8</w:t>
            </w:r>
          </w:p>
        </w:tc>
        <w:tc>
          <w:tcPr>
            <w:tcW w:w="100" w:type="dxa"/>
            <w:vAlign w:val="bottom"/>
          </w:tcPr>
          <w:p>
            <w:pPr>
              <w:spacing w:after="0"/>
              <w:rPr>
                <w:sz w:val="18"/>
                <w:szCs w:val="18"/>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43,261</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2 - 15</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46,096</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w w:val="98"/>
              </w:rPr>
              <w:t>242,846</w:t>
            </w: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Less – accumulated depreciation and amortization</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0"/>
              </w:rPr>
              <w:t>(179,351)</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(167,825)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63,495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66,541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2004 and 2003, capitalized development costs for internal use software were $13.4 million and $13.1 million, respectively, net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accumulated amortization of $17.4 million and $32.5 million respectively. Amortization of capitalized internal software development costs totaled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$7.7 million, $10.6 million and $15.2 million (unaudited) during Calendar 2004, 2003, and 2002, respectively, $4.4 million during Transition 2002,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$15.7 million during Fiscal 2002.</w:t>
      </w:r>
    </w:p>
    <w:p>
      <w:pPr>
        <w:spacing w:after="0" w:line="170"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i w:val="1"/>
          <w:iCs w:val="1"/>
          <w:color w:val="auto"/>
        </w:rPr>
        <w:t>Software development costs</w:t>
      </w:r>
      <w:r>
        <w:rPr>
          <w:rFonts w:ascii="Arial" w:cs="Arial" w:eastAsia="Arial" w:hAnsi="Arial"/>
          <w:sz w:val="16"/>
          <w:szCs w:val="16"/>
          <w:color w:val="auto"/>
        </w:rPr>
        <w:t>. The Company capitalizes certain computer software development costs and enhancements, for software sold to customers,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establishment of technological feasibility, limited to the net realizable value of the software product, and cease capitalization when the software product is available for general release to clients. Until these products reach technological feasibility, all costs related to development efforts are charged to expense.</w:t>
      </w:r>
    </w:p>
    <w:p>
      <w:pPr>
        <w:ind w:right="100"/>
        <w:spacing w:after="0" w:line="269" w:lineRule="auto"/>
        <w:rPr>
          <w:sz w:val="20"/>
          <w:szCs w:val="20"/>
          <w:color w:val="auto"/>
        </w:rPr>
      </w:pPr>
      <w:r>
        <w:rPr>
          <w:rFonts w:ascii="Arial" w:cs="Arial" w:eastAsia="Arial" w:hAnsi="Arial"/>
          <w:sz w:val="17"/>
          <w:szCs w:val="17"/>
          <w:color w:val="auto"/>
        </w:rPr>
        <w:t>Once technological feasibility has been determined, additional costs incurred in development, including coding, testing, and documentation, are capitalized. Amortization of software development costs is provided on a product-by-product basis over the estimated economic life of the software, generally two years, using the straight-line method and is recorded within Depreciation. Amortization of capitalized computer software development costs begins when the products are available for general release to customers. Periodic reviews are performed to ensure that unamortized capitalized software development costs remain recoverable from future revenue. Capitalized software costs, net of accumulated amortization, were $0.3 million and $1.1 million at December 31, 2004 and 2003, respectively. Amortization expense was $0.9 million, $1.6 million and $1.5 million (unaudited) in Calendar 2004, 2003, and 2002, respectively, $0.4 million in Transition 2002, and $1.4 million in Fiscal 2002.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 Intangible assets are amortized using the straight-line method over their expected useful lives. Intangible assets subject to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the following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40" w:type="dxa"/>
            <w:vAlign w:val="bottom"/>
            <w:vMerge w:val="restart"/>
          </w:tcPr>
          <w:p>
            <w:pPr>
              <w:jc w:val="right"/>
              <w:ind w:right="334"/>
              <w:spacing w:after="0"/>
              <w:rPr>
                <w:sz w:val="20"/>
                <w:szCs w:val="20"/>
                <w:color w:val="auto"/>
              </w:rPr>
            </w:pPr>
            <w:r>
              <w:rPr>
                <w:rFonts w:ascii="Arial" w:cs="Arial" w:eastAsia="Arial" w:hAnsi="Arial"/>
                <w:sz w:val="14"/>
                <w:szCs w:val="14"/>
                <w:color w:val="auto"/>
                <w:w w:val="93"/>
              </w:rPr>
              <w:t>Amortization Period (Years)</w:t>
            </w:r>
          </w:p>
        </w:tc>
        <w:tc>
          <w:tcPr>
            <w:tcW w:w="140" w:type="dxa"/>
            <w:vAlign w:val="bottom"/>
          </w:tcPr>
          <w:p>
            <w:pPr>
              <w:spacing w:after="0"/>
              <w:rPr>
                <w:sz w:val="14"/>
                <w:szCs w:val="14"/>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040" w:type="dxa"/>
            <w:vAlign w:val="bottom"/>
            <w:tcBorders>
              <w:bottom w:val="single" w:sz="8" w:color="auto"/>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2004</w:t>
            </w: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2003</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2 - 5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Gross cost</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628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amortization</w:t>
            </w:r>
          </w:p>
        </w:tc>
        <w:tc>
          <w:tcPr>
            <w:tcW w:w="2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(548)</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(12,599)</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Non-compete agreements, net</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20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9 - 12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Gross cost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amortization</w:t>
            </w:r>
          </w:p>
        </w:tc>
        <w:tc>
          <w:tcPr>
            <w:tcW w:w="2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Trademarks and tradenames, net</w:t>
            </w:r>
          </w:p>
        </w:tc>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Aggregate amortization expense related to intangible assets was $0.7 million, $1.3 million, and $1.9 million (unaudited) for Calendar 2004, 2003, and 2002, respectively, $0.5 million for Transition 2002, and $1.9 million for Fiscal 2002. Estimated aggregate amortization expense for each of the next five Calendar years for intangible assets recorded in the Consolidated Balance Sheet as of December 31, 2004 is as follows (in thousands):</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24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auto"/>
            </w:tcBorders>
            <w:shd w:val="clear" w:color="auto" w:fill="CCEEFF"/>
          </w:tcPr>
          <w:p>
            <w:pPr>
              <w:spacing w:after="0"/>
              <w:rPr>
                <w:sz w:val="19"/>
                <w:szCs w:val="19"/>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Goodwill represents the excess of the purchase price of acquired businesses over the estimated fair value of the tangible and identifiable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net assets acquired. Effective October 1, 2001, the Company adopted SFAS No. 142, “Goodwill and Other Intangible Assets.” The adoption of SFAS No. 142 eliminated goodwill amortization. Instead, goodwill is tested for impairment at the reporting unit level, at least annually. A reporting unit can be an operating segment or a business if discrete financial information is prepared and reviewed by management. Under the impairment test, if a reporting unit’s carrying amount exceeds its estimated fair value, goodwill impairment is recognized to the extent that the reporting unit’s carrying amount of goodwill exceeds the implied fair value of the goodwill. The fair value of reporting units were estimated using discounted cash flows, market multiples, and other valuation techniques.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was allocated to the Company’s segments as follows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60" w:type="dxa"/>
            <w:vAlign w:val="bottom"/>
            <w:gridSpan w:val="3"/>
          </w:tcPr>
          <w:p>
            <w:pPr>
              <w:ind w:left="520"/>
              <w:spacing w:after="0"/>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color w:val="auto"/>
              </w:rPr>
              <w:t>2004</w:t>
            </w:r>
          </w:p>
        </w:tc>
        <w:tc>
          <w:tcPr>
            <w:tcW w:w="9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2003</w:t>
            </w:r>
          </w:p>
        </w:tc>
        <w:tc>
          <w:tcPr>
            <w:tcW w:w="1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5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$ 131,921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$ 128,896</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Consulting</w:t>
            </w:r>
          </w:p>
        </w:tc>
        <w:tc>
          <w:tcPr>
            <w:tcW w:w="5120" w:type="dxa"/>
            <w:vAlign w:val="bottom"/>
            <w:gridSpan w:val="2"/>
          </w:tcPr>
          <w:p>
            <w:pPr>
              <w:jc w:val="right"/>
              <w:ind w:right="142"/>
              <w:spacing w:after="0"/>
              <w:rPr>
                <w:sz w:val="20"/>
                <w:szCs w:val="20"/>
                <w:color w:val="auto"/>
              </w:rPr>
            </w:pPr>
            <w:r>
              <w:rPr>
                <w:rFonts w:ascii="Arial" w:cs="Arial" w:eastAsia="Arial" w:hAnsi="Arial"/>
                <w:sz w:val="18"/>
                <w:szCs w:val="18"/>
                <w:color w:val="auto"/>
              </w:rPr>
              <w:t>67,150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68,803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Events</w:t>
            </w:r>
          </w:p>
        </w:tc>
        <w:tc>
          <w:tcPr>
            <w:tcW w:w="5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30,606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30,606</w:t>
            </w: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4200" w:type="dxa"/>
            <w:vAlign w:val="bottom"/>
          </w:tcPr>
          <w:p>
            <w:pPr>
              <w:spacing w:after="0"/>
              <w:rPr>
                <w:sz w:val="19"/>
                <w:szCs w:val="19"/>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2,082</w:t>
            </w: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2,082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5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$ 231,759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$ 230,387</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Calendar 2004, the Company recorded goodwill impairment charges of $2.7 million in the Consulting segment related to certain operations in South America that were closed and for the exit from other non-core operations. The remaining changes in goodwill in the table above were the result of currency translation.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Impairment of long-lived assets and intangible assets</w:t>
      </w:r>
      <w:r>
        <w:rPr>
          <w:rFonts w:ascii="Arial" w:cs="Arial" w:eastAsia="Arial" w:hAnsi="Arial"/>
          <w:sz w:val="16"/>
          <w:szCs w:val="16"/>
          <w:color w:val="auto"/>
        </w:rPr>
        <w:t>. The Company reviews long-lived assets and intangible assets other than goodwill for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events or changes in circumstances indicate that the carrying amount of the respective asset may not be recoverable. Such evaluation may be based on a number of factors including current and projected operating results and cash flows, changes in management’s strategic direction as well as other economic and market variables. The Company’s policy regarding long-lived assets and intangible assets other than goodwill is to evaluate the recoverability of these assets by determining whether the balance can be recovered through undiscounted future operating cash flows. Should events or circumstances indicate that the carrying value might not be recoverable based on undiscounted future operating cash flows, an impairment loss would be recognized. The amount of impairment, if any, is measured based on the difference between projected discounted future operating cash flows using a discount rate reflecting the Company’s average cost of funds and the carrying value of the asset (see Note 6 — Other Charges).</w:t>
      </w:r>
    </w:p>
    <w:p>
      <w:pPr>
        <w:spacing w:after="0" w:line="13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All assets and liabilities of foreign subsidiaries are translated into U.S. dollars at exchange rates in effect at the balance sheet</w:t>
      </w:r>
      <w:r>
        <w:rPr>
          <w:rFonts w:ascii="Arial" w:cs="Arial" w:eastAsia="Arial" w:hAnsi="Arial"/>
          <w:sz w:val="17"/>
          <w:szCs w:val="17"/>
          <w:i w:val="1"/>
          <w:iCs w:val="1"/>
          <w:color w:val="auto"/>
        </w:rPr>
        <w:t xml:space="preserve"> </w:t>
      </w:r>
      <w:r>
        <w:rPr>
          <w:rFonts w:ascii="Arial" w:cs="Arial" w:eastAsia="Arial" w:hAnsi="Arial"/>
          <w:sz w:val="17"/>
          <w:szCs w:val="17"/>
          <w:color w:val="auto"/>
        </w:rPr>
        <w:t>date. The resulting translation adjustments are recorded as foreign currency translation adjustments, a component of Accumulated other comprehensive income (loss), net within the Stockholders’ equity section of the Consolidated Balance Sheets. Income and expense items are translated at average exchange rates for the year. Currency transaction gains or losses arising from transactions denominated in currencies other than the functional currency of a subsidiary are included in results of operations within Other income (expense), net within the Consolidated Statements of Operations. Currency transaction gains (losses), net were $(3.9) million during Calendar 2004, $0.5 million during Calendar 2003, $(0.4) million (unaudited) during Calendar, 2002, $(0.1) million during Transition 2002, and $(0.8) million during Fiscal 2002. The $(3.9) currency transaction loss in Calendar 2004 includes a foreign currency charge of $(3.1) million related to the closing of certain operations in South America.</w:t>
      </w:r>
    </w:p>
    <w:p>
      <w:pPr>
        <w:spacing w:after="0" w:line="13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Deferred tax assets and liabilities are recognized based on differences between the book and tax basis of assets and liabilities using presently</w:t>
      </w:r>
      <w:r>
        <w:rPr>
          <w:rFonts w:ascii="Arial" w:cs="Arial" w:eastAsia="Arial" w:hAnsi="Arial"/>
          <w:sz w:val="16"/>
          <w:szCs w:val="16"/>
          <w:i w:val="1"/>
          <w:iCs w:val="1"/>
          <w:color w:val="auto"/>
        </w:rPr>
        <w:t xml:space="preserve"> </w:t>
      </w:r>
      <w:r>
        <w:rPr>
          <w:rFonts w:ascii="Arial" w:cs="Arial" w:eastAsia="Arial" w:hAnsi="Arial"/>
          <w:sz w:val="16"/>
          <w:szCs w:val="16"/>
          <w:color w:val="auto"/>
        </w:rPr>
        <w:t>enacted tax rates. The provision for income taxes is the sum of the amount of income tax paid or payable for the year as determined by applying the provisions of enacted tax laws to taxable income for that year and the net changes during the year in deferred tax assets and liabilities. The Company credits additional paid-in capital for realized tax benefits arising from stock transactions with employees. The tax benefit on a nonqualified stock option is equal to the tax effect of the difference between the market price of the Company’s common stock on the date of exercise and the exercise price. Undistributed earnings of subsidiaries outside of the U.S. amounted to approximately $83.0 million as of December 31, 2004, for which no deferred taxes had been previously recorded in accordance with Accounting Principles Board Opinion No. 23, “Accounting for Income Taxes - Special Areas” (“APB 23”). The Company anticipates repatriating approximately $52.0 million of this amount in early 2005. Pursuant to the American Jobs Creation Act of 2004, a deferred tax charge of $5.0 million was included in tax expense for 2004. This charge is the Company’s best current estimate of the tax cost related to the dividend repatriation. Such estimate may be revised as a result of additional guidance or clarifying language that may be issued by Congress and/or the Department of the Treasury, or any changes in the Company’s factual assumptions that may occur.</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The Company’s financial instruments include cash and cash equivalents, fees receivable, accounts payable, and accruals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short-term in nature. The carrying amounts of these financial instruments approximate their fair value. Investments in publicly traded equity securities are valued based on quoted market prices. Investments in equity securities that are not publicly traded are valued at the lower of cost or net realizable value, which approximates fair market value.</w:t>
      </w:r>
    </w:p>
    <w:p>
      <w:pPr>
        <w:spacing w:after="0" w:line="16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At December 31, 2004, the Company had $190.0 million outstanding under its senior revolving credit facility. The carrying amount of these borrowings approximates fair value as the rate of interest on the revolving credit facility approximates current market rates of interest for similar instruments with comparable maturities.</w:t>
      </w:r>
    </w:p>
    <w:p>
      <w:pPr>
        <w:spacing w:after="0" w:line="14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Concentrations of credit risk</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that potentially subject the Company to concentrations of credit risk consist primarily of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marketable equity securities and fees receivable. Concentrations of credit risk with respect to fees receivable are limited due to the large number of clients comprising the client base and their dispersion across many different industries and geographic regions.</w:t>
      </w:r>
    </w:p>
    <w:p>
      <w:pPr>
        <w:spacing w:after="0" w:line="12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 The Company makes estimates and assumptions that affect the reported amounts of assets, liabilities and disclosures, if any, of contingent</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liabilities at the dates of the financial statements and the reported amounts of revenues and expenses during the reporting periods. Such estimates are required by generally accepted accounting principles in the United States of America in the Company’s preparation of its Consolidated Financial Statements. Actual results could differ from those estimates. Estimates are used when accounting for such items as allowance for doubtful accounts, investments, depreciation, amortization, income taxes and certain accrued liabilities.</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The Company has several stock-based compensation plans. The Company applies APB Opinion No. 25,</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Stock Issued to Employees” (“APB 25”) in accounting for our employee stock options and purchase rights and apply Statement of Financial Accounting Standards No. 123 “Accounting for Stock Issued to Employees” (“SFAS 123”) for disclosure purposes only. Under APB 25, the intrinsic value method is used to account for stock-based employee compensation plans. The SFAS 123 disclosures include pro forma net income and earnings per share as if the fair value-based method of accounting had been used. If compensation for employee stock compensation had been determined based on SFAS 123, the Company’s pro forma net income, and pro forma income per share would have been as follows (in thousands, except per share data):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color w:val="auto"/>
                <w:w w:val="87"/>
              </w:rPr>
              <w:t>Calendar</w:t>
            </w:r>
          </w:p>
        </w:tc>
        <w:tc>
          <w:tcPr>
            <w:tcW w:w="1340" w:type="dxa"/>
            <w:vAlign w:val="bottom"/>
            <w:gridSpan w:val="2"/>
          </w:tcPr>
          <w:p>
            <w:pPr>
              <w:jc w:val="right"/>
              <w:ind w:right="432"/>
              <w:spacing w:after="0"/>
              <w:rPr>
                <w:sz w:val="20"/>
                <w:szCs w:val="20"/>
                <w:color w:val="auto"/>
              </w:rPr>
            </w:pPr>
            <w:r>
              <w:rPr>
                <w:rFonts w:ascii="Arial" w:cs="Arial" w:eastAsia="Arial" w:hAnsi="Arial"/>
                <w:sz w:val="14"/>
                <w:szCs w:val="14"/>
                <w:color w:val="auto"/>
              </w:rPr>
              <w:t>Calendar</w:t>
            </w:r>
          </w:p>
        </w:tc>
        <w:tc>
          <w:tcPr>
            <w:tcW w:w="920" w:type="dxa"/>
            <w:vAlign w:val="bottom"/>
            <w:gridSpan w:val="2"/>
          </w:tcPr>
          <w:p>
            <w:pPr>
              <w:jc w:val="right"/>
              <w:ind w:right="212"/>
              <w:spacing w:after="0"/>
              <w:rPr>
                <w:sz w:val="20"/>
                <w:szCs w:val="20"/>
                <w:color w:val="auto"/>
              </w:rPr>
            </w:pPr>
            <w:r>
              <w:rPr>
                <w:rFonts w:ascii="Arial" w:cs="Arial" w:eastAsia="Arial" w:hAnsi="Arial"/>
                <w:sz w:val="14"/>
                <w:szCs w:val="14"/>
                <w:color w:val="auto"/>
                <w:w w:val="97"/>
              </w:rPr>
              <w:t>Transition</w:t>
            </w:r>
          </w:p>
        </w:tc>
        <w:tc>
          <w:tcPr>
            <w:tcW w:w="3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color w:val="auto"/>
              </w:rPr>
              <w:t>2004</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color w:val="auto"/>
              </w:rPr>
              <w:t>2003</w:t>
            </w: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2002</w:t>
            </w:r>
          </w:p>
        </w:tc>
        <w:tc>
          <w:tcPr>
            <w:tcW w:w="3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16,889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23,589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2"/>
              </w:rPr>
              <w:t>(14,418)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Stock-based compensation expense included in net income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net of tax</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930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563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 employee stock-based compensation cost, net of tax</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5"/>
              </w:rPr>
              <w:t>(12,570)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2"/>
              </w:rPr>
              <w:t>(16,665)</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(5,814)</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2"/>
              </w:rPr>
              <w:t>(30,116)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(loss)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5,249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7,621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2"/>
              </w:rPr>
              <w:t>(19,669)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20,075</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Basic income (loss) per share:</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8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0.04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(0.24)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As reported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0.13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(0.18)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fair value of the Company’s stock plans used to compute pro forma net income (loss) and diluted per share disclosures is the estimated fair value at grant date using the Black-Scholes option pricing model. The following weighted-average assumptions were utilized for stock options granted or modified: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color w:val="auto"/>
              </w:rPr>
              <w:t>Calendar</w:t>
            </w:r>
          </w:p>
        </w:tc>
        <w:tc>
          <w:tcPr>
            <w:tcW w:w="1300" w:type="dxa"/>
            <w:vAlign w:val="bottom"/>
          </w:tcPr>
          <w:p>
            <w:pPr>
              <w:jc w:val="right"/>
              <w:ind w:right="476"/>
              <w:spacing w:after="0"/>
              <w:rPr>
                <w:sz w:val="20"/>
                <w:szCs w:val="20"/>
                <w:color w:val="auto"/>
              </w:rPr>
            </w:pPr>
            <w:r>
              <w:rPr>
                <w:rFonts w:ascii="Arial" w:cs="Arial" w:eastAsia="Arial" w:hAnsi="Arial"/>
                <w:sz w:val="14"/>
                <w:szCs w:val="14"/>
                <w:color w:val="auto"/>
              </w:rPr>
              <w:t>Calendar</w:t>
            </w:r>
          </w:p>
        </w:tc>
        <w:tc>
          <w:tcPr>
            <w:tcW w:w="1100" w:type="dxa"/>
            <w:vAlign w:val="bottom"/>
          </w:tcPr>
          <w:p>
            <w:pPr>
              <w:jc w:val="right"/>
              <w:ind w:right="376"/>
              <w:spacing w:after="0"/>
              <w:rPr>
                <w:sz w:val="20"/>
                <w:szCs w:val="20"/>
                <w:color w:val="auto"/>
              </w:rPr>
            </w:pPr>
            <w:r>
              <w:rPr>
                <w:rFonts w:ascii="Arial" w:cs="Arial" w:eastAsia="Arial" w:hAnsi="Arial"/>
                <w:sz w:val="14"/>
                <w:szCs w:val="14"/>
                <w:color w:val="auto"/>
              </w:rPr>
              <w:t>Transition</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Fiscal</w:t>
            </w: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4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4"/>
                <w:szCs w:val="14"/>
                <w:color w:val="auto"/>
              </w:rPr>
              <w:t>2004</w:t>
            </w:r>
          </w:p>
        </w:tc>
        <w:tc>
          <w:tcPr>
            <w:tcW w:w="130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color w:val="auto"/>
              </w:rPr>
              <w:t>2003</w:t>
            </w:r>
          </w:p>
        </w:tc>
        <w:tc>
          <w:tcPr>
            <w:tcW w:w="110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Arial" w:cs="Arial" w:eastAsia="Arial" w:hAnsi="Arial"/>
                <w:sz w:val="14"/>
                <w:szCs w:val="14"/>
                <w:color w:val="auto"/>
              </w:rPr>
              <w:t>2002</w:t>
            </w:r>
          </w:p>
        </w:tc>
        <w:tc>
          <w:tcPr>
            <w:tcW w:w="7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2002</w:t>
            </w:r>
          </w:p>
        </w:tc>
        <w:tc>
          <w:tcPr>
            <w:tcW w:w="16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0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3.8</w:t>
            </w:r>
          </w:p>
        </w:tc>
        <w:tc>
          <w:tcPr>
            <w:tcW w:w="13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3.6</w:t>
            </w:r>
          </w:p>
        </w:tc>
        <w:tc>
          <w:tcPr>
            <w:tcW w:w="11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40%</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43%</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47%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3.0%</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2.0%</w:t>
            </w:r>
          </w:p>
        </w:tc>
        <w:tc>
          <w:tcPr>
            <w:tcW w:w="11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0.0%</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0.0%</w:t>
            </w: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fair values of the Company’s stock options granted in Calendar 2004, Calendar 2003, Transition 2002 and Fiscal 2002 are $4.20, $3.10, $2.93, and $3.67, respectively.</w:t>
      </w:r>
    </w:p>
    <w:p>
      <w:pPr>
        <w:spacing w:after="0" w:line="143"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Recently issued accounting standards</w:t>
      </w:r>
      <w:r>
        <w:rPr>
          <w:rFonts w:ascii="Arial" w:cs="Arial" w:eastAsia="Arial" w:hAnsi="Arial"/>
          <w:sz w:val="16"/>
          <w:szCs w:val="16"/>
          <w:color w:val="auto"/>
        </w:rPr>
        <w:t>. In December 2004, the Financial Accounting Standards Board issued Statement of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123R, Share-Based Payments (“SFAS 123R”). The rule replaces SFAS 123 and APB 25 and will require the recognition of expense for share-based payments, to include the value of stock options granted to employees. The revised rule is effective for periods beginning after June 15, 2005, but early adoption is permitted. The Company plans to adopt the new rule on July 1, 2005. The Company is currently assessing the impact the revised rule will have on its financial position, cash flows, and results of operations, and believe it may have a material effect on the Company’s results of operations.</w:t>
      </w:r>
    </w:p>
    <w:p>
      <w:pPr>
        <w:spacing w:after="0" w:line="11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December 2003, the FASB issued SFAS No. 132 (Revised), “Employer’s Disclosures about Pensions and Other Postretirement Benefits” (“SFAS 132R”). SFAS 132R requires additional disclosures relating to assets, obligations, cash flows and net periodic pension cost. SFAS 132R is effective for fiscal years ending after December 31, 2003. The Company’s required SFAS 132R disclosure is included in Note 14 –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2—ANNOUNCED ACQUISITION OF META</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On December 27, 2004, the Company and META announced an agreement under which the Company will acquire META in an all-cash transaction for</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$10.00 per share, or approximately $162.0 million, excluding transaction costs. META is a publicly owned, premier information technology and research firm based in Stamford, Connecticut with 715 employees. In 2004, META generated $141.5 million in revenue from 52 worldwide locations and had $90.8 million of assets at December 31, 2004. META trades on the NASDAQ National Market under the symbol “METG.” The Boards of Directors of both firms have approved the agreement, and on January 31, 2004, the Company announced that notice had been received from the Federal Trade Commission of early termination of the waiting period under the Hart-Scott-Rodino Antitrust Improvements Act concerning its planned acquisition of META. META filed its definitive proxy statement with the SEC on February 17, 2005 and is scheduled to hold a special meeting of stockholders to approve the transaction on March 23, 2005. Closing of the transaction, which is subject to customary closing conditions, including approval by META’s stockholders, is expected to be effective April 1, 2005. See Note 9 – Commitments and Contingencies for additional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3—CORRECTION OF SFAS 87 ACCOUNTING TREATMENT</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Prior to Calendar 2004, the Company did not apply the requirements of SFAS 87 – “Employers’ Accounting for Pensions” (SFAS 87) to a defined-benefit pension plan in one of its international locations. The plan is statutory in nature and covers approximately 85 individuals. The Company has determined that approximately $0.7 million of pension expense, net of tax, for this plan should have been recorded over the period 1994 through Calendar 2003 in accordance with the requirements of SFAS 87. Although the impact of this additional expense is immaterial, the Company has restated its financial statements for Calendar 2003 and Fiscal 2002 to record the pension expense as a correction of an error in prior periods. The effect of these adjustments on previously reported operating results and earnings per share is summarized below. The impact of the adjustments reduced total assets by $3.2 million and total liabilities by $2.4 million at December 31, 2003. The impact of the adjustments prior to Fiscal 2002 reduced retained earnings by approximately $0.5 million. There was no effect on the previously reported liquidity or net operating cash flows for either Calendar 2003 or Fiscal 2002. In Calendar 2004, the Company is recording pension expense in accordance with SFAS 87.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of the restatement on prior periods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tcPr>
          <w:p>
            <w:pPr>
              <w:ind w:left="340"/>
              <w:spacing w:after="0"/>
              <w:rPr>
                <w:sz w:val="20"/>
                <w:szCs w:val="20"/>
                <w:color w:val="auto"/>
              </w:rPr>
            </w:pPr>
            <w:r>
              <w:rPr>
                <w:rFonts w:ascii="Arial" w:cs="Arial" w:eastAsia="Arial" w:hAnsi="Arial"/>
                <w:sz w:val="14"/>
                <w:szCs w:val="14"/>
                <w:color w:val="auto"/>
              </w:rPr>
              <w:t>Calendar 2003</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Fiscal 2002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As Reported</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2"/>
              </w:rPr>
              <w:t>Restated</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As Reported</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5"/>
              </w:rPr>
              <w:t>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47,461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47,333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96,375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96,183</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23,693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23,589</w:t>
            </w:r>
          </w:p>
        </w:tc>
        <w:tc>
          <w:tcPr>
            <w:tcW w:w="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48,578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48,423</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Diluted income per share</w:t>
            </w: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0.26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 w:type="dxa"/>
            <w:vAlign w:val="bottom"/>
            <w:tcBorders>
              <w:bottom w:val="single" w:sz="8" w:color="auto"/>
            </w:tcBorders>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0.47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Company’s previously reported annual financial statements was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4—BUSINESS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2002</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June 10, 2002, the Company acquired the remaining 49.9% of People3, Inc., an authority on IT human capital. People3 has been integrated with the Company’s consulting segment. Prior to this acquisition, the Company owned 50.1% of People3 and consolidated its assets and liabilities and results of operations. Revenues in Fiscal 2002 were approximately $6.9 million. The purchase price was $3.9 million, of which $0.2 million was allocated to non-compete agreements, $0.3 million was allocated to database-related assets and $3.4 million was allocated to goodwill. The non-compete agreements are being amortized over the life of the agreements, three-years. The database-related assets are being amortized over their estimated useful life of five years. In December 2004, the Company decided to shutdown the operations of this non-core product line, the effects of which were immaterial.</w:t>
      </w:r>
    </w:p>
    <w:p>
      <w:pPr>
        <w:spacing w:after="0" w:line="1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Fiscal 2002, the Company completed additional acquisitions for total consideration of approximately $0.7 million, of which $0.1 million was allocated to tangible assets, $0.8 million was allocated to goodwill, $0.2 million was allocated to non-compete agreements and $0.4 million was allocated to liabilities assumed. The non-compete agreements are being amortized over the five-year term of this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5—INVESTMENTS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2004, the Company’s investments in marketable equity securities and other investments had a cost basis and a fair value of $7.0 million and are included in Other assets in the Consolidated Balance Sheet. At December 31, 2004, the Company had an unrealized gain of $0.1 million related to these investments.</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owns equity securities through two limited partnerships, SI Venture Associates (“SI I”) and SI Venture Fund II (“SI II”), which are venture capital funds engaged in making investments in early to mid-stage IT-based or Internet-enabled companies, of which the Company owns 100% of SI I and 22% of SI II at December 31, 2004. In the fourth quarter of Calendar 2004, the Company made the decision to liquidate SI I and to sell the Company’s interest in SI 11. In addition, in the fourth quarter of Calendar 2004 the Company recorded a charge of $1.5 million related to the liquidation of SI I, to include $0.8 million for the writedown of the investment and $0.7 million in related shutdown charges. No charges were recorded on SI II in the fourth quarter of Calendar 2004 related to the planned sale since the carrying value of the investment approximates its net realizable value. In the third quarter of Calendar 2004, the Company recorded a non-cash charge of $2.2 million related to the transfer of its investment in TruSecure to SI II, as well as a decrease in its ownership percentage in SI II of seven hundred basis points. As a result of this transfer and the decrease in ownership, the Company was relieved of all future capital calls, which totaled $4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Impairment losses on these investments are reflected in Gain (loss) on investments, net in the Consolidated Statements of Operations. The carrying value of the Company’s investments held by SI I and SI II was zero and $6.7 million, respectively, at December 31, 2004. The investment in SI II is not presented separately on the balance sheet as a held for sale asset as the amount is not material.</w:t>
      </w:r>
    </w:p>
    <w:p>
      <w:pPr>
        <w:spacing w:after="0" w:line="15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At December 31, 2003, the Company’s investments in marketable equity securities and other investments had a cost basis and a fair value of $10.9 million. Unrealized gains and losses at December 31, 2003 were individually insignificant. During Calendar 2003, the Company received proceeds of approximately $5.5 million, recorded as gain on investments, on insurance proceeds received associated with a negotiated settlement regarding a claim, which occurred in Fiscal 2000, arising from the sale of GartnerLearning. On September 1, 1998, the Company sold GartnerLearning, a division that provided technology based training and services for IT professionals, to NETg Inc. (“NETg”), a subsidiary of Harcourt, Inc. (formerly Harcourt Brace &amp; Company), and the Company recorded a pre-tax loss of approximately $2.0 million. In addition, the Company recorded an additional loss, as a loss on investments, of $6.7 million during Fiscal 2000 in connection with a negotiated settlement of a claim arising from the sale of GartnerLearning.</w:t>
      </w:r>
    </w:p>
    <w:p>
      <w:pPr>
        <w:spacing w:after="0" w:line="12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During Calendar 2003, the Company recorded an impairment loss of $0.9 million on a minority-owned investment that is not publicly traded. The Company evaluated the investment for impairment because of the investee’s recapitalization due to its lack of capital resources to redeem its mandatorily redeemable equity. As a result of this, the holders of the mandatorily redeemable shares have agreed to a recapitalization of the entity. At December 31, 2003, the Company wrote the investment down to estimated of fair value. The estimate of fair value was based upon a combination of valuation techniques including a discounted cash flow analysis of future projections of operating performance, market comparables and other available information.</w:t>
      </w:r>
    </w:p>
    <w:p>
      <w:pPr>
        <w:spacing w:after="0" w:line="1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Transition 2002, the Company recognized impairment losses of $1.7 million associated with the Company’s investment in SI I and SI II. During Fiscal 2002, the Company sold 748,118 shares of CNET for $6.0 million resulting in a pre-tax gain of $0.8 million, and recognized impairment losses related to its SI investments of $2.5 million.</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share of equity gains in SI I and SI II was $0.1 million for both Calendar 2004 and 2003, $0.01 million for Transition 2002, and $0.2 million for Fiscal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 and Other Investments – Related Party</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owns 100% of SI I and 22% of SI II at December 31, 2004. Both entities are managed by SI Services Company, L.L.C., an entity controlled by a former CEO and Chairman of the Board, who continues to be paid pursuant to the terms of his employment agreement with the Company, and certain of the Company’s former officers and employees. Management fees incurred for SI Services Company, L.L.C. are approximately $1.2 million per year. In addition, the Company provides access to research and the use of certain office space at no cost to SI Services Company, LLC. The Company had a total original investment commitment to SI I and SI II of $10.0 million and $30.0 million, respectively. The commitment to SI I was fully funded in prior years. The Company made contributions to the SI investments of $2.0 million and $1.5 million during Calendar 2003 and Fiscal 2002, respectively. No contributions were made during Transition 2002. Of the $30.0 million commitment to SI II, $4.0 million remained unfunded at December 31, 2003. In the third quarter of Calendar 2004, the Company recorded a non-cash charge of $2.2 million related to the transfer of its investment in TruSecure to SI II, as well as a decrease in ownership percentage in SI II of seven hundred basis points. As a result of this transfer and the decrease in ownership, the Company was relieved of all future capital calls for SI II.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6—OTHER CHARGES</w:t>
      </w:r>
    </w:p>
    <w:p>
      <w:pPr>
        <w:spacing w:after="0" w:line="18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During the fourth quarter of Calendar 2004 the Company recorded Other charges of $11.9 million, of which $5.9 million was for severance and benefits related to an announced workforce reduction. The Company severed 40 employees and expects additional workforce reductions to occur during the first quarter of Calendar 2005 as part of this effort. Other charges of $4.3 million during the third quarter of Calendar 2004 primarily included severance costs associated with the departure of the Company’s President and COO and former Chairman and CEO of $3.1 million and $0.8 million, respectively. Other charges of $9.1 million during the second quarter of Calendar 2004 included $3.8 million of severance costs associated with the departure of the Company’s former Chairman and CEO, as well as $5.3 million of costs associated with the termination of 30 additional employees. During the first quarter of Calendar 2004, other charges of $10.5 million were primarily associated with a realignment of our workforce. This workforce realignment was a continuation of the action plan initiated during the fourth quarter of Calendar 2003 and has resulted in the termination of 132 employees, or approximately 4% of the Company’s workforce, bringing the total terminations to 262 employees associated with the action plan previously announced in December 2003.</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For all of Calendar 2004, the Company recorded total charges of $29.7 million related to the realignment of the Company’s workforce, including costs of</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$7.7 million related to the departure of the Company’s President and COO and our former Chairman and CEO. This realignment resulted in the termination of 203 employees for the full year. The annualized savings from the termination of these employees should be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approximately $23.3 million. However, the Company plans to reinvest a significant portion of these savings into improving its products, processes, and infrastructure to help drive future growth.</w:t>
      </w:r>
    </w:p>
    <w:p>
      <w:pPr>
        <w:spacing w:after="0" w:line="14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Additionally, during the fourth quarter of Calendar 2004, the Company revised its estimates of previously recorded costs and losses associated with excess facilities and recorded $2.3 million of additional provisions. The revised estimate was due to a decline in market lease rates for expected subleases, as well as a reduction in estimated periods of subleases. The Company also recorded a charge of $1.9 million in the fourth quarter of Calendar 2004 related to the restructuring of certain internal systems, and $1.8 million for charges related to the exit from certain international and other non-core operations.</w:t>
      </w:r>
    </w:p>
    <w:p>
      <w:pPr>
        <w:spacing w:after="0" w:line="11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Calendar 2003, the Company recorded Other charges of $29.7 million. Of these charges, $20.0 million are associated with the Company’s workforce reductions; $5.4 million is associated with the workforce reduction announced in February 2003, and $14.6 million is associated with the workforce reduction announced in December 2003. These workforce reductions resulted in the termination of 222 employees and the payment of $7.6 million during Calendar 2003. In addition, approximately $9.7 million of these charges relate to additional estimated costs and losses associated with excess facilities that were previously reserved for as other charges during Fiscal 2002 and Transition 2002. The increase in the estimated costs and losses on these facilities was a result of the continued decline in market rents for the associated facility, as well as changes in estimates of timing of sublease income.</w:t>
      </w:r>
    </w:p>
    <w:p>
      <w:pPr>
        <w:spacing w:after="0" w:line="12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Transition 2002, the Company recorded other charges of $32.2 million. Of these charges, $13.3 million relates to costs and losses associated with the elimination and reduction of excess facilities, principally leased facilities and ongoing lease costs and losses associated with sub-lease arrangements. In addition, approximately $18.9 million of these charges are associated with the Company’s workforce reduction and are for employee termination severance payments and related benefits. This workforce reduction resulted in the elimination of 175 positions, or approximately 4% of the Company’s workforce at the time, and the payment of $11.0 million of termination benefits during Calendar 2003.</w:t>
      </w:r>
    </w:p>
    <w:p>
      <w:pPr>
        <w:spacing w:after="0" w:line="14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Fiscal 2002, the Company recorded other charges of $17.2 million. Of these charges, $10.0 million relates to costs and losses associated with the elimination of excess facilities, principally leased facilities and ongoing lease costs and losses associated with sub-lease arrangements. In addition, approximately $5.8 million of these charges are associated with the Company’s workforce reduction announced in January 2002 and are for employee termination severance payments and related benefits. This workforce reduction resulted in the elimination of approximately 100 positions, or approximately 2% of the Company’s workforce at the time.</w:t>
      </w:r>
    </w:p>
    <w:p>
      <w:pPr>
        <w:spacing w:after="0" w:line="14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At December 31, 2004, $9.3 million of the aggregate termination benefits relating to the workforce reductions remain to be paid, primarily in the quarters ended March 31 and June 30, 2005. In addition, costs for excess facilities will be paid until Calendar 2011, while the asset impairments and other will be paid out during the first and second quarters of Calendar 2005. The Company will fund these costs from existing cash.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liability for the restructuring programs recorded as other charges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20" w:type="dxa"/>
            <w:vAlign w:val="bottom"/>
            <w:gridSpan w:val="2"/>
          </w:tcPr>
          <w:p>
            <w:pPr>
              <w:jc w:val="right"/>
              <w:ind w:right="151"/>
              <w:spacing w:after="0"/>
              <w:rPr>
                <w:sz w:val="20"/>
                <w:szCs w:val="20"/>
                <w:color w:val="auto"/>
              </w:rPr>
            </w:pPr>
            <w:r>
              <w:rPr>
                <w:rFonts w:ascii="Arial" w:cs="Arial" w:eastAsia="Arial" w:hAnsi="Arial"/>
                <w:sz w:val="14"/>
                <w:szCs w:val="14"/>
                <w:color w:val="auto"/>
              </w:rPr>
              <w:t>Workforce</w:t>
            </w:r>
          </w:p>
        </w:tc>
        <w:tc>
          <w:tcPr>
            <w:tcW w:w="32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color w:val="auto"/>
              </w:rPr>
              <w:t>Excess</w:t>
            </w:r>
          </w:p>
        </w:tc>
        <w:tc>
          <w:tcPr>
            <w:tcW w:w="32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Asset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920" w:type="dxa"/>
            <w:vAlign w:val="bottom"/>
            <w:gridSpan w:val="2"/>
          </w:tcPr>
          <w:p>
            <w:pPr>
              <w:jc w:val="right"/>
              <w:ind w:right="151"/>
              <w:spacing w:after="0" w:line="149" w:lineRule="exact"/>
              <w:rPr>
                <w:sz w:val="20"/>
                <w:szCs w:val="20"/>
                <w:color w:val="auto"/>
              </w:rPr>
            </w:pPr>
            <w:r>
              <w:rPr>
                <w:rFonts w:ascii="Arial" w:cs="Arial" w:eastAsia="Arial" w:hAnsi="Arial"/>
                <w:sz w:val="14"/>
                <w:szCs w:val="14"/>
                <w:color w:val="auto"/>
              </w:rPr>
              <w:t>Reduction</w:t>
            </w:r>
          </w:p>
        </w:tc>
        <w:tc>
          <w:tcPr>
            <w:tcW w:w="320" w:type="dxa"/>
            <w:vAlign w:val="bottom"/>
          </w:tcPr>
          <w:p>
            <w:pPr>
              <w:spacing w:after="0"/>
              <w:rPr>
                <w:sz w:val="12"/>
                <w:szCs w:val="12"/>
                <w:color w:val="auto"/>
              </w:rPr>
            </w:pPr>
          </w:p>
        </w:tc>
        <w:tc>
          <w:tcPr>
            <w:tcW w:w="80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99"/>
              </w:rPr>
              <w:t>Facilities</w:t>
            </w: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Impairments</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Costs</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Costs</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6"/>
              </w:rPr>
              <w:t>and Other</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at September 30, 2001</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6,599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Charges during Fiscal 2002</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5,808</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w w:val="98"/>
              </w:rPr>
              <w:t>10,014</w:t>
            </w:r>
          </w:p>
        </w:tc>
        <w:tc>
          <w:tcPr>
            <w:tcW w:w="3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1,424</w:t>
            </w:r>
          </w:p>
        </w:tc>
        <w:tc>
          <w:tcPr>
            <w:tcW w:w="3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charges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(2,663)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(1,424)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2"/>
              </w:rPr>
              <w:t>(11,629)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(3,263)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at September 30, 2002</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4,088</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Charges during Transition 2002</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18,899</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w w:val="98"/>
              </w:rPr>
              <w:t>13,267</w:t>
            </w:r>
          </w:p>
        </w:tc>
        <w:tc>
          <w:tcPr>
            <w:tcW w:w="3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charges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(601)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(7,233)</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(760)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at December 31, 2002</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11,723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8"/>
              </w:rPr>
              <w:t>15,936</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Charges during Calendar 2003</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9,716</w:t>
            </w:r>
          </w:p>
        </w:tc>
        <w:tc>
          <w:tcPr>
            <w:tcW w:w="3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29,716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charges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2"/>
              </w:rPr>
              <w:t>(18,784)</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(6,493)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at December 31, 2003</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12,816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8"/>
              </w:rPr>
              <w:t>19,159</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Charges during Calendar 2004</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29,707</w:t>
            </w:r>
          </w:p>
        </w:tc>
        <w:tc>
          <w:tcPr>
            <w:tcW w:w="320" w:type="dxa"/>
            <w:vAlign w:val="bottom"/>
          </w:tcPr>
          <w:p>
            <w:pPr>
              <w:spacing w:after="0"/>
              <w:rPr>
                <w:sz w:val="18"/>
                <w:szCs w:val="18"/>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2,263</w:t>
            </w:r>
          </w:p>
        </w:tc>
        <w:tc>
          <w:tcPr>
            <w:tcW w:w="32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5,784</w:t>
            </w:r>
          </w:p>
        </w:tc>
        <w:tc>
          <w:tcPr>
            <w:tcW w:w="3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charges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(4,251)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2"/>
              </w:rPr>
              <w:t>(32,759)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(4,247)</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at December 31, 2004</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9,268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8"/>
              </w:rPr>
              <w:t>17,175</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960" w:type="dxa"/>
            <w:vAlign w:val="bottom"/>
            <w:vMerge w:val="restart"/>
          </w:tcPr>
          <w:p>
            <w:pPr>
              <w:jc w:val="right"/>
              <w:ind w:right="1330"/>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900"/>
        <w:spacing w:after="0" w:line="545" w:lineRule="auto"/>
        <w:rPr>
          <w:sz w:val="20"/>
          <w:szCs w:val="20"/>
          <w:color w:val="auto"/>
        </w:rPr>
      </w:pPr>
      <w:r>
        <w:rPr>
          <w:rFonts w:ascii="Arial" w:cs="Arial" w:eastAsia="Arial" w:hAnsi="Arial"/>
          <w:sz w:val="17"/>
          <w:szCs w:val="17"/>
          <w:b w:val="1"/>
          <w:bCs w:val="1"/>
          <w:color w:val="auto"/>
        </w:rPr>
        <w:t xml:space="preserve">7—ACCOUNTS PAYABLE AND ACCRUED LIABILITIES AND OTHER ASSETS </w:t>
      </w:r>
      <w:r>
        <w:rPr>
          <w:rFonts w:ascii="Arial" w:cs="Arial" w:eastAsia="Arial" w:hAnsi="Arial"/>
          <w:sz w:val="17"/>
          <w:szCs w:val="17"/>
          <w:color w:val="auto"/>
        </w:rPr>
        <w:t>Accounts payable and accrued liabilities consist of the following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3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w w:val="96"/>
              </w:rPr>
              <w:t>2004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2003</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720" w:type="dxa"/>
            <w:vAlign w:val="bottom"/>
            <w:gridSpan w:val="4"/>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0"/>
              </w:rPr>
              <w:t>20,337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Payroll and related benefits payable</w:t>
            </w: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color w:val="auto"/>
                <w:w w:val="90"/>
              </w:rPr>
              <w:t>58,433</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w:t>
            </w: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0"/>
              </w:rPr>
              <w:t>23,337</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Accounts payable</w:t>
            </w: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color w:val="auto"/>
                <w:w w:val="90"/>
              </w:rPr>
              <w:t>12,706</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Severance associated with other charges (Note 6)</w:t>
            </w: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9,268</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Excess facilities costs associated with other charges (Note 6)</w:t>
            </w: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color w:val="auto"/>
                <w:w w:val="90"/>
              </w:rPr>
              <w:t>17,175</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5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0"/>
              </w:rPr>
              <w:t>40,246</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49,216</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Total accounts payable and accrued liabilities</w:t>
            </w:r>
          </w:p>
        </w:tc>
        <w:tc>
          <w:tcPr>
            <w:tcW w:w="2540" w:type="dxa"/>
            <w:vAlign w:val="bottom"/>
          </w:tcPr>
          <w:p>
            <w:pPr>
              <w:spacing w:after="0"/>
              <w:rPr>
                <w:sz w:val="19"/>
                <w:szCs w:val="19"/>
                <w:color w:val="auto"/>
              </w:rPr>
            </w:pPr>
          </w:p>
        </w:tc>
        <w:tc>
          <w:tcPr>
            <w:tcW w:w="9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8"/>
                <w:szCs w:val="18"/>
                <w:color w:val="auto"/>
                <w:w w:val="84"/>
              </w:rPr>
              <w:t>$ 181,502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180,432</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Other assets consist of the following (in thousands):</w:t>
            </w:r>
          </w:p>
        </w:tc>
        <w:tc>
          <w:tcPr>
            <w:tcW w:w="2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92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4"/>
          </w:tcPr>
          <w:p>
            <w:pPr>
              <w:ind w:left="3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2004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2003</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2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1,488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Investment in unconsolidated subsidiaries</w:t>
            </w: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7,002</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8"/>
              </w:rPr>
              <w:t>43,055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Benefit plan related assets</w:t>
            </w: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98"/>
              </w:rPr>
              <w:t>17,373</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Prepaid acquisition costs for META</w:t>
            </w: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6,039</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Debt issuance costs</w:t>
            </w: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2,468</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532</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Total other assets</w:t>
            </w:r>
          </w:p>
        </w:tc>
        <w:tc>
          <w:tcPr>
            <w:tcW w:w="25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8"/>
              </w:rPr>
              <w:t>77,957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66,519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8—DEBT</w:t>
      </w:r>
    </w:p>
    <w:p>
      <w:pPr>
        <w:spacing w:after="0" w:line="189"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The Company has an unsecured Credit Agreement with JPMorgan Chase Bank, as administrative agent for the participating financial institutions thereunder, providing for a maximum of $200.0 million of borrowings under a senior term A facility, and a five year, $100.0 million revolving credit facility. During the third quarter of 2004, the Company borrowed $200 million under the term A loan facility, receiving net proceeds after debt issuance costs of $197.2 million. In accordance with the requirements of the term A loan facility, the Company made a loan payment of $10.0 million in the fourth quarter of Calendar 2004.</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At December 31, 2004, there was $190.0 million outstanding on the term loan facility and $3.5 million of letters of credit outstanding under the revolving credit facility.</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facilities bear interest equal to LIBOR plus an applicable margin that varies based on specified leverage ratios. At December 31, 2004, the current interest rate was 3.59%. The term A loan facility is payable in equal quarterly installments over a five year period ending August 12, 2009. The credit facilities are subject to mandatory prepayments from a portion of proceeds from asset sales and proceeds from certain future debt issuances. The credit agreement includes customary affirmative, negative and financial covenants primarily based on the Company’s financial results and other measures such as contract value. As a result of these covenants, our borrowing availability at December 31, 2004 was $59.2 million. The facilities also include commitment fees on the unused portion of the revolving credit facility not subject to letters of credit. The Company paid a commitment fee of 0.30% to 0.50% on the unused revolving credit amount. During Calendar 2004, the weighted-average interest rate on the borrowings, which were only outstanding during the third and fourth quarter, was 3.28%.</w:t>
      </w:r>
    </w:p>
    <w:p>
      <w:pPr>
        <w:spacing w:after="0" w:line="15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Subsequent to December 31, 2004, the Company entered into an amendment of the Credit Agreement covenant requirements, which resulted in additional borrowing capacity under the revolving credit facility. As a result, the amended borrowing availability under the revolving credit facility would have been $96.5 million at December 31, 2004.</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17, 2000, the Company issued, in a private placement transaction, $300.0 million of 6% convertible subordinated notes (the “convertible notes”) to Silver Lake Partners, L.P. (“Silver Lake”) and other noteholders. The convertible notes were scheduled to mature in April 2005 and had been accruing interest at 6% per annum. Interest had accrued semi-annually by a corresponding increase in the face amount of the convertible notes commencing September 15, 2000.</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2003, the convertible notes were converted into 49,441,122 shares of Gartner Class A Common Stock in accordance with the original terms of the notes. The determination of the number of shares issued upon conversion was based upon a $7.45 conversion price and a convertible note of $368.3 million, consisting of the original face amount of $300 million plus accrued interest of $68.3 million. The unamortized balances of debt issue costs of $2.8 million and debt discount of $0.3 million as of the conversion date were netted</w:t>
      </w:r>
    </w:p>
    <w:p>
      <w:pPr>
        <w:sectPr>
          <w:pgSz w:w="11900" w:h="16838" w:orient="portrait"/>
          <w:cols w:equalWidth="0" w:num="1">
            <w:col w:w="11420"/>
          </w:cols>
          <w:pgMar w:left="240" w:top="419" w:right="2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against the outstanding principal and interest balances, resulting in a $365.2 million increase to stockholders’ equity. Additionally, certain costs directly associated with the conversion, such as regulatory filing, banking and legal fees, totaling $0.6 million, were charged to equity.</w:t>
      </w:r>
    </w:p>
    <w:p>
      <w:pPr>
        <w:spacing w:after="0" w:line="12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part of the original private placement transaction, two Silver Lake representatives were elected to our ten-member Board of Directors. The Company also granted to Silver Lake the right to acquire 5% of any Company subsidiary that is spun off or spun out at 80% of the initial public offering price.</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issues letters of credit in the ordinary course of business. At December 31, 2004, the Company had outstanding letters of credit with JPMorgan Chase Bank for $3.5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On December 27, 2004, the Company announced that it would acquire META in an all-cash transaction valued at $10.00 per share, or approximately</w:t>
      </w:r>
    </w:p>
    <w:p>
      <w:pPr>
        <w:spacing w:after="0" w:line="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$162.0 million, excluding transaction costs. While subject to regulatory and shareholder approvals, the Company believes the transaction will close in the second quarter of Calendar 2005. In order to fund the purchase of META, the Company anticipates that it will use a combination of cash and the Company’s amended five-year revolving credit facility. In connection with funding the META transaction, the Company anticipates repatriating $52.0 million in cash earnings from its non-US subsidiaries in early 2005. At December 31, 2004, the Company had a $1.7 million nonrefundable obligation related to the META acquisition.</w:t>
      </w:r>
    </w:p>
    <w:p>
      <w:pPr>
        <w:spacing w:after="0" w:line="15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leases various facilities, furniture and computer equipment under operating lease arrangements expiring between 2005 and 2025. Future minimum annual payments under non-cancelable operating lease agreements at December 31, 2004 are as follows (in thousands):</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Year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4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29,899</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2006</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23,311</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20,701</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2008</w:t>
            </w: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18,879</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18,217</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4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206,936</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operating leases was $25.2 million for Calendar 2004, $25.5 million for Calendar 2003, $7.0 million for Transition 2002, and</w:t>
      </w:r>
    </w:p>
    <w:p>
      <w:pPr>
        <w:spacing w:after="0" w:line="23"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$27.6 million for Fiscal 2002. The Company also has commitments for office services, such as printing, copying, shipping and mail services, which expire at various dates in 2005. The minimum obligation under these agreements is approximately $1.8 million in the aggregate.</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is involved in legal proceedings and litigation arising in the ordinary course of business. The Company believes the outcome of all current proceedings, claims and litigation will not have a material effect on the Company’s financial position or results of operations when resolved in a future period.</w:t>
      </w:r>
    </w:p>
    <w:p>
      <w:pPr>
        <w:spacing w:after="0" w:line="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various agreements that may obligate it to indemnify the other party with respect to certain matters. Generally, these indemnification clauses are included in contracts arising in the normal course of business under which it customarily agrees to hold the other party harmless against losses arising from a breach of representations related to such matters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December 31, 2004, the Company was not aware of any indemnification agreements that would require material payments.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10—STOCKHOLDERS’ EQUITY</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Capital stock</w:t>
      </w:r>
      <w:r>
        <w:rPr>
          <w:rFonts w:ascii="Arial" w:cs="Arial" w:eastAsia="Arial" w:hAnsi="Arial"/>
          <w:sz w:val="18"/>
          <w:szCs w:val="18"/>
          <w:color w:val="auto"/>
        </w:rPr>
        <w:t>. Holders of Class A Common Stock and Class B Common Stock are entitled to one vote per share on all matters to be voted by stockholders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vote together as a single class, other than with respect to the election of directors. Class A Common Stock stockholders are entitled to one vote per share on the election of Class A directors, which constitute no more than 20% of the directors, and Class B Common Stock stockholders are entitled to one vote per share on the election of Class B directors, which constitute at least 80% of the directors. In addition, any Class B Common Stock holder who owns more than 15% of the outstanding Class B Common Stock, will not be able to vote all of his or her Class B Common Stock in the election of directors unless such holder owns an equivalent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percentage of Class A Common Stock.</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February 2005, the Company announced that its Board of Directors approved the elimination of its classified Board structure and approved the combination of the Company’s Class A and Class B common shares. Both of these items are subject to stockholder approval at the Company’s annual meeting to take place in the late spring or early summer of 2005.</w:t>
      </w:r>
    </w:p>
    <w:p>
      <w:pPr>
        <w:spacing w:after="0" w:line="14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does not currently pay cash dividends on its Class A or Class B common stock. While subject to periodic review, the current policy of the Board of Directors is to retain all earnings primarily to provide funds for continued growth. The Credit Agreement, dated August 12, 2004, contains a negative covenant which may limit the Company’s ability to pay dividends. In addition, the Amended and Restated Security Holders Agreement with Silver Lake Partners, L.P. requires the Company to obtain Silver Lake’s consent prior to declaring or paying dividends.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transactions relating to the Company’s common stocks: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820" w:type="dxa"/>
            <w:vAlign w:val="bottom"/>
            <w:gridSpan w:val="3"/>
          </w:tcPr>
          <w:p>
            <w:pPr>
              <w:jc w:val="right"/>
              <w:ind w:right="920"/>
              <w:spacing w:after="0"/>
              <w:rPr>
                <w:sz w:val="20"/>
                <w:szCs w:val="20"/>
                <w:color w:val="auto"/>
              </w:rPr>
            </w:pPr>
            <w:r>
              <w:rPr>
                <w:rFonts w:ascii="Arial" w:cs="Arial" w:eastAsia="Arial" w:hAnsi="Arial"/>
                <w:sz w:val="14"/>
                <w:szCs w:val="14"/>
                <w:color w:val="auto"/>
              </w:rPr>
              <w:t>Class A Common Stock</w:t>
            </w:r>
          </w:p>
        </w:tc>
        <w:tc>
          <w:tcPr>
            <w:tcW w:w="2340" w:type="dxa"/>
            <w:vAlign w:val="bottom"/>
            <w:gridSpan w:val="3"/>
          </w:tcPr>
          <w:p>
            <w:pPr>
              <w:ind w:left="420"/>
              <w:spacing w:after="0"/>
              <w:rPr>
                <w:sz w:val="20"/>
                <w:szCs w:val="20"/>
                <w:color w:val="auto"/>
              </w:rPr>
            </w:pPr>
            <w:r>
              <w:rPr>
                <w:rFonts w:ascii="Arial" w:cs="Arial" w:eastAsia="Arial" w:hAnsi="Arial"/>
                <w:sz w:val="14"/>
                <w:szCs w:val="14"/>
                <w:color w:val="auto"/>
              </w:rPr>
              <w:t>Class B Common Stock</w:t>
            </w:r>
          </w:p>
        </w:tc>
      </w:tr>
      <w:tr>
        <w:trPr>
          <w:trHeight w:val="123"/>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left="33"/>
              <w:spacing w:after="0" w:line="123" w:lineRule="exact"/>
              <w:rPr>
                <w:sz w:val="20"/>
                <w:szCs w:val="20"/>
                <w:color w:val="auto"/>
              </w:rPr>
            </w:pPr>
            <w:r>
              <w:rPr>
                <w:rFonts w:ascii="Arial" w:cs="Arial" w:eastAsia="Arial" w:hAnsi="Arial"/>
                <w:sz w:val="14"/>
                <w:szCs w:val="14"/>
                <w:color w:val="auto"/>
                <w:w w:val="90"/>
              </w:rPr>
              <w:t>Treasury</w:t>
            </w:r>
          </w:p>
        </w:tc>
        <w:tc>
          <w:tcPr>
            <w:tcW w:w="4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53"/>
              <w:spacing w:after="0" w:line="123" w:lineRule="exact"/>
              <w:rPr>
                <w:sz w:val="20"/>
                <w:szCs w:val="20"/>
                <w:color w:val="auto"/>
              </w:rPr>
            </w:pPr>
            <w:r>
              <w:rPr>
                <w:rFonts w:ascii="Arial" w:cs="Arial" w:eastAsia="Arial" w:hAnsi="Arial"/>
                <w:sz w:val="14"/>
                <w:szCs w:val="14"/>
                <w:color w:val="auto"/>
                <w:w w:val="90"/>
              </w:rPr>
              <w:t>Treasury</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300" w:type="dxa"/>
            <w:vAlign w:val="bottom"/>
          </w:tcPr>
          <w:p>
            <w:pPr>
              <w:jc w:val="right"/>
              <w:ind w:right="513"/>
              <w:spacing w:after="0" w:line="149" w:lineRule="exact"/>
              <w:rPr>
                <w:sz w:val="20"/>
                <w:szCs w:val="20"/>
                <w:color w:val="auto"/>
              </w:rPr>
            </w:pPr>
            <w:r>
              <w:rPr>
                <w:rFonts w:ascii="Arial" w:cs="Arial" w:eastAsia="Arial" w:hAnsi="Arial"/>
                <w:sz w:val="14"/>
                <w:szCs w:val="14"/>
                <w:color w:val="auto"/>
              </w:rPr>
              <w:t>Issued</w:t>
            </w: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Stock</w:t>
            </w:r>
          </w:p>
        </w:tc>
        <w:tc>
          <w:tcPr>
            <w:tcW w:w="1160" w:type="dxa"/>
            <w:vAlign w:val="bottom"/>
          </w:tcPr>
          <w:p>
            <w:pPr>
              <w:jc w:val="right"/>
              <w:ind w:right="433"/>
              <w:spacing w:after="0" w:line="149" w:lineRule="exact"/>
              <w:rPr>
                <w:sz w:val="20"/>
                <w:szCs w:val="20"/>
                <w:color w:val="auto"/>
              </w:rPr>
            </w:pPr>
            <w:r>
              <w:rPr>
                <w:rFonts w:ascii="Arial" w:cs="Arial" w:eastAsia="Arial" w:hAnsi="Arial"/>
                <w:sz w:val="14"/>
                <w:szCs w:val="14"/>
                <w:color w:val="auto"/>
              </w:rPr>
              <w:t>Issued</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Stock</w:t>
            </w:r>
          </w:p>
        </w:tc>
      </w:tr>
      <w:tr>
        <w:trPr>
          <w:trHeight w:val="167"/>
        </w:trPr>
        <w:tc>
          <w:tcPr>
            <w:tcW w:w="20" w:type="dxa"/>
            <w:vAlign w:val="bottom"/>
          </w:tcPr>
          <w:p>
            <w:pPr>
              <w:spacing w:after="0"/>
              <w:rPr>
                <w:sz w:val="14"/>
                <w:szCs w:val="14"/>
                <w:color w:val="auto"/>
              </w:rPr>
            </w:pPr>
          </w:p>
        </w:tc>
        <w:tc>
          <w:tcPr>
            <w:tcW w:w="6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Shares</w:t>
            </w: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85"/>
              </w:rPr>
              <w:t>Shares</w:t>
            </w: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Shares</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5"/>
              </w:rPr>
              <w:t>Shares</w:t>
            </w: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2001</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78,009,277</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26,621,154</w:t>
            </w:r>
          </w:p>
        </w:tc>
        <w:tc>
          <w:tcPr>
            <w:tcW w:w="11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7"/>
              </w:rPr>
              <w:t>40,689,648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8,141,820</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Issuances under stock plans</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1,989,240</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(563,829)</w:t>
            </w:r>
          </w:p>
        </w:tc>
        <w:tc>
          <w:tcPr>
            <w:tcW w:w="11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Purchases for treasury</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2,153,400</w:t>
            </w:r>
          </w:p>
        </w:tc>
        <w:tc>
          <w:tcPr>
            <w:tcW w:w="11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2,311,700</w:t>
            </w: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Forfeitures of restricted stock</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(11,836)</w:t>
            </w:r>
          </w:p>
        </w:tc>
        <w:tc>
          <w:tcPr>
            <w:tcW w:w="1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2002</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79,986,681</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28,210,725</w:t>
            </w:r>
          </w:p>
        </w:tc>
        <w:tc>
          <w:tcPr>
            <w:tcW w:w="11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7"/>
              </w:rPr>
              <w:t>40,689,648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10,453,520</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Issuances under stock plans</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124,847</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(15,399)</w:t>
            </w:r>
          </w:p>
        </w:tc>
        <w:tc>
          <w:tcPr>
            <w:tcW w:w="11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Purchases for treasury</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963,117</w:t>
            </w:r>
          </w:p>
        </w:tc>
        <w:tc>
          <w:tcPr>
            <w:tcW w:w="11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453,600</w:t>
            </w: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Forfeitures of restricted stock</w:t>
            </w: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(5,508)</w:t>
            </w:r>
          </w:p>
        </w:tc>
        <w:tc>
          <w:tcPr>
            <w:tcW w:w="1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3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80,106,020</w:t>
            </w:r>
          </w:p>
        </w:tc>
        <w:tc>
          <w:tcPr>
            <w:tcW w:w="152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29,158,443</w:t>
            </w:r>
          </w:p>
        </w:tc>
        <w:tc>
          <w:tcPr>
            <w:tcW w:w="11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97"/>
              </w:rPr>
              <w:t>40,689,648</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10,907,120</w:t>
            </w: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Issuances under stock plans</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4,037,656</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(784,916)</w:t>
            </w:r>
          </w:p>
        </w:tc>
        <w:tc>
          <w:tcPr>
            <w:tcW w:w="11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Purchases for treasury</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3,435,161</w:t>
            </w:r>
          </w:p>
        </w:tc>
        <w:tc>
          <w:tcPr>
            <w:tcW w:w="11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1,549,485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Issuance of shares upon conversion of debt</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18,302,271</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(31,138,851)</w:t>
            </w:r>
          </w:p>
        </w:tc>
        <w:tc>
          <w:tcPr>
            <w:tcW w:w="11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Forfeitures of restricted stock</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(9,847)</w:t>
            </w:r>
          </w:p>
        </w:tc>
        <w:tc>
          <w:tcPr>
            <w:tcW w:w="152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Balance at December 31, 2003</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w w:val="99"/>
              </w:rPr>
              <w:t>102,436,100</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669,837</w:t>
            </w:r>
          </w:p>
        </w:tc>
        <w:tc>
          <w:tcPr>
            <w:tcW w:w="1160" w:type="dxa"/>
            <w:vAlign w:val="bottom"/>
          </w:tcPr>
          <w:p>
            <w:pPr>
              <w:jc w:val="right"/>
              <w:ind w:right="173"/>
              <w:spacing w:after="0"/>
              <w:rPr>
                <w:sz w:val="20"/>
                <w:szCs w:val="20"/>
                <w:color w:val="auto"/>
              </w:rPr>
            </w:pPr>
            <w:r>
              <w:rPr>
                <w:rFonts w:ascii="Arial" w:cs="Arial" w:eastAsia="Arial" w:hAnsi="Arial"/>
                <w:sz w:val="18"/>
                <w:szCs w:val="18"/>
                <w:color w:val="auto"/>
                <w:w w:val="97"/>
              </w:rPr>
              <w:t>40,689,648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12,456,605</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stock plans</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7,871,016</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(690,382)</w:t>
            </w:r>
          </w:p>
        </w:tc>
        <w:tc>
          <w:tcPr>
            <w:tcW w:w="11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Purchases for treasury</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20,998,130</w:t>
            </w:r>
          </w:p>
        </w:tc>
        <w:tc>
          <w:tcPr>
            <w:tcW w:w="11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5,620,089</w:t>
            </w:r>
          </w:p>
        </w:tc>
      </w:tr>
      <w:tr>
        <w:trPr>
          <w:trHeight w:val="216"/>
        </w:trPr>
        <w:tc>
          <w:tcPr>
            <w:tcW w:w="20" w:type="dxa"/>
            <w:vAlign w:val="bottom"/>
          </w:tcPr>
          <w:p>
            <w:pPr>
              <w:spacing w:after="0"/>
              <w:rPr>
                <w:sz w:val="18"/>
                <w:szCs w:val="18"/>
                <w:color w:val="auto"/>
              </w:rPr>
            </w:pPr>
          </w:p>
        </w:tc>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Forfeitures of restricted stock</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(176,672)</w:t>
            </w:r>
          </w:p>
        </w:tc>
        <w:tc>
          <w:tcPr>
            <w:tcW w:w="152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2004</w:t>
            </w:r>
          </w:p>
        </w:tc>
        <w:tc>
          <w:tcPr>
            <w:tcW w:w="13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110,130,444</w:t>
            </w:r>
          </w:p>
        </w:tc>
        <w:tc>
          <w:tcPr>
            <w:tcW w:w="1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20,977,585</w:t>
            </w: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7"/>
              </w:rPr>
              <w:t>40,689,648</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18,076,694</w:t>
            </w:r>
          </w:p>
        </w:tc>
      </w:tr>
      <w:tr>
        <w:trPr>
          <w:trHeight w:val="20"/>
        </w:trPr>
        <w:tc>
          <w:tcPr>
            <w:tcW w:w="20" w:type="dxa"/>
            <w:vAlign w:val="bottom"/>
          </w:tcPr>
          <w:p>
            <w:pPr>
              <w:spacing w:after="0" w:line="20" w:lineRule="exact"/>
              <w:rPr>
                <w:sz w:val="1"/>
                <w:szCs w:val="1"/>
                <w:color w:val="auto"/>
              </w:rPr>
            </w:pPr>
          </w:p>
        </w:tc>
        <w:tc>
          <w:tcPr>
            <w:tcW w:w="6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Tender Offer. </w:t>
      </w:r>
      <w:r>
        <w:rPr>
          <w:rFonts w:ascii="Arial" w:cs="Arial" w:eastAsia="Arial" w:hAnsi="Arial"/>
          <w:sz w:val="17"/>
          <w:szCs w:val="17"/>
          <w:color w:val="auto"/>
        </w:rPr>
        <w:t>On August 10, 2004, the Company announced the final results of its Dutch auction tender offer. The Company repurchased 11.3 million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its Class A Common Stock and 5.5 million shares of its Class B Common Stock at a purchase price of $13.30 and $12.50 per share, respectively. Additionally, the Company repurchased 9.2 million Class A shares from Silver Lake Partners, L.P. and certain of its affiliates (“Silver Lake”) at a purchase price of $13.30 per share. The total cost of the purchases was $346.2 million including transaction costs of $3.8 million.</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Stock repurchase program</w:t>
      </w:r>
      <w:r>
        <w:rPr>
          <w:rFonts w:ascii="Arial" w:cs="Arial" w:eastAsia="Arial" w:hAnsi="Arial"/>
          <w:sz w:val="18"/>
          <w:szCs w:val="18"/>
          <w:color w:val="auto"/>
        </w:rPr>
        <w:t>. In July 2001, the Company’s Board of Directors approved the repurchase of up to $75 million of Class A and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Board of Directors subsequently increased the authorized stock repurchase program to a total authorization for repurchase of $200 million. On a cumulative basis at December 31, 2004, the Company has purchased $133.2 million of our stock under this stock repurchase program. In connection with the tender offer, the Board of Directors terminated the stock repurchase program in June 2004.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our cumulative repurchases under this program: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380" w:type="dxa"/>
            <w:vAlign w:val="bottom"/>
            <w:gridSpan w:val="4"/>
            <w:vMerge w:val="restart"/>
          </w:tcPr>
          <w:p>
            <w:pPr>
              <w:ind w:left="280"/>
              <w:spacing w:after="0"/>
              <w:rPr>
                <w:sz w:val="20"/>
                <w:szCs w:val="20"/>
                <w:color w:val="auto"/>
              </w:rPr>
            </w:pPr>
            <w:r>
              <w:rPr>
                <w:rFonts w:ascii="Arial" w:cs="Arial" w:eastAsia="Arial" w:hAnsi="Arial"/>
                <w:sz w:val="14"/>
                <w:szCs w:val="14"/>
                <w:color w:val="auto"/>
              </w:rPr>
              <w:t>Class A Common Stock</w:t>
            </w:r>
          </w:p>
        </w:tc>
        <w:tc>
          <w:tcPr>
            <w:tcW w:w="2160" w:type="dxa"/>
            <w:vAlign w:val="bottom"/>
            <w:gridSpan w:val="4"/>
            <w:vMerge w:val="restart"/>
          </w:tcPr>
          <w:p>
            <w:pPr>
              <w:jc w:val="right"/>
              <w:ind w:right="500"/>
              <w:spacing w:after="0"/>
              <w:rPr>
                <w:sz w:val="20"/>
                <w:szCs w:val="20"/>
                <w:color w:val="auto"/>
              </w:rPr>
            </w:pPr>
            <w:r>
              <w:rPr>
                <w:rFonts w:ascii="Arial" w:cs="Arial" w:eastAsia="Arial" w:hAnsi="Arial"/>
                <w:sz w:val="14"/>
                <w:szCs w:val="14"/>
                <w:color w:val="auto"/>
              </w:rPr>
              <w:t>Class B Common Stock</w:t>
            </w:r>
          </w:p>
        </w:tc>
        <w:tc>
          <w:tcPr>
            <w:tcW w:w="320" w:type="dxa"/>
            <w:vAlign w:val="bottom"/>
          </w:tcPr>
          <w:p>
            <w:pPr>
              <w:spacing w:after="0"/>
              <w:rPr>
                <w:sz w:val="14"/>
                <w:szCs w:val="14"/>
                <w:color w:val="auto"/>
              </w:rPr>
            </w:pPr>
          </w:p>
        </w:tc>
        <w:tc>
          <w:tcPr>
            <w:tcW w:w="820" w:type="dxa"/>
            <w:vAlign w:val="bottom"/>
          </w:tcPr>
          <w:p>
            <w:pPr>
              <w:jc w:val="center"/>
              <w:ind w:right="117"/>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380" w:type="dxa"/>
            <w:vAlign w:val="bottom"/>
            <w:gridSpan w:val="4"/>
            <w:vMerge w:val="continue"/>
          </w:tcPr>
          <w:p>
            <w:pPr>
              <w:spacing w:after="0"/>
              <w:rPr>
                <w:sz w:val="13"/>
                <w:szCs w:val="13"/>
                <w:color w:val="auto"/>
              </w:rPr>
            </w:pPr>
          </w:p>
        </w:tc>
        <w:tc>
          <w:tcPr>
            <w:tcW w:w="216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center"/>
              <w:ind w:right="117"/>
              <w:spacing w:after="0" w:line="154" w:lineRule="exact"/>
              <w:rPr>
                <w:sz w:val="20"/>
                <w:szCs w:val="20"/>
                <w:color w:val="auto"/>
              </w:rPr>
            </w:pPr>
            <w:r>
              <w:rPr>
                <w:rFonts w:ascii="Arial" w:cs="Arial" w:eastAsia="Arial" w:hAnsi="Arial"/>
                <w:sz w:val="14"/>
                <w:szCs w:val="14"/>
                <w:color w:val="auto"/>
                <w:w w:val="94"/>
              </w:rPr>
              <w:t>Cost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3"/>
              <w:spacing w:after="0" w:line="123" w:lineRule="exact"/>
              <w:rPr>
                <w:sz w:val="20"/>
                <w:szCs w:val="20"/>
                <w:color w:val="auto"/>
              </w:rPr>
            </w:pPr>
            <w:r>
              <w:rPr>
                <w:rFonts w:ascii="Arial" w:cs="Arial" w:eastAsia="Arial" w:hAnsi="Arial"/>
                <w:sz w:val="14"/>
                <w:szCs w:val="14"/>
                <w:color w:val="auto"/>
                <w:w w:val="91"/>
              </w:rPr>
              <w:t>Average</w:t>
            </w:r>
          </w:p>
        </w:tc>
        <w:tc>
          <w:tcPr>
            <w:tcW w:w="4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jc w:val="center"/>
              <w:ind w:right="117"/>
              <w:spacing w:after="0" w:line="123" w:lineRule="exact"/>
              <w:rPr>
                <w:sz w:val="20"/>
                <w:szCs w:val="20"/>
                <w:color w:val="auto"/>
              </w:rPr>
            </w:pPr>
            <w:r>
              <w:rPr>
                <w:rFonts w:ascii="Arial" w:cs="Arial" w:eastAsia="Arial" w:hAnsi="Arial"/>
                <w:sz w:val="14"/>
                <w:szCs w:val="14"/>
                <w:color w:val="auto"/>
                <w:w w:val="8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60" w:type="dxa"/>
            <w:vAlign w:val="bottom"/>
          </w:tcPr>
          <w:p>
            <w:pPr>
              <w:jc w:val="right"/>
              <w:ind w:right="196"/>
              <w:spacing w:after="0" w:line="149" w:lineRule="exact"/>
              <w:rPr>
                <w:sz w:val="20"/>
                <w:szCs w:val="20"/>
                <w:color w:val="auto"/>
              </w:rPr>
            </w:pPr>
            <w:r>
              <w:rPr>
                <w:rFonts w:ascii="Arial" w:cs="Arial" w:eastAsia="Arial" w:hAnsi="Arial"/>
                <w:sz w:val="14"/>
                <w:szCs w:val="14"/>
                <w:color w:val="auto"/>
                <w:w w:val="95"/>
              </w:rPr>
              <w:t>Total Shares</w:t>
            </w:r>
          </w:p>
        </w:tc>
        <w:tc>
          <w:tcPr>
            <w:tcW w:w="13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0"/>
              </w:rPr>
              <w:t>Price Paid</w:t>
            </w:r>
          </w:p>
        </w:tc>
        <w:tc>
          <w:tcPr>
            <w:tcW w:w="1060" w:type="dxa"/>
            <w:vAlign w:val="bottom"/>
          </w:tcPr>
          <w:p>
            <w:pPr>
              <w:jc w:val="right"/>
              <w:ind w:right="196"/>
              <w:spacing w:after="0" w:line="149" w:lineRule="exact"/>
              <w:rPr>
                <w:sz w:val="20"/>
                <w:szCs w:val="20"/>
                <w:color w:val="auto"/>
              </w:rPr>
            </w:pPr>
            <w:r>
              <w:rPr>
                <w:rFonts w:ascii="Arial" w:cs="Arial" w:eastAsia="Arial" w:hAnsi="Arial"/>
                <w:sz w:val="14"/>
                <w:szCs w:val="14"/>
                <w:color w:val="auto"/>
                <w:w w:val="95"/>
              </w:rPr>
              <w:t>Total Shares</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Price Paid</w:t>
            </w:r>
          </w:p>
        </w:tc>
        <w:tc>
          <w:tcPr>
            <w:tcW w:w="320" w:type="dxa"/>
            <w:vAlign w:val="bottom"/>
          </w:tcPr>
          <w:p>
            <w:pPr>
              <w:spacing w:after="0"/>
              <w:rPr>
                <w:sz w:val="12"/>
                <w:szCs w:val="12"/>
                <w:color w:val="auto"/>
              </w:rPr>
            </w:pPr>
          </w:p>
        </w:tc>
        <w:tc>
          <w:tcPr>
            <w:tcW w:w="82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86"/>
              </w:rPr>
              <w:t>Purchased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Purchased</w:t>
            </w:r>
          </w:p>
        </w:tc>
        <w:tc>
          <w:tcPr>
            <w:tcW w:w="13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87"/>
              </w:rPr>
              <w:t>per Share</w:t>
            </w:r>
          </w:p>
        </w:tc>
        <w:tc>
          <w:tcPr>
            <w:tcW w:w="10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Purchased</w:t>
            </w: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7"/>
              </w:rPr>
              <w:t>per Share</w:t>
            </w:r>
          </w:p>
        </w:tc>
        <w:tc>
          <w:tcPr>
            <w:tcW w:w="1140" w:type="dxa"/>
            <w:vAlign w:val="bottom"/>
            <w:tcBorders>
              <w:bottom w:val="single" w:sz="8" w:color="auto"/>
            </w:tcBorders>
            <w:gridSpan w:val="2"/>
          </w:tcPr>
          <w:p>
            <w:pPr>
              <w:jc w:val="center"/>
              <w:ind w:left="36"/>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Fiscal 2001</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2,318,149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9.79</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7,960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Fiscal 2002</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2,153,400</w:t>
            </w:r>
          </w:p>
        </w:tc>
        <w:tc>
          <w:tcPr>
            <w:tcW w:w="3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10.84</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2,311,700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47,047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Transition 2002</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963,117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9.79</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453,600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Calendar 2003</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3,435,161</w:t>
            </w:r>
          </w:p>
        </w:tc>
        <w:tc>
          <w:tcPr>
            <w:tcW w:w="3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8.47</w:t>
            </w: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1,549,485</w:t>
            </w:r>
          </w:p>
        </w:tc>
        <w:tc>
          <w:tcPr>
            <w:tcW w:w="3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32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43,433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Calendar 2004</w:t>
            </w:r>
          </w:p>
        </w:tc>
        <w:tc>
          <w:tcPr>
            <w:tcW w:w="10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413,225</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11.59</w:t>
            </w:r>
          </w:p>
        </w:tc>
        <w:tc>
          <w:tcPr>
            <w:tcW w:w="10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114,600</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w:t>
            </w: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Totals</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9,283,052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9.62</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4,437,345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9.89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133,245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11—STOCK PLANS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Stock option plans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grants stock options to employees that allow them to purchase shares of Class A Common Stock. These options are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as an incentive for employees to contribute to the Company’s long-term success. Options are also granted to members of the Board of Directors and certain consultants. Generally, stock options are issued at their fair market value at the date of grant. Most options vest either a) annually over a three-year service period, or b) over a four-year vesting period, with 25% vesting at the end of the first year and the remaining 75% vesting monthly over the next three years. Options generally expire ten years from the grant date. At December 31, 2004, 3.4 million shares of Class A Common Stock were authorized for grants of options or restricted stock under the 2003 Long Term Incentive Plan.</w:t>
      </w:r>
    </w:p>
    <w:p>
      <w:pPr>
        <w:spacing w:after="0" w:line="13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February 2003, the Company’s stockholders approved the 2003 Long-Term Incentive Plan (“2003 Plan”) which replaced its 1993 Director Stock Option Plan, 1994 Long Term Option Plan, 1996 Long Term Stock Option Plan, 1998 Long Term Stock Option Plan and 1999 Stock Option Plan (collectively the “Previous Plans”). Under the 2003 Plan, 9,928,000 shares of Class A Common Stock were initially available for grant. Upon approval of the 2003 Plan, no further grants or awards were allowable under the Previous Plans. However, any outstanding options or awards under the Previous Plans remain outstanding until the earlier of their exercise, forfeiture, or expiry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and agreement through December 31, 2004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4"/>
          </w:tcPr>
          <w:p>
            <w:pPr>
              <w:ind w:left="400"/>
              <w:spacing w:after="0"/>
              <w:rPr>
                <w:sz w:val="20"/>
                <w:szCs w:val="20"/>
                <w:color w:val="auto"/>
              </w:rPr>
            </w:pPr>
            <w:r>
              <w:rPr>
                <w:rFonts w:ascii="Arial" w:cs="Arial" w:eastAsia="Arial" w:hAnsi="Arial"/>
                <w:sz w:val="14"/>
                <w:szCs w:val="14"/>
                <w:color w:val="auto"/>
              </w:rPr>
              <w:t>Class A Common Stock</w:t>
            </w:r>
          </w:p>
        </w:tc>
      </w:tr>
      <w:tr>
        <w:trPr>
          <w:trHeight w:val="123"/>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32"/>
              <w:spacing w:after="0" w:line="123" w:lineRule="exact"/>
              <w:rPr>
                <w:sz w:val="20"/>
                <w:szCs w:val="20"/>
                <w:color w:val="auto"/>
              </w:rPr>
            </w:pPr>
            <w:r>
              <w:rPr>
                <w:rFonts w:ascii="Arial" w:cs="Arial" w:eastAsia="Arial" w:hAnsi="Arial"/>
                <w:sz w:val="14"/>
                <w:szCs w:val="14"/>
                <w:color w:val="auto"/>
                <w:w w:val="94"/>
              </w:rPr>
              <w:t>Weighted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1180" w:type="dxa"/>
            <w:vAlign w:val="bottom"/>
          </w:tcPr>
          <w:p>
            <w:pPr>
              <w:jc w:val="right"/>
              <w:ind w:right="453"/>
              <w:spacing w:after="0" w:line="149" w:lineRule="exact"/>
              <w:rPr>
                <w:sz w:val="20"/>
                <w:szCs w:val="20"/>
                <w:color w:val="auto"/>
              </w:rPr>
            </w:pPr>
            <w:r>
              <w:rPr>
                <w:rFonts w:ascii="Arial" w:cs="Arial" w:eastAsia="Arial" w:hAnsi="Arial"/>
                <w:sz w:val="14"/>
                <w:szCs w:val="14"/>
                <w:color w:val="auto"/>
              </w:rPr>
              <w:t>Under</w:t>
            </w:r>
          </w:p>
        </w:tc>
        <w:tc>
          <w:tcPr>
            <w:tcW w:w="3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r>
      <w:tr>
        <w:trPr>
          <w:trHeight w:val="167"/>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Option</w:t>
            </w: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2001</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34,983,124</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5,629,441</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(1,989,049)</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Canceled</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(4,617,199)</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14.12</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2002</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34,006,317</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3,601,127</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(131,343)</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Canceled</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(1,012,162)</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12.86</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36,463,939</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2,598,070</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(4,278,704)</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Canceled</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(3,257,098)</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12.82</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31,526,207</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5,144,399</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(7,363,604)</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Canceled</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(4,167,369)</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14.23</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11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25,139,633</w:t>
            </w:r>
          </w:p>
        </w:tc>
        <w:tc>
          <w:tcPr>
            <w:tcW w:w="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Options for the purchase of 17.8 million and 23.1 million shares of Class A Common Stock were exercisable at December 31, 2004 and 2003,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December 31,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w w:val="92"/>
              </w:rPr>
              <w:t>Outstanding</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Exercisable</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tcPr>
          <w:p>
            <w:pPr>
              <w:jc w:val="center"/>
              <w:ind w:right="308"/>
              <w:spacing w:after="0" w:line="123" w:lineRule="exact"/>
              <w:rPr>
                <w:sz w:val="20"/>
                <w:szCs w:val="20"/>
                <w:color w:val="auto"/>
              </w:rPr>
            </w:pPr>
            <w:r>
              <w:rPr>
                <w:rFonts w:ascii="Arial" w:cs="Arial" w:eastAsia="Arial" w:hAnsi="Arial"/>
                <w:sz w:val="14"/>
                <w:szCs w:val="14"/>
                <w:color w:val="auto"/>
                <w:w w:val="92"/>
              </w:rPr>
              <w:t>Weighted Average</w:t>
            </w:r>
          </w:p>
        </w:tc>
        <w:tc>
          <w:tcPr>
            <w:tcW w:w="7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gridSpan w:val="2"/>
          </w:tcPr>
          <w:p>
            <w:pPr>
              <w:jc w:val="center"/>
              <w:ind w:left="112"/>
              <w:spacing w:after="0" w:line="123"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Remaining</w:t>
            </w:r>
          </w:p>
        </w:tc>
        <w:tc>
          <w:tcPr>
            <w:tcW w:w="12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Average</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r>
      <w:tr>
        <w:trPr>
          <w:trHeight w:val="149"/>
        </w:trPr>
        <w:tc>
          <w:tcPr>
            <w:tcW w:w="540" w:type="dxa"/>
            <w:vAlign w:val="bottom"/>
            <w:gridSpan w:val="3"/>
          </w:tcPr>
          <w:p>
            <w:pPr>
              <w:spacing w:after="0" w:line="149" w:lineRule="exact"/>
              <w:rPr>
                <w:sz w:val="20"/>
                <w:szCs w:val="20"/>
                <w:color w:val="auto"/>
              </w:rPr>
            </w:pPr>
            <w:r>
              <w:rPr>
                <w:rFonts w:ascii="Arial" w:cs="Arial" w:eastAsia="Arial" w:hAnsi="Arial"/>
                <w:sz w:val="14"/>
                <w:szCs w:val="14"/>
                <w:color w:val="auto"/>
                <w:w w:val="91"/>
              </w:rPr>
              <w:t>Range of</w:t>
            </w:r>
          </w:p>
        </w:tc>
        <w:tc>
          <w:tcPr>
            <w:tcW w:w="4860" w:type="dxa"/>
            <w:vAlign w:val="bottom"/>
          </w:tcPr>
          <w:p>
            <w:pPr>
              <w:spacing w:after="0"/>
              <w:rPr>
                <w:sz w:val="12"/>
                <w:szCs w:val="12"/>
                <w:color w:val="auto"/>
              </w:rPr>
            </w:pPr>
          </w:p>
        </w:tc>
        <w:tc>
          <w:tcPr>
            <w:tcW w:w="1120" w:type="dxa"/>
            <w:vAlign w:val="bottom"/>
          </w:tcPr>
          <w:p>
            <w:pPr>
              <w:jc w:val="right"/>
              <w:ind w:right="334"/>
              <w:spacing w:after="0" w:line="149" w:lineRule="exact"/>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2"/>
                <w:szCs w:val="12"/>
                <w:color w:val="auto"/>
              </w:rPr>
            </w:pPr>
          </w:p>
        </w:tc>
        <w:tc>
          <w:tcPr>
            <w:tcW w:w="144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4"/>
              </w:rPr>
              <w:t>Contractual</w:t>
            </w:r>
          </w:p>
        </w:tc>
        <w:tc>
          <w:tcPr>
            <w:tcW w:w="12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3"/>
              </w:rPr>
              <w:t>Exercise</w:t>
            </w:r>
          </w:p>
        </w:tc>
        <w:tc>
          <w:tcPr>
            <w:tcW w:w="1120" w:type="dxa"/>
            <w:vAlign w:val="bottom"/>
          </w:tcPr>
          <w:p>
            <w:pPr>
              <w:jc w:val="right"/>
              <w:ind w:right="335"/>
              <w:spacing w:after="0" w:line="149" w:lineRule="exact"/>
              <w:rPr>
                <w:sz w:val="20"/>
                <w:szCs w:val="20"/>
                <w:color w:val="auto"/>
              </w:rPr>
            </w:pPr>
            <w:r>
              <w:rPr>
                <w:rFonts w:ascii="Arial" w:cs="Arial" w:eastAsia="Arial" w:hAnsi="Arial"/>
                <w:sz w:val="14"/>
                <w:szCs w:val="14"/>
                <w:color w:val="auto"/>
              </w:rPr>
              <w:t>Number</w:t>
            </w:r>
          </w:p>
        </w:tc>
        <w:tc>
          <w:tcPr>
            <w:tcW w:w="3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Exercise</w:t>
            </w:r>
          </w:p>
        </w:tc>
      </w:tr>
      <w:tr>
        <w:trPr>
          <w:trHeight w:val="167"/>
        </w:trPr>
        <w:tc>
          <w:tcPr>
            <w:tcW w:w="5400" w:type="dxa"/>
            <w:vAlign w:val="bottom"/>
            <w:gridSpan w:val="4"/>
          </w:tcPr>
          <w:p>
            <w:pPr>
              <w:spacing w:after="0"/>
              <w:rPr>
                <w:sz w:val="20"/>
                <w:szCs w:val="20"/>
                <w:color w:val="auto"/>
              </w:rPr>
            </w:pPr>
            <w:r>
              <w:rPr>
                <w:rFonts w:ascii="Arial" w:cs="Arial" w:eastAsia="Arial" w:hAnsi="Arial"/>
                <w:sz w:val="14"/>
                <w:szCs w:val="14"/>
                <w:color w:val="auto"/>
              </w:rPr>
              <w:t>Exercise Prices</w:t>
            </w: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Outstanding</w:t>
            </w:r>
          </w:p>
        </w:tc>
        <w:tc>
          <w:tcPr>
            <w:tcW w:w="220" w:type="dxa"/>
            <w:vAlign w:val="bottom"/>
          </w:tcPr>
          <w:p>
            <w:pPr>
              <w:spacing w:after="0"/>
              <w:rPr>
                <w:sz w:val="14"/>
                <w:szCs w:val="14"/>
                <w:color w:val="auto"/>
              </w:rPr>
            </w:pPr>
          </w:p>
        </w:tc>
        <w:tc>
          <w:tcPr>
            <w:tcW w:w="1440" w:type="dxa"/>
            <w:vAlign w:val="bottom"/>
          </w:tcPr>
          <w:p>
            <w:pPr>
              <w:jc w:val="center"/>
              <w:ind w:right="328"/>
              <w:spacing w:after="0"/>
              <w:rPr>
                <w:sz w:val="20"/>
                <w:szCs w:val="20"/>
                <w:color w:val="auto"/>
              </w:rPr>
            </w:pPr>
            <w:r>
              <w:rPr>
                <w:rFonts w:ascii="Arial" w:cs="Arial" w:eastAsia="Arial" w:hAnsi="Arial"/>
                <w:sz w:val="14"/>
                <w:szCs w:val="14"/>
                <w:color w:val="auto"/>
              </w:rPr>
              <w:t>Life</w:t>
            </w:r>
          </w:p>
        </w:tc>
        <w:tc>
          <w:tcPr>
            <w:tcW w:w="12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color w:val="auto"/>
                <w:w w:val="93"/>
              </w:rPr>
              <w:t>Price</w:t>
            </w:r>
          </w:p>
        </w:tc>
        <w:tc>
          <w:tcPr>
            <w:tcW w:w="1120" w:type="dxa"/>
            <w:vAlign w:val="bottom"/>
          </w:tcPr>
          <w:p>
            <w:pPr>
              <w:jc w:val="right"/>
              <w:ind w:right="235"/>
              <w:spacing w:after="0"/>
              <w:rPr>
                <w:sz w:val="20"/>
                <w:szCs w:val="20"/>
                <w:color w:val="auto"/>
              </w:rPr>
            </w:pPr>
            <w:r>
              <w:rPr>
                <w:rFonts w:ascii="Arial" w:cs="Arial" w:eastAsia="Arial" w:hAnsi="Arial"/>
                <w:sz w:val="14"/>
                <w:szCs w:val="14"/>
                <w:color w:val="auto"/>
              </w:rPr>
              <w:t>Exercisable</w:t>
            </w:r>
          </w:p>
        </w:tc>
        <w:tc>
          <w:tcPr>
            <w:tcW w:w="3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Price</w:t>
            </w: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w:t>
            </w:r>
          </w:p>
        </w:tc>
        <w:tc>
          <w:tcPr>
            <w:tcW w:w="4860" w:type="dxa"/>
            <w:vAlign w:val="bottom"/>
            <w:tcBorders>
              <w:top w:val="single" w:sz="8" w:color="auto"/>
            </w:tcBorders>
            <w:shd w:val="clear" w:color="auto" w:fill="CCEEFF"/>
          </w:tcPr>
          <w:p>
            <w:pPr>
              <w:jc w:val="right"/>
              <w:ind w:right="4170"/>
              <w:spacing w:after="0"/>
              <w:rPr>
                <w:sz w:val="20"/>
                <w:szCs w:val="20"/>
                <w:color w:val="auto"/>
              </w:rPr>
            </w:pPr>
            <w:r>
              <w:rPr>
                <w:rFonts w:ascii="Arial" w:cs="Arial" w:eastAsia="Arial" w:hAnsi="Arial"/>
                <w:sz w:val="18"/>
                <w:szCs w:val="18"/>
                <w:color w:val="auto"/>
                <w:w w:val="94"/>
              </w:rPr>
              <w:t>- $ 8.50</w:t>
            </w:r>
          </w:p>
        </w:tc>
        <w:tc>
          <w:tcPr>
            <w:tcW w:w="11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4,218,603</w:t>
            </w:r>
          </w:p>
        </w:tc>
        <w:tc>
          <w:tcPr>
            <w:tcW w:w="1660" w:type="dxa"/>
            <w:vAlign w:val="bottom"/>
            <w:tcBorders>
              <w:top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6.73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7.58</w:t>
            </w:r>
          </w:p>
        </w:tc>
        <w:tc>
          <w:tcPr>
            <w:tcW w:w="112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2,906,634</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6"/>
              </w:rPr>
              <w:t>8.69</w:t>
            </w:r>
          </w:p>
        </w:tc>
        <w:tc>
          <w:tcPr>
            <w:tcW w:w="4860" w:type="dxa"/>
            <w:vAlign w:val="bottom"/>
          </w:tcPr>
          <w:p>
            <w:pPr>
              <w:jc w:val="right"/>
              <w:ind w:right="4170"/>
              <w:spacing w:after="0"/>
              <w:rPr>
                <w:sz w:val="20"/>
                <w:szCs w:val="20"/>
                <w:color w:val="auto"/>
              </w:rPr>
            </w:pPr>
            <w:r>
              <w:rPr>
                <w:rFonts w:ascii="Arial" w:cs="Arial" w:eastAsia="Arial" w:hAnsi="Arial"/>
                <w:sz w:val="18"/>
                <w:szCs w:val="18"/>
                <w:color w:val="auto"/>
                <w:w w:val="87"/>
              </w:rPr>
              <w:t>- $10.31</w:t>
            </w: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6,945,319</w:t>
            </w:r>
          </w:p>
        </w:tc>
        <w:tc>
          <w:tcPr>
            <w:tcW w:w="1660" w:type="dxa"/>
            <w:vAlign w:val="bottom"/>
            <w:gridSpan w:val="2"/>
          </w:tcPr>
          <w:p>
            <w:pPr>
              <w:ind w:left="960"/>
              <w:spacing w:after="0"/>
              <w:rPr>
                <w:sz w:val="20"/>
                <w:szCs w:val="20"/>
                <w:color w:val="auto"/>
              </w:rPr>
            </w:pPr>
            <w:r>
              <w:rPr>
                <w:rFonts w:ascii="Arial" w:cs="Arial" w:eastAsia="Arial" w:hAnsi="Arial"/>
                <w:sz w:val="18"/>
                <w:szCs w:val="18"/>
                <w:color w:val="auto"/>
              </w:rPr>
              <w:t>6.09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9.72</w:t>
            </w: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6,273,957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$10.48</w:t>
            </w:r>
          </w:p>
        </w:tc>
        <w:tc>
          <w:tcPr>
            <w:tcW w:w="486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w w:val="87"/>
              </w:rPr>
              <w:t>- $12.45</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4,705,256</w:t>
            </w:r>
          </w:p>
        </w:tc>
        <w:tc>
          <w:tcPr>
            <w:tcW w:w="16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12.15</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645,937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r>
      <w:tr>
        <w:trPr>
          <w:trHeight w:val="216"/>
        </w:trPr>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$12.48</w:t>
            </w:r>
          </w:p>
        </w:tc>
        <w:tc>
          <w:tcPr>
            <w:tcW w:w="4860" w:type="dxa"/>
            <w:vAlign w:val="bottom"/>
          </w:tcPr>
          <w:p>
            <w:pPr>
              <w:jc w:val="right"/>
              <w:ind w:right="4170"/>
              <w:spacing w:after="0"/>
              <w:rPr>
                <w:sz w:val="20"/>
                <w:szCs w:val="20"/>
                <w:color w:val="auto"/>
              </w:rPr>
            </w:pPr>
            <w:r>
              <w:rPr>
                <w:rFonts w:ascii="Arial" w:cs="Arial" w:eastAsia="Arial" w:hAnsi="Arial"/>
                <w:sz w:val="18"/>
                <w:szCs w:val="18"/>
                <w:color w:val="auto"/>
                <w:w w:val="87"/>
              </w:rPr>
              <w:t>- $17.85</w:t>
            </w:r>
          </w:p>
        </w:tc>
        <w:tc>
          <w:tcPr>
            <w:tcW w:w="1120" w:type="dxa"/>
            <w:vAlign w:val="bottom"/>
          </w:tcPr>
          <w:p>
            <w:pPr>
              <w:jc w:val="right"/>
              <w:ind w:right="114"/>
              <w:spacing w:after="0"/>
              <w:rPr>
                <w:sz w:val="20"/>
                <w:szCs w:val="20"/>
                <w:color w:val="auto"/>
              </w:rPr>
            </w:pPr>
            <w:r>
              <w:rPr>
                <w:rFonts w:ascii="Arial" w:cs="Arial" w:eastAsia="Arial" w:hAnsi="Arial"/>
                <w:sz w:val="18"/>
                <w:szCs w:val="18"/>
                <w:color w:val="auto"/>
              </w:rPr>
              <w:t>4,259,848</w:t>
            </w:r>
          </w:p>
        </w:tc>
        <w:tc>
          <w:tcPr>
            <w:tcW w:w="1660" w:type="dxa"/>
            <w:vAlign w:val="bottom"/>
            <w:gridSpan w:val="2"/>
          </w:tcPr>
          <w:p>
            <w:pPr>
              <w:ind w:left="960"/>
              <w:spacing w:after="0"/>
              <w:rPr>
                <w:sz w:val="20"/>
                <w:szCs w:val="20"/>
                <w:color w:val="auto"/>
              </w:rPr>
            </w:pPr>
            <w:r>
              <w:rPr>
                <w:rFonts w:ascii="Arial" w:cs="Arial" w:eastAsia="Arial" w:hAnsi="Arial"/>
                <w:sz w:val="18"/>
                <w:szCs w:val="18"/>
                <w:color w:val="auto"/>
              </w:rPr>
              <w:t>5.34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14.71</w:t>
            </w:r>
          </w:p>
        </w:tc>
        <w:tc>
          <w:tcPr>
            <w:tcW w:w="1120" w:type="dxa"/>
            <w:vAlign w:val="bottom"/>
          </w:tcPr>
          <w:p>
            <w:pPr>
              <w:jc w:val="right"/>
              <w:ind w:right="115"/>
              <w:spacing w:after="0"/>
              <w:rPr>
                <w:sz w:val="20"/>
                <w:szCs w:val="20"/>
                <w:color w:val="auto"/>
              </w:rPr>
            </w:pPr>
            <w:r>
              <w:rPr>
                <w:rFonts w:ascii="Arial" w:cs="Arial" w:eastAsia="Arial" w:hAnsi="Arial"/>
                <w:sz w:val="18"/>
                <w:szCs w:val="18"/>
                <w:color w:val="auto"/>
              </w:rPr>
              <w:t>3,644,771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$18.50</w:t>
            </w:r>
          </w:p>
        </w:tc>
        <w:tc>
          <w:tcPr>
            <w:tcW w:w="486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w w:val="87"/>
              </w:rPr>
              <w:t>- $22.71</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4,624,447</w:t>
            </w:r>
          </w:p>
        </w:tc>
        <w:tc>
          <w:tcPr>
            <w:tcW w:w="16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20.36</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3,948,947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r>
      <w:tr>
        <w:trPr>
          <w:trHeight w:val="223"/>
        </w:trPr>
        <w:tc>
          <w:tcPr>
            <w:tcW w:w="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$23.89</w:t>
            </w:r>
          </w:p>
        </w:tc>
        <w:tc>
          <w:tcPr>
            <w:tcW w:w="4860" w:type="dxa"/>
            <w:vAlign w:val="bottom"/>
          </w:tcPr>
          <w:p>
            <w:pPr>
              <w:jc w:val="right"/>
              <w:ind w:right="4170"/>
              <w:spacing w:after="0"/>
              <w:rPr>
                <w:sz w:val="20"/>
                <w:szCs w:val="20"/>
                <w:color w:val="auto"/>
              </w:rPr>
            </w:pPr>
            <w:r>
              <w:rPr>
                <w:rFonts w:ascii="Arial" w:cs="Arial" w:eastAsia="Arial" w:hAnsi="Arial"/>
                <w:sz w:val="18"/>
                <w:szCs w:val="18"/>
                <w:color w:val="auto"/>
                <w:w w:val="87"/>
              </w:rPr>
              <w:t>- $34.06</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386,160</w:t>
            </w:r>
          </w:p>
        </w:tc>
        <w:tc>
          <w:tcPr>
            <w:tcW w:w="166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29.16</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386,160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29.16</w:t>
            </w: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25,139,633</w:t>
            </w:r>
          </w:p>
        </w:tc>
        <w:tc>
          <w:tcPr>
            <w:tcW w:w="166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12.92</w:t>
            </w: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17,806,406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Employee stock purchase plans</w:t>
      </w:r>
      <w:r>
        <w:rPr>
          <w:rFonts w:ascii="Arial" w:cs="Arial" w:eastAsia="Arial" w:hAnsi="Arial"/>
          <w:sz w:val="16"/>
          <w:szCs w:val="16"/>
          <w:color w:val="auto"/>
        </w:rPr>
        <w:t>. In January 1993, the Company adopted an employee stock purchase plan, and reserved an aggregate of 4,000,000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Common Stock for issuance under this plan. The 1993 plan expired during 2003. In March 2002, shareholders approved the 2002 Employee Stock Purchase Plan with substantially identical terms. Eligible employees are permitted to purchase Class A Common Stock through payroll deductions, which may not exceed 10% of an employee’s compensation (or $21,250 in any calendar year), at a price equal to 85% of the Class A Common Stock price as reported by the NYSE at the beginning or end of each offering period, whichever is lower. No shares were issued during Transition 2002. During Calendar 2004, Calendar 2003 and Fiscal 2002, 443,959, 544,883, and 551,109 shares were issued from treasury stock at an average purchase price of $9.33, $7.24, and $7.86 per share, respectively, from these plans. At December 31, 2002 and September 30, 2002, 3.7 million shares were available for purchase under the 2002 plan. At December 31, 2004 and 2003, the Company had 2.7 million and 3.2 million shares, respectively, available for purchase under this plan.</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in 1998, the Company awarded restricted stock under the 1991 Stock Option Plan and the 1998 Long Term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 The restricted stock awards generally vest in six equal installments with the first installment vesting two years after the award and then annually thereafter for five years. In 2004, the Company made two awards of restricted stock of 33,000 shares with market values of $11.96 and $12.78, respectively, on the date of grant under the 2003 Plan in which the restrictions lapse over three years. An additional award of 175,000 shares under the 2003 Plan (which was forfeited in 2004), and an inducement award of 500,000 shares to the Company’s new CEO were subject to performance based vesting. Except for the awards with performance based vesting, awardees are not required to provide consideration to the Company other than rendering service and have the right to vote the shares and to receive dividends. The employee may not sell the restricted stock during the vesting period. In 1999, the Company also granted 40,500 stock options with an exercise price of $1.00 per share that vest on the same basis as the restricted stock awards to certain international employees. Such stock options had a weighted-average fair market value of $22.81 per stock option on the date of grant.</w:t>
      </w:r>
    </w:p>
    <w:p>
      <w:pPr>
        <w:spacing w:after="0" w:line="12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had a total of 602,236 and 99,024 restricted shares of Class A Common Stock outstanding at December 31, 2004 and 2003, respectively. There were no awards of restricted stock during Calendar 2003. At December 31, 2004, the aggregate unamortized compensation expense for restricted stock awards and the $1 stock option grants was $7.6 million and is included as Unearned compensation, net in the Consolidated Balance Sheet. Total compensation expense recognized for the restricted stock awards and the stock options granted with an exercise price of $1.00 per share was $0.9 million, $0.9 million, $0.3 million, $1.3 million, for Calendar 2004, Calendar 2003, Transition 2002, and for Fiscal 2002, respectively.</w:t>
      </w:r>
    </w:p>
    <w:p>
      <w:pPr>
        <w:spacing w:after="0" w:line="1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October 15, 2004, the Company announced that its new CEO, Eugene A. Hall, had received an inducement grant of 500,000 shares of restricted stock for which market value on the date of grant was $12.05 per share. As long as Mr. Hall remains an employee, the restriction on the 500,000 shares of restricted stock will lapse upon the earlier of (a) the Company’s 60 day average stock price meeting certain targets, or (b) change in control. The price targets are $20 for the first 300,000 shares, $25 for the next 100,000 shares and $30 for the remaining 100,000 shares. In accordance with APB 25, the Company’s 60 day average stock price exceeds the stipulated per share target during the 60 day measurement period, the Company will be required to record a non-cash compensation charge equal to the closing price of the Company’s stock on the date the target is met times the number of shares associated with the applicable target. For example, if the Company’s average 60 day stock price is $22 per share and the stock closes at $22.50 per share, the first lapse shall result in the Company recording a $6.75 million non-cash compensation charge (300,000 shares at $22.50/share).</w:t>
      </w:r>
    </w:p>
    <w:p>
      <w:pPr>
        <w:spacing w:after="0" w:line="12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October 15, 2004, Mr. Hall’s restricted stock award had a probability-weighted range of values from zero to $16.0 million with a mean net present value of approximately $3.7 million. The mean net present value represents the weighted-average of the range of potential values. The range of values was based on the present value of estimated discounted cash flows, which takes into consideration such factors as the historical price and volatility of the Company’s Class A common stock. The $3.7 million represents the fair value of the restricted stock amount under SFAS 123. The fair value of the restricted stock award for each price target is being amortized for SFAS 123 purposes over the expected vesting term of each target, ranging from 21 to 36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12—COMPUTATION OF EARNINGS (LOSS) PER SHARE</w:t>
      </w:r>
    </w:p>
    <w:p>
      <w:pPr>
        <w:spacing w:after="0" w:line="18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Basic earnings per share (“EPS”) is computed by dividing net income (loss) by the weighted average number of common shares outstanding for the period. Diluted EPS reflects the potential dilution of securities that could share in earnings. When the exercise of stock options or conversion of convertible debt is antidilutive they are excluded from the calculation.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reconciliation of the basic and diluted earnings per share computations (in thousands, except per share).</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color w:val="auto"/>
                <w:w w:val="87"/>
              </w:rPr>
              <w:t>Calendar</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4"/>
                <w:szCs w:val="14"/>
                <w:color w:val="auto"/>
              </w:rPr>
              <w:t>Transition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Fiscal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2004</w:t>
            </w: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2003</w:t>
            </w:r>
          </w:p>
        </w:tc>
        <w:tc>
          <w:tcPr>
            <w:tcW w:w="3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2002</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2002</w:t>
            </w:r>
          </w:p>
        </w:tc>
        <w:tc>
          <w:tcPr>
            <w:tcW w:w="1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(Unaudited)</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16,889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23,589</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15,118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89"/>
              </w:rPr>
              <w:t>(14,418)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After-tax interest on convertible long-term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Net income (loss) used for calculating diluted EPS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16,889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23,589</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15,118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9"/>
              </w:rPr>
              <w:t>(14,418)</w:t>
            </w: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spacing w:after="0" w:line="201" w:lineRule="exact"/>
              <w:rPr>
                <w:sz w:val="20"/>
                <w:szCs w:val="20"/>
                <w:color w:val="auto"/>
              </w:rPr>
            </w:pPr>
            <w:r>
              <w:rPr>
                <w:rFonts w:ascii="Arial" w:cs="Arial" w:eastAsia="Arial" w:hAnsi="Arial"/>
                <w:sz w:val="18"/>
                <w:szCs w:val="18"/>
                <w:color w:val="auto"/>
                <w:w w:val="97"/>
              </w:rPr>
              <w:t>Weighted average number of common shares used in the calculation of basic</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income per share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w w:val="89"/>
              </w:rPr>
              <w:t>123,603</w:t>
            </w:r>
          </w:p>
        </w:tc>
        <w:tc>
          <w:tcPr>
            <w:tcW w:w="32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91,123</w:t>
            </w:r>
          </w:p>
        </w:tc>
        <w:tc>
          <w:tcPr>
            <w:tcW w:w="3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83,329</w:t>
            </w:r>
          </w:p>
        </w:tc>
        <w:tc>
          <w:tcPr>
            <w:tcW w:w="28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w w:val="98"/>
              </w:rPr>
              <w:t>81,379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 associated with stock compensation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2,723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1,456</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Weighted average shares associated with convertible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calculation of diluted income per share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9"/>
              </w:rPr>
              <w:t>126,326</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92,579</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85,040</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8"/>
              </w:rPr>
              <w:t>81,379</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130,882</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0.26</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0.13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0.25</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(0.18)</w:t>
            </w: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repurchased a significant number of its Class A and Class B Common Stock outstanding in Calendar 2004. During the first half of Calendar 2004, the Company repurchased 413,225 shares of its Class A Common Stock and 114,600 shares of its Class B Common Stock at an aggregate cost of $6.1 million under its Stock Repurchase Program. During the third quarter of 2004, the Company completed its “Dutch Auction Tender Offer” in which it repurchased 11,339,019 shares of its Class A Common Stock and 5,505,489 shares of its Class B Common Stock at a purchase price of $13.30 and $12.50 per share, respectively. Additionally, the Company also repurchased 9,228,938 Class A shares from Silver Lake Partners and certain of its affiliates (“Silver Lake”) at a purchase price of $13.30 per share. The total cost of the purchases was $346.2 million including transaction costs of $3.8 million. In conjunction with the tender offer, the Board of Directors terminated the Stock Repurchase Program during June 2004.</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presents the number of options to purchase shares (in millions) of Class A Common Stock that were not included in the computation of diluted EPS because the effect would have been antidilutive. During periods with reported income, these options were antidilutive because their exercise prices were greater than the average market value of a share of Class A Common Stock during the period. During periods with reported loss, all options outstanding had an antidilutive effect.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gridSpan w:val="2"/>
          </w:tcPr>
          <w:p>
            <w:pPr>
              <w:jc w:val="right"/>
              <w:ind w:right="236"/>
              <w:spacing w:after="0"/>
              <w:rPr>
                <w:sz w:val="20"/>
                <w:szCs w:val="20"/>
                <w:color w:val="auto"/>
              </w:rPr>
            </w:pPr>
            <w:r>
              <w:rPr>
                <w:rFonts w:ascii="Arial" w:cs="Arial" w:eastAsia="Arial" w:hAnsi="Arial"/>
                <w:sz w:val="14"/>
                <w:szCs w:val="14"/>
                <w:color w:val="auto"/>
              </w:rPr>
              <w:t>Calendar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199"/>
              <w:spacing w:after="0"/>
              <w:rPr>
                <w:sz w:val="20"/>
                <w:szCs w:val="20"/>
                <w:color w:val="auto"/>
              </w:rPr>
            </w:pPr>
            <w:r>
              <w:rPr>
                <w:rFonts w:ascii="Arial" w:cs="Arial" w:eastAsia="Arial" w:hAnsi="Arial"/>
                <w:sz w:val="14"/>
                <w:szCs w:val="14"/>
                <w:color w:val="auto"/>
              </w:rPr>
              <w:t>Transition</w:t>
            </w:r>
          </w:p>
        </w:tc>
        <w:tc>
          <w:tcPr>
            <w:tcW w:w="220" w:type="dxa"/>
            <w:vAlign w:val="bottom"/>
          </w:tcPr>
          <w:p>
            <w:pPr>
              <w:spacing w:after="0"/>
              <w:rPr>
                <w:sz w:val="14"/>
                <w:szCs w:val="14"/>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color w:val="auto"/>
              </w:rPr>
              <w:t>Fiscal</w:t>
            </w:r>
          </w:p>
        </w:tc>
      </w:tr>
      <w:tr>
        <w:trPr>
          <w:trHeight w:val="142"/>
        </w:trPr>
        <w:tc>
          <w:tcPr>
            <w:tcW w:w="4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2004</w:t>
            </w:r>
          </w:p>
        </w:tc>
        <w:tc>
          <w:tcPr>
            <w:tcW w:w="3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color w:val="auto"/>
              </w:rPr>
              <w:t>2003</w:t>
            </w:r>
          </w:p>
        </w:tc>
        <w:tc>
          <w:tcPr>
            <w:tcW w:w="9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2002</w:t>
            </w: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color w:val="auto"/>
              </w:rPr>
              <w:t>2002</w:t>
            </w:r>
          </w:p>
        </w:tc>
        <w:tc>
          <w:tcPr>
            <w:tcW w:w="2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r>
      <w:tr>
        <w:trPr>
          <w:trHeight w:val="128"/>
        </w:trPr>
        <w:tc>
          <w:tcPr>
            <w:tcW w:w="4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220"/>
              <w:spacing w:after="0" w:line="128" w:lineRule="exact"/>
              <w:rPr>
                <w:sz w:val="20"/>
                <w:szCs w:val="20"/>
                <w:color w:val="auto"/>
              </w:rPr>
            </w:pPr>
            <w:r>
              <w:rPr>
                <w:rFonts w:ascii="Arial" w:cs="Arial" w:eastAsia="Arial" w:hAnsi="Arial"/>
                <w:sz w:val="14"/>
                <w:szCs w:val="14"/>
                <w:color w:val="auto"/>
              </w:rPr>
              <w:t>(Unaudited)</w:t>
            </w: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Antidilutive options (in millions)</w:t>
            </w:r>
          </w:p>
        </w:tc>
        <w:tc>
          <w:tcPr>
            <w:tcW w:w="2100" w:type="dxa"/>
            <w:vAlign w:val="bottom"/>
            <w:gridSpan w:val="2"/>
          </w:tcPr>
          <w:p>
            <w:pPr>
              <w:jc w:val="right"/>
              <w:ind w:right="168"/>
              <w:spacing w:after="0"/>
              <w:rPr>
                <w:sz w:val="20"/>
                <w:szCs w:val="20"/>
                <w:color w:val="auto"/>
              </w:rPr>
            </w:pPr>
            <w:r>
              <w:rPr>
                <w:rFonts w:ascii="Arial" w:cs="Arial" w:eastAsia="Arial" w:hAnsi="Arial"/>
                <w:sz w:val="18"/>
                <w:szCs w:val="18"/>
                <w:color w:val="auto"/>
              </w:rPr>
              <w:t>12.3</w:t>
            </w:r>
          </w:p>
        </w:tc>
        <w:tc>
          <w:tcPr>
            <w:tcW w:w="380" w:type="dxa"/>
            <w:vAlign w:val="bottom"/>
          </w:tcPr>
          <w:p>
            <w:pPr>
              <w:spacing w:after="0"/>
              <w:rPr>
                <w:sz w:val="18"/>
                <w:szCs w:val="18"/>
                <w:color w:val="auto"/>
              </w:rPr>
            </w:pP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19.9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21.4</w:t>
            </w:r>
          </w:p>
        </w:tc>
        <w:tc>
          <w:tcPr>
            <w:tcW w:w="1100" w:type="dxa"/>
            <w:vAlign w:val="bottom"/>
          </w:tcPr>
          <w:p>
            <w:pPr>
              <w:jc w:val="right"/>
              <w:ind w:right="139"/>
              <w:spacing w:after="0"/>
              <w:rPr>
                <w:sz w:val="20"/>
                <w:szCs w:val="20"/>
                <w:color w:val="auto"/>
              </w:rPr>
            </w:pPr>
            <w:r>
              <w:rPr>
                <w:rFonts w:ascii="Arial" w:cs="Arial" w:eastAsia="Arial" w:hAnsi="Arial"/>
                <w:sz w:val="18"/>
                <w:szCs w:val="18"/>
                <w:color w:val="auto"/>
              </w:rPr>
              <w:t>36.5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Average market price per share of Class A Common</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Stock during periods with reported income</w:t>
            </w:r>
          </w:p>
        </w:tc>
        <w:tc>
          <w:tcPr>
            <w:tcW w:w="2100" w:type="dxa"/>
            <w:vAlign w:val="bottom"/>
            <w:gridSpan w:val="2"/>
          </w:tcPr>
          <w:p>
            <w:pPr>
              <w:jc w:val="right"/>
              <w:ind w:right="168"/>
              <w:spacing w:after="0"/>
              <w:rPr>
                <w:sz w:val="20"/>
                <w:szCs w:val="20"/>
                <w:color w:val="auto"/>
              </w:rPr>
            </w:pPr>
            <w:r>
              <w:rPr>
                <w:rFonts w:ascii="Arial" w:cs="Arial" w:eastAsia="Arial" w:hAnsi="Arial"/>
                <w:sz w:val="18"/>
                <w:szCs w:val="18"/>
                <w:color w:val="auto"/>
              </w:rPr>
              <w:t>$   12.03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6"/>
              <w:spacing w:after="0"/>
              <w:rPr>
                <w:sz w:val="20"/>
                <w:szCs w:val="20"/>
                <w:color w:val="auto"/>
              </w:rPr>
            </w:pPr>
            <w:r>
              <w:rPr>
                <w:rFonts w:ascii="Arial" w:cs="Arial" w:eastAsia="Arial" w:hAnsi="Arial"/>
                <w:sz w:val="18"/>
                <w:szCs w:val="18"/>
                <w:color w:val="auto"/>
              </w:rPr>
              <w:t>9.49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  10.25</w:t>
            </w:r>
          </w:p>
        </w:tc>
        <w:tc>
          <w:tcPr>
            <w:tcW w:w="110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10.57</w:t>
            </w:r>
          </w:p>
        </w:tc>
      </w:tr>
    </w:tbl>
    <w:p>
      <w:pPr>
        <w:spacing w:after="0" w:line="17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For Calendar 2004, 2003, and 2002, Transition 2002, and Fiscal 2002, unvested restricted stock awards were not included in the computation of diluted income (loss) per share because the effect would have been antidilutive. Additionally, convertible notes for Calendar 2003, Calendar 2002 and Transition 2002 were not included in the EPS calculation using the “as if converted” method because the effect would have been antidilutive.</w:t>
      </w:r>
    </w:p>
    <w:p>
      <w:pPr>
        <w:spacing w:after="0" w:line="1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following table provides information on the after-tax interest expense that was not added back to the numerator of the EPS calculation and the weighted average number of shares associated with the convertible debt that was not included in the denominator of the EPS calculation because the effect would have been antidilutive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239"/>
              <w:spacing w:after="0"/>
              <w:rPr>
                <w:sz w:val="20"/>
                <w:szCs w:val="20"/>
                <w:color w:val="auto"/>
              </w:rPr>
            </w:pPr>
            <w:r>
              <w:rPr>
                <w:rFonts w:ascii="Arial" w:cs="Arial" w:eastAsia="Arial" w:hAnsi="Arial"/>
                <w:sz w:val="14"/>
                <w:szCs w:val="14"/>
                <w:color w:val="auto"/>
              </w:rPr>
              <w:t>Calendar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419"/>
              <w:spacing w:after="0"/>
              <w:rPr>
                <w:sz w:val="20"/>
                <w:szCs w:val="20"/>
                <w:color w:val="auto"/>
              </w:rPr>
            </w:pPr>
            <w:r>
              <w:rPr>
                <w:rFonts w:ascii="Arial" w:cs="Arial" w:eastAsia="Arial" w:hAnsi="Arial"/>
                <w:sz w:val="14"/>
                <w:szCs w:val="14"/>
                <w:color w:val="auto"/>
              </w:rPr>
              <w:t>Transition</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Fiscal</w:t>
            </w:r>
          </w:p>
        </w:tc>
      </w:tr>
      <w:tr>
        <w:trPr>
          <w:trHeight w:val="142"/>
        </w:trPr>
        <w:tc>
          <w:tcPr>
            <w:tcW w:w="4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2004</w:t>
            </w:r>
          </w:p>
        </w:tc>
        <w:tc>
          <w:tcPr>
            <w:tcW w:w="4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color w:val="auto"/>
              </w:rPr>
              <w:t>2003</w:t>
            </w:r>
          </w:p>
        </w:tc>
        <w:tc>
          <w:tcPr>
            <w:tcW w:w="9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rPr>
              <w:t>2002</w:t>
            </w: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59"/>
              <w:spacing w:after="0" w:line="142" w:lineRule="exact"/>
              <w:rPr>
                <w:sz w:val="20"/>
                <w:szCs w:val="20"/>
                <w:color w:val="auto"/>
              </w:rPr>
            </w:pPr>
            <w:r>
              <w:rPr>
                <w:rFonts w:ascii="Arial" w:cs="Arial" w:eastAsia="Arial" w:hAnsi="Arial"/>
                <w:sz w:val="14"/>
                <w:szCs w:val="14"/>
                <w:color w:val="auto"/>
              </w:rPr>
              <w:t>2002</w:t>
            </w: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r>
      <w:tr>
        <w:trPr>
          <w:trHeight w:val="128"/>
        </w:trPr>
        <w:tc>
          <w:tcPr>
            <w:tcW w:w="4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gridSpan w:val="2"/>
          </w:tcPr>
          <w:p>
            <w:pPr>
              <w:ind w:left="220"/>
              <w:spacing w:after="0" w:line="128" w:lineRule="exact"/>
              <w:rPr>
                <w:sz w:val="20"/>
                <w:szCs w:val="20"/>
                <w:color w:val="auto"/>
              </w:rPr>
            </w:pPr>
            <w:r>
              <w:rPr>
                <w:rFonts w:ascii="Arial" w:cs="Arial" w:eastAsia="Arial" w:hAnsi="Arial"/>
                <w:sz w:val="14"/>
                <w:szCs w:val="14"/>
                <w:color w:val="auto"/>
              </w:rPr>
              <w:t>(Unaudited)</w:t>
            </w: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After-tax interest on convertible long-term debt</w:t>
            </w:r>
          </w:p>
        </w:tc>
        <w:tc>
          <w:tcPr>
            <w:tcW w:w="17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9"/>
              <w:spacing w:after="0"/>
              <w:rPr>
                <w:sz w:val="20"/>
                <w:szCs w:val="20"/>
                <w:color w:val="auto"/>
              </w:rPr>
            </w:pPr>
            <w:r>
              <w:rPr>
                <w:rFonts w:ascii="Arial" w:cs="Arial" w:eastAsia="Arial" w:hAnsi="Arial"/>
                <w:sz w:val="18"/>
                <w:szCs w:val="18"/>
                <w:color w:val="auto"/>
              </w:rPr>
              <w:t>$ 10,147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$ 12,566</w:t>
            </w:r>
          </w:p>
        </w:tc>
        <w:tc>
          <w:tcPr>
            <w:tcW w:w="1340" w:type="dxa"/>
            <w:vAlign w:val="bottom"/>
          </w:tcPr>
          <w:p>
            <w:pPr>
              <w:jc w:val="right"/>
              <w:ind w:right="359"/>
              <w:spacing w:after="0"/>
              <w:rPr>
                <w:sz w:val="20"/>
                <w:szCs w:val="20"/>
                <w:color w:val="auto"/>
              </w:rPr>
            </w:pPr>
            <w:r>
              <w:rPr>
                <w:rFonts w:ascii="Arial" w:cs="Arial" w:eastAsia="Arial" w:hAnsi="Arial"/>
                <w:sz w:val="18"/>
                <w:szCs w:val="18"/>
                <w:color w:val="auto"/>
              </w:rPr>
              <w:t>$  3,227</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N/A</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Weighted average shares associated with convertible debt</w:t>
            </w: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9"/>
              <w:spacing w:after="0"/>
              <w:rPr>
                <w:sz w:val="20"/>
                <w:szCs w:val="20"/>
                <w:color w:val="auto"/>
              </w:rPr>
            </w:pPr>
            <w:r>
              <w:rPr>
                <w:rFonts w:ascii="Arial" w:cs="Arial" w:eastAsia="Arial" w:hAnsi="Arial"/>
                <w:sz w:val="18"/>
                <w:szCs w:val="18"/>
                <w:color w:val="auto"/>
              </w:rPr>
              <w:t>37,035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45,995</w:t>
            </w:r>
          </w:p>
        </w:tc>
        <w:tc>
          <w:tcPr>
            <w:tcW w:w="1340" w:type="dxa"/>
            <w:vAlign w:val="bottom"/>
          </w:tcPr>
          <w:p>
            <w:pPr>
              <w:jc w:val="right"/>
              <w:ind w:right="359"/>
              <w:spacing w:after="0"/>
              <w:rPr>
                <w:sz w:val="20"/>
                <w:szCs w:val="20"/>
                <w:color w:val="auto"/>
              </w:rPr>
            </w:pPr>
            <w:r>
              <w:rPr>
                <w:rFonts w:ascii="Arial" w:cs="Arial" w:eastAsia="Arial" w:hAnsi="Arial"/>
                <w:sz w:val="18"/>
                <w:szCs w:val="18"/>
                <w:color w:val="auto"/>
              </w:rPr>
              <w:t>47,021</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N/A</w:t>
            </w:r>
          </w:p>
        </w:tc>
      </w:tr>
      <w:tr>
        <w:trPr>
          <w:trHeight w:val="405"/>
        </w:trPr>
        <w:tc>
          <w:tcPr>
            <w:tcW w:w="4880" w:type="dxa"/>
            <w:vAlign w:val="bottom"/>
          </w:tcPr>
          <w:p>
            <w:pPr>
              <w:spacing w:after="0"/>
              <w:rPr>
                <w:sz w:val="24"/>
                <w:szCs w:val="24"/>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8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components of income (loss) before income taxes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color w:val="auto"/>
                <w:w w:val="87"/>
              </w:rPr>
              <w:t>Calendar</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color w:val="auto"/>
              </w:rPr>
              <w:t>Calendar</w:t>
            </w:r>
          </w:p>
        </w:tc>
        <w:tc>
          <w:tcPr>
            <w:tcW w:w="1120" w:type="dxa"/>
            <w:vAlign w:val="bottom"/>
          </w:tcPr>
          <w:p>
            <w:pPr>
              <w:jc w:val="right"/>
              <w:ind w:right="217"/>
              <w:spacing w:after="0"/>
              <w:rPr>
                <w:sz w:val="20"/>
                <w:szCs w:val="20"/>
                <w:color w:val="auto"/>
              </w:rPr>
            </w:pPr>
            <w:r>
              <w:rPr>
                <w:rFonts w:ascii="Arial" w:cs="Arial" w:eastAsia="Arial" w:hAnsi="Arial"/>
                <w:sz w:val="14"/>
                <w:szCs w:val="14"/>
                <w:color w:val="auto"/>
              </w:rPr>
              <w:t>Transition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Fiscal</w:t>
            </w: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2004</w:t>
            </w:r>
          </w:p>
        </w:tc>
        <w:tc>
          <w:tcPr>
            <w:tcW w:w="3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2003</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2002</w:t>
            </w:r>
          </w:p>
        </w:tc>
        <w:tc>
          <w:tcPr>
            <w:tcW w:w="2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8,622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(2,972)</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 (18,357)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35,330</w:t>
            </w: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Non-U.S.</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25,840</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4"/>
              </w:rPr>
              <w:t>38,400</w:t>
            </w: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(1,665)</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38,081</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34,462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35,428</w:t>
            </w: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 (20,022)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73,411</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on the above income (loss) consists of the following components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color w:val="auto"/>
                <w:w w:val="87"/>
              </w:rPr>
              <w:t>Calendar</w:t>
            </w:r>
          </w:p>
        </w:tc>
        <w:tc>
          <w:tcPr>
            <w:tcW w:w="1140" w:type="dxa"/>
            <w:vAlign w:val="bottom"/>
            <w:gridSpan w:val="3"/>
          </w:tcPr>
          <w:p>
            <w:pPr>
              <w:jc w:val="right"/>
              <w:ind w:right="320"/>
              <w:spacing w:after="0"/>
              <w:rPr>
                <w:sz w:val="20"/>
                <w:szCs w:val="20"/>
                <w:color w:val="auto"/>
              </w:rPr>
            </w:pPr>
            <w:r>
              <w:rPr>
                <w:rFonts w:ascii="Arial" w:cs="Arial" w:eastAsia="Arial" w:hAnsi="Arial"/>
                <w:sz w:val="14"/>
                <w:szCs w:val="14"/>
                <w:color w:val="auto"/>
              </w:rPr>
              <w:t>Calendar</w:t>
            </w:r>
          </w:p>
        </w:tc>
        <w:tc>
          <w:tcPr>
            <w:tcW w:w="1120" w:type="dxa"/>
            <w:vAlign w:val="bottom"/>
            <w:gridSpan w:val="2"/>
          </w:tcPr>
          <w:p>
            <w:pPr>
              <w:jc w:val="right"/>
              <w:ind w:right="211"/>
              <w:spacing w:after="0"/>
              <w:rPr>
                <w:sz w:val="20"/>
                <w:szCs w:val="20"/>
                <w:color w:val="auto"/>
              </w:rPr>
            </w:pPr>
            <w:r>
              <w:rPr>
                <w:rFonts w:ascii="Arial" w:cs="Arial" w:eastAsia="Arial" w:hAnsi="Arial"/>
                <w:sz w:val="14"/>
                <w:szCs w:val="14"/>
                <w:color w:val="auto"/>
              </w:rPr>
              <w:t>Transition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Fiscal</w:t>
            </w: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2004</w:t>
            </w: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2003</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2002</w:t>
            </w:r>
          </w:p>
        </w:tc>
        <w:tc>
          <w:tcPr>
            <w:tcW w:w="2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5,137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(576)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276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5,591</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1,812</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r>
      <w:tr>
        <w:trPr>
          <w:trHeight w:val="223"/>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10,076</w:t>
            </w: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11,453</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1,194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11,649</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17,025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12,500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18,601</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Deferred tax (benefit)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(4,405)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(942)</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(5,774)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w:t>
            </w: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(2,659)</w:t>
            </w:r>
          </w:p>
        </w:tc>
        <w:tc>
          <w:tcPr>
            <w:tcW w:w="3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(788)</w:t>
            </w:r>
          </w:p>
        </w:tc>
        <w:tc>
          <w:tcPr>
            <w:tcW w:w="34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(2,392)</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(2,861)</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(652)</w:t>
            </w: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(9,456)</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(4,591)</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(7,382)</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4,029</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and 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7,569</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7,909</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22,630</w:t>
            </w: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Benefit from stock transactions with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10,004</w:t>
            </w:r>
          </w:p>
        </w:tc>
        <w:tc>
          <w:tcPr>
            <w:tcW w:w="3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3,930</w:t>
            </w:r>
          </w:p>
        </w:tc>
        <w:tc>
          <w:tcPr>
            <w:tcW w:w="34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acquired tax benefits applied to reduce goodwil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17,573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11,839</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(5,604)</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24,988</w:t>
            </w: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Current and long-term deferred tax assets and liabilities are comprised of the following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4"/>
                <w:szCs w:val="14"/>
                <w:color w:val="auto"/>
              </w:rPr>
            </w:pPr>
          </w:p>
        </w:tc>
      </w:tr>
      <w:tr>
        <w:trPr>
          <w:trHeight w:val="142"/>
        </w:trPr>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7,002</w:t>
            </w:r>
          </w:p>
        </w:tc>
        <w:tc>
          <w:tcPr>
            <w:tcW w:w="60" w:type="dxa"/>
            <w:vAlign w:val="bottom"/>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Expense accruals for book purposes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40,816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33,814</w:t>
            </w: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Loss and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41,821</w:t>
            </w:r>
          </w:p>
        </w:tc>
        <w:tc>
          <w:tcPr>
            <w:tcW w:w="60" w:type="dxa"/>
            <w:vAlign w:val="bottom"/>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1,874</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60" w:type="dxa"/>
            <w:vAlign w:val="bottom"/>
          </w:tcPr>
          <w:p>
            <w:pPr>
              <w:spacing w:after="0"/>
              <w:rPr>
                <w:sz w:val="18"/>
                <w:szCs w:val="18"/>
                <w:color w:val="auto"/>
              </w:rPr>
            </w:pPr>
          </w:p>
        </w:tc>
      </w:tr>
      <w:tr>
        <w:trPr>
          <w:trHeight w:val="223"/>
        </w:trPr>
        <w:tc>
          <w:tcPr>
            <w:tcW w:w="9440" w:type="dxa"/>
            <w:vAlign w:val="bottom"/>
          </w:tcPr>
          <w:p>
            <w:pPr>
              <w:ind w:left="220"/>
              <w:spacing w:after="0"/>
              <w:rPr>
                <w:sz w:val="20"/>
                <w:szCs w:val="20"/>
                <w:color w:val="auto"/>
              </w:rPr>
            </w:pPr>
            <w:r>
              <w:rPr>
                <w:rFonts w:ascii="Arial" w:cs="Arial" w:eastAsia="Arial" w:hAnsi="Arial"/>
                <w:sz w:val="18"/>
                <w:szCs w:val="18"/>
                <w:color w:val="auto"/>
              </w:rPr>
              <w:t>Gross deferred tax asset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108,763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85,050</w:t>
            </w: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Repatriation of foreign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(4,202)</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(2,429)</w:t>
            </w:r>
          </w:p>
        </w:tc>
        <w:tc>
          <w:tcPr>
            <w:tcW w:w="60" w:type="dxa"/>
            <w:vAlign w:val="bottom"/>
            <w:shd w:val="clear" w:color="auto" w:fill="CCEEFF"/>
          </w:tcPr>
          <w:p>
            <w:pPr>
              <w:spacing w:after="0"/>
              <w:rPr>
                <w:sz w:val="18"/>
                <w:szCs w:val="18"/>
                <w:color w:val="auto"/>
              </w:rPr>
            </w:pPr>
          </w:p>
        </w:tc>
      </w:tr>
      <w:tr>
        <w:trPr>
          <w:trHeight w:val="230"/>
        </w:trPr>
        <w:tc>
          <w:tcPr>
            <w:tcW w:w="9440" w:type="dxa"/>
            <w:vAlign w:val="bottom"/>
          </w:tcPr>
          <w:p>
            <w:pPr>
              <w:ind w:left="220"/>
              <w:spacing w:after="0"/>
              <w:rPr>
                <w:sz w:val="20"/>
                <w:szCs w:val="20"/>
                <w:color w:val="auto"/>
              </w:rPr>
            </w:pPr>
            <w:r>
              <w:rPr>
                <w:rFonts w:ascii="Arial" w:cs="Arial" w:eastAsia="Arial" w:hAnsi="Arial"/>
                <w:sz w:val="18"/>
                <w:szCs w:val="18"/>
                <w:color w:val="auto"/>
              </w:rPr>
              <w:t>Gross deferred tax liability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5"/>
              </w:rPr>
              <w:t>(11,286)</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(2,429)</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(41,008)</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(35,863)</w:t>
            </w:r>
          </w:p>
        </w:tc>
        <w:tc>
          <w:tcPr>
            <w:tcW w:w="60" w:type="dxa"/>
            <w:vAlign w:val="bottom"/>
          </w:tcPr>
          <w:p>
            <w:pPr>
              <w:spacing w:after="0"/>
              <w:rPr>
                <w:sz w:val="18"/>
                <w:szCs w:val="18"/>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56,469</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46,758</w:t>
            </w:r>
          </w:p>
        </w:tc>
        <w:tc>
          <w:tcPr>
            <w:tcW w:w="6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Current and long-term net deferred tax assets were $13.4 million and $43.1 million as of December 31, 2004, and $8.9 million and $37.9 million as of December 31, 2003, respectively, and are included in Prepaid expenses and other current assets and Other assets in the Consolidated Balance Sheets.</w:t>
      </w:r>
    </w:p>
    <w:p>
      <w:pPr>
        <w:spacing w:after="0" w:line="8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valuation allowance relates primarily to domestic state and local and foreign tax net operating loss and capital loss carryforwards that more likely than not will expire unutilized. The net increase in the valuation allowance of approximately $5.1 million in Calendar 2004 was primarily due to increases in foreign net operating losses, state and local net operating losses, and federal capital losses. Approximately $2.6 million of the valuation allowance will reduce additional paid-in-capital upon subsequent recognition of any related tax benefits related to stock options.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differences between the U.S. federal statutory income tax rate and the Company’s effective tax rate on income (loss) before income taxes are: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40" w:type="dxa"/>
            <w:vAlign w:val="bottom"/>
          </w:tcPr>
          <w:p>
            <w:pPr>
              <w:jc w:val="right"/>
              <w:ind w:right="352"/>
              <w:spacing w:after="0"/>
              <w:rPr>
                <w:sz w:val="20"/>
                <w:szCs w:val="20"/>
                <w:color w:val="auto"/>
              </w:rPr>
            </w:pPr>
            <w:r>
              <w:rPr>
                <w:rFonts w:ascii="Arial" w:cs="Arial" w:eastAsia="Arial" w:hAnsi="Arial"/>
                <w:sz w:val="14"/>
                <w:szCs w:val="14"/>
                <w:color w:val="auto"/>
              </w:rPr>
              <w:t>Calendar</w:t>
            </w:r>
          </w:p>
        </w:tc>
        <w:tc>
          <w:tcPr>
            <w:tcW w:w="1160" w:type="dxa"/>
            <w:vAlign w:val="bottom"/>
          </w:tcPr>
          <w:p>
            <w:pPr>
              <w:jc w:val="right"/>
              <w:ind w:right="332"/>
              <w:spacing w:after="0"/>
              <w:rPr>
                <w:sz w:val="20"/>
                <w:szCs w:val="20"/>
                <w:color w:val="auto"/>
              </w:rPr>
            </w:pPr>
            <w:r>
              <w:rPr>
                <w:rFonts w:ascii="Arial" w:cs="Arial" w:eastAsia="Arial" w:hAnsi="Arial"/>
                <w:sz w:val="14"/>
                <w:szCs w:val="14"/>
                <w:color w:val="auto"/>
              </w:rPr>
              <w:t>Calendar</w:t>
            </w:r>
          </w:p>
        </w:tc>
        <w:tc>
          <w:tcPr>
            <w:tcW w:w="1300" w:type="dxa"/>
            <w:vAlign w:val="bottom"/>
          </w:tcPr>
          <w:p>
            <w:pPr>
              <w:jc w:val="right"/>
              <w:ind w:right="432"/>
              <w:spacing w:after="0"/>
              <w:rPr>
                <w:sz w:val="20"/>
                <w:szCs w:val="20"/>
                <w:color w:val="auto"/>
              </w:rPr>
            </w:pPr>
            <w:r>
              <w:rPr>
                <w:rFonts w:ascii="Arial" w:cs="Arial" w:eastAsia="Arial" w:hAnsi="Arial"/>
                <w:sz w:val="14"/>
                <w:szCs w:val="14"/>
                <w:color w:val="auto"/>
              </w:rPr>
              <w:t>Transition</w:t>
            </w:r>
          </w:p>
        </w:tc>
        <w:tc>
          <w:tcPr>
            <w:tcW w:w="920" w:type="dxa"/>
            <w:vAlign w:val="bottom"/>
          </w:tcPr>
          <w:p>
            <w:pPr>
              <w:jc w:val="right"/>
              <w:ind w:right="232"/>
              <w:spacing w:after="0"/>
              <w:rPr>
                <w:sz w:val="20"/>
                <w:szCs w:val="20"/>
                <w:color w:val="auto"/>
              </w:rPr>
            </w:pPr>
            <w:r>
              <w:rPr>
                <w:rFonts w:ascii="Arial" w:cs="Arial" w:eastAsia="Arial" w:hAnsi="Arial"/>
                <w:sz w:val="14"/>
                <w:szCs w:val="14"/>
                <w:color w:val="auto"/>
              </w:rPr>
              <w:t>Fiscal</w:t>
            </w:r>
          </w:p>
        </w:tc>
      </w:tr>
      <w:tr>
        <w:trPr>
          <w:trHeight w:val="167"/>
        </w:trPr>
        <w:tc>
          <w:tcPr>
            <w:tcW w:w="7000" w:type="dxa"/>
            <w:vAlign w:val="bottom"/>
          </w:tcPr>
          <w:p>
            <w:pPr>
              <w:spacing w:after="0"/>
              <w:rPr>
                <w:sz w:val="14"/>
                <w:szCs w:val="14"/>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2004</w:t>
            </w: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2003</w:t>
            </w: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2002</w:t>
            </w: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2002</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35.0%</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35.0%</w:t>
            </w:r>
          </w:p>
        </w:tc>
        <w:tc>
          <w:tcPr>
            <w:tcW w:w="13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0.8</w:t>
            </w: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2.6</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(2.9)</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taxed at a different rate</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(0.9)</w:t>
            </w:r>
          </w:p>
        </w:tc>
        <w:tc>
          <w:tcPr>
            <w:tcW w:w="11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(11.4)</w:t>
            </w:r>
          </w:p>
        </w:tc>
        <w:tc>
          <w:tcPr>
            <w:tcW w:w="13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5.6</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Non-taxable income</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(1.1)</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(0.8)</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(0.3)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Exempt foreign trading gross receipts</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(0.5)</w:t>
            </w: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Non-deductible meals and entertainment</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2.1</w:t>
            </w: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1.7</w:t>
            </w: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0.6</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0.6</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Officers’ life insurance</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w:t>
            </w:r>
          </w:p>
        </w:tc>
        <w:tc>
          <w:tcPr>
            <w:tcW w:w="13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Jobs Creation Act – repatriation of foreign earnings</w:t>
            </w:r>
          </w:p>
        </w:tc>
        <w:tc>
          <w:tcPr>
            <w:tcW w:w="1040" w:type="dxa"/>
            <w:vAlign w:val="bottom"/>
          </w:tcPr>
          <w:p>
            <w:pPr>
              <w:jc w:val="right"/>
              <w:ind w:right="272"/>
              <w:spacing w:after="0"/>
              <w:rPr>
                <w:sz w:val="20"/>
                <w:szCs w:val="20"/>
                <w:color w:val="auto"/>
              </w:rPr>
            </w:pPr>
            <w:r>
              <w:rPr>
                <w:rFonts w:ascii="Arial" w:cs="Arial" w:eastAsia="Arial" w:hAnsi="Arial"/>
                <w:sz w:val="18"/>
                <w:szCs w:val="18"/>
                <w:color w:val="auto"/>
              </w:rPr>
              <w:t>14.6</w:t>
            </w: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credits</w:t>
            </w: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(3.1)</w:t>
            </w: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(Decrease) increase in valuation allowance</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(4.1)</w:t>
            </w: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0.9</w:t>
            </w: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3.0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write-off of goodwill and currency translation adjustments</w:t>
            </w:r>
          </w:p>
        </w:tc>
        <w:tc>
          <w:tcPr>
            <w:tcW w:w="10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3.8</w:t>
            </w:r>
          </w:p>
        </w:tc>
        <w:tc>
          <w:tcPr>
            <w:tcW w:w="11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items</w:t>
            </w: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4.4</w:t>
            </w: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2.8</w:t>
            </w: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0.5</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0"/>
        </w:trPr>
        <w:tc>
          <w:tcPr>
            <w:tcW w:w="7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51.0%</w:t>
            </w: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33.4%</w:t>
            </w:r>
          </w:p>
        </w:tc>
        <w:tc>
          <w:tcPr>
            <w:tcW w:w="1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(28.0)%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7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higher effective tax rate in Calendar 2004 is primarily attributable to repatriation charges offset by foreign tax credits and non-deductible book write-offs of currency translation and goodwill. The Company took a $5.0 million deferred tax charge in anticipation of repatriating approximately $52.0 million in earnings from the Company’s non US subsidiaries in 2005. The anticipated repatriation qualifies for a one-time reduced tax rate pursuant to the American Jobs Creation Act of 2004. This charge is the Company’s best current estimate of the tax cost related to the dividend repatriation. Such estimate may be revised as a result of additional guidance or clarifying language that may be issued by Congress and/or the Department of the Treasury, or any changes in the Company’s factual assumptions that may occur. The repatriation expense was partially offset by a deferred benefit of $3.5 for the generation of current year foreign tax credits and the release of valuation allowance on prior year foreign tax credits that will be used to offset foreign source income including the repatriated amounts. The Company also recorded charges in Calendar 2004 to write-off certain goodwill and currency translation adjustments. These charges are not deductible for tax purposes. The impact of these items increased tax expense by approximately $1.3 million.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2004, the Company had U.S. federal capital loss carryforwards of $26.4 million, of which $19.2 million will expire in one year,</w:t>
      </w:r>
    </w:p>
    <w:p>
      <w:pPr>
        <w:spacing w:after="0" w:line="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$3.6 million will expire in two years, and $3.6 million will expire in five years; foreign tax credit carryforwards of $12.7 million, of which $9.7 million will expire in six years, and the remaining will expire in seven to nine years; and federal alternative minimum tax credit carryforwards of $1.8 million which can be carried forward indefinitely. The Company had a federal net operating loss carryforward of $28.9 million, the majority of which will expire in 20 years, state and local tax net operating loss carryforwards of $250.2 million, of which $76.2 million will expire within one to five years, $40.2 million will expire within six to fifteen years, and $133.8 million will expire within sixteen to twenty years. The Company also had $76.8 million in state and local capital loss carryforwards, of which $69.6 million will expire as of December 31, 2004, $3.6 million will expire in Calendar 2005 and the remaining $3.6 million will expire in Calendar 2008. Lastly, the Company had foreign tax loss carryforwards of $19.1 million of which $7.3 million will expire in one to ten years and $11.8 million that can be carried forward indefinitely.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14—EMPLOYEE BENEFITS</w:t>
      </w:r>
    </w:p>
    <w:p>
      <w:pPr>
        <w:spacing w:after="0" w:line="18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Savings and investment plan. </w:t>
      </w:r>
      <w:r>
        <w:rPr>
          <w:rFonts w:ascii="Arial" w:cs="Arial" w:eastAsia="Arial" w:hAnsi="Arial"/>
          <w:sz w:val="18"/>
          <w:szCs w:val="18"/>
          <w:color w:val="auto"/>
        </w:rPr>
        <w:t>The Company has a savings and investment plan covering substantially all domestic employees. Company contributions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level of employee contributions. In addition, the Company also contributes fixed and discretionary profit sharing contributions set by the Board of Directors. Amounts expensed in connection with the plan totaled $9.5 million, $9.3 million, $1.9 million, and $9.5 million for Calendar 2004, Calendar 2003, Transition 2002, and for Fiscal 2002,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Deferred compensation employee stock trust. </w:t>
      </w:r>
      <w:r>
        <w:rPr>
          <w:rFonts w:ascii="Arial" w:cs="Arial" w:eastAsia="Arial" w:hAnsi="Arial"/>
          <w:sz w:val="16"/>
          <w:szCs w:val="16"/>
          <w:color w:val="auto"/>
        </w:rPr>
        <w:t>The Company has supplemental deferred compensation arrangements for the benefit of certain officers,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managers and other key employees. These arrangements are partially funded by life insurance contracts, which have been purchased by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permits the participants to diversify their investments. The value of the assets held, managed and invested, pursuant to the agreement was $13.4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$11.6 million at December 31, 2004 and 2003, respectively, and are included in Other assets. The corresponding deferred compensation liability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$15.7 million and $13.4 million at December 31, 2004 and 2003, respectively, is recorded at fair market value, and is adjusted with a corresponding charge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to compensation cost, to reflect the fair value of the amount owed to the employee and is included in Other liabilities. Total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for the plan was $0.3 million, $0.3 million, $0.1 million, and $0.6 million, for Calendar 2004, Calendar 2003, Transition 2002 and Fiscal 2002,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b w:val="1"/>
          <w:bCs w:val="1"/>
          <w:i w:val="1"/>
          <w:iCs w:val="1"/>
          <w:color w:val="auto"/>
        </w:rPr>
        <w:t xml:space="preserve">Defined benefit pension plan. </w:t>
      </w:r>
      <w:r>
        <w:rPr>
          <w:rFonts w:ascii="Arial" w:cs="Arial" w:eastAsia="Arial" w:hAnsi="Arial"/>
          <w:sz w:val="16"/>
          <w:szCs w:val="16"/>
          <w:color w:val="auto"/>
        </w:rPr>
        <w:t>The Company has a defined-benefit pension plan in one of its international locations. The plan is statutory in nature, covers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85 individuals, and is accounted for in accordance with the requirements of SFAS 87. Benefits paid under the plan are based on years of service and employee compensation and employees vest under the plan after five years of service. Benefits are paid under the plan through a reinsurance contract, which the Company maintains with a third-party insurance company. The Company pays an annual insurance premium for this coverage. In accordance with the requirements of SFAS 87, the reinsurance contract does not qualify as a plan asset since it is maintained outside of the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components of net periodic pension expense: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240"/>
              <w:spacing w:after="0"/>
              <w:rPr>
                <w:sz w:val="20"/>
                <w:szCs w:val="20"/>
                <w:color w:val="auto"/>
              </w:rPr>
            </w:pPr>
            <w:r>
              <w:rPr>
                <w:rFonts w:ascii="Arial" w:cs="Arial" w:eastAsia="Arial" w:hAnsi="Arial"/>
                <w:sz w:val="14"/>
                <w:szCs w:val="14"/>
                <w:color w:val="auto"/>
              </w:rPr>
              <w:t>Calendar</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Fiscal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81"/>
              <w:spacing w:after="0"/>
              <w:rPr>
                <w:sz w:val="20"/>
                <w:szCs w:val="20"/>
                <w:color w:val="auto"/>
              </w:rPr>
            </w:pPr>
            <w:r>
              <w:rPr>
                <w:rFonts w:ascii="Arial" w:cs="Arial" w:eastAsia="Arial" w:hAnsi="Arial"/>
                <w:sz w:val="14"/>
                <w:szCs w:val="14"/>
                <w:color w:val="auto"/>
              </w:rPr>
              <w:t>2004</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color w:val="auto"/>
                <w:w w:val="96"/>
              </w:rPr>
              <w:t>2003</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1,024</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8"/>
                <w:szCs w:val="18"/>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gain (loss)</w:t>
            </w: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Net periodic pension cost</w:t>
            </w:r>
          </w:p>
        </w:tc>
        <w:tc>
          <w:tcPr>
            <w:tcW w:w="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8"/>
                <w:szCs w:val="18"/>
                <w:color w:val="auto"/>
              </w:rPr>
              <w:t>1,382</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1,030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provides information related to changes in the projected benefit obligation:</w:t>
            </w: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154"/>
              <w:spacing w:after="0"/>
              <w:rPr>
                <w:sz w:val="20"/>
                <w:szCs w:val="20"/>
                <w:color w:val="auto"/>
              </w:rPr>
            </w:pPr>
            <w:r>
              <w:rPr>
                <w:rFonts w:ascii="Arial" w:cs="Arial" w:eastAsia="Arial" w:hAnsi="Arial"/>
                <w:sz w:val="14"/>
                <w:szCs w:val="14"/>
                <w:color w:val="auto"/>
                <w:w w:val="93"/>
              </w:rPr>
              <w:t>December 31,</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81"/>
              <w:spacing w:after="0" w:line="142" w:lineRule="exact"/>
              <w:rPr>
                <w:sz w:val="20"/>
                <w:szCs w:val="20"/>
                <w:color w:val="auto"/>
              </w:rPr>
            </w:pPr>
            <w:r>
              <w:rPr>
                <w:rFonts w:ascii="Arial" w:cs="Arial" w:eastAsia="Arial" w:hAnsi="Arial"/>
                <w:sz w:val="14"/>
                <w:szCs w:val="14"/>
                <w:color w:val="auto"/>
              </w:rPr>
              <w:t>2004</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4"/>
              <w:spacing w:after="0" w:line="142" w:lineRule="exact"/>
              <w:rPr>
                <w:sz w:val="20"/>
                <w:szCs w:val="20"/>
                <w:color w:val="auto"/>
              </w:rPr>
            </w:pPr>
            <w:r>
              <w:rPr>
                <w:rFonts w:ascii="Arial" w:cs="Arial" w:eastAsia="Arial" w:hAnsi="Arial"/>
                <w:sz w:val="14"/>
                <w:szCs w:val="14"/>
                <w:color w:val="auto"/>
                <w:w w:val="96"/>
              </w:rPr>
              <w:t>2003</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year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4,800</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2,241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Service cost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8"/>
                <w:szCs w:val="18"/>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843</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Actuarial gain (loss)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rPr>
              <w:t>1,738</w:t>
            </w:r>
          </w:p>
        </w:tc>
        <w:tc>
          <w:tcPr>
            <w:tcW w:w="260" w:type="dxa"/>
            <w:vAlign w:val="bottom"/>
          </w:tcPr>
          <w:p>
            <w:pPr>
              <w:spacing w:after="0"/>
              <w:rPr>
                <w:sz w:val="18"/>
                <w:szCs w:val="18"/>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458</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513</w:t>
            </w: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Projected benefit obligation at end of year</w:t>
            </w:r>
          </w:p>
        </w:tc>
        <w:tc>
          <w:tcPr>
            <w:tcW w:w="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8"/>
                <w:szCs w:val="18"/>
                <w:color w:val="auto"/>
              </w:rPr>
              <w:t>8,300</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4,800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provides information related to changes in the funded status of the plan:</w:t>
            </w: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154"/>
              <w:spacing w:after="0"/>
              <w:rPr>
                <w:sz w:val="20"/>
                <w:szCs w:val="20"/>
                <w:color w:val="auto"/>
              </w:rPr>
            </w:pPr>
            <w:r>
              <w:rPr>
                <w:rFonts w:ascii="Arial" w:cs="Arial" w:eastAsia="Arial" w:hAnsi="Arial"/>
                <w:sz w:val="14"/>
                <w:szCs w:val="14"/>
                <w:color w:val="auto"/>
                <w:w w:val="93"/>
              </w:rPr>
              <w:t>December 31,</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81"/>
              <w:spacing w:after="0" w:line="142" w:lineRule="exact"/>
              <w:rPr>
                <w:sz w:val="20"/>
                <w:szCs w:val="20"/>
                <w:color w:val="auto"/>
              </w:rPr>
            </w:pPr>
            <w:r>
              <w:rPr>
                <w:rFonts w:ascii="Arial" w:cs="Arial" w:eastAsia="Arial" w:hAnsi="Arial"/>
                <w:sz w:val="14"/>
                <w:szCs w:val="14"/>
                <w:color w:val="auto"/>
              </w:rPr>
              <w:t>2004</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4"/>
              <w:spacing w:after="0" w:line="142" w:lineRule="exact"/>
              <w:rPr>
                <w:sz w:val="20"/>
                <w:szCs w:val="20"/>
                <w:color w:val="auto"/>
              </w:rPr>
            </w:pPr>
            <w:r>
              <w:rPr>
                <w:rFonts w:ascii="Arial" w:cs="Arial" w:eastAsia="Arial" w:hAnsi="Arial"/>
                <w:sz w:val="14"/>
                <w:szCs w:val="14"/>
                <w:color w:val="auto"/>
                <w:w w:val="96"/>
              </w:rPr>
              <w:t>2003</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8,300</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4,800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Unrecognized net loss</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8"/>
                <w:szCs w:val="18"/>
                <w:color w:val="auto"/>
              </w:rPr>
              <w:t>(2,859)</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(1,077)</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5,442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3,723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the balance sheet consists of:</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Accrued pension benefit - other liabilities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5,442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3,723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Assumptions used in the computation of net periodic pension expense are as follows:</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3"/>
          </w:tcPr>
          <w:p>
            <w:pPr>
              <w:jc w:val="center"/>
              <w:ind w:right="34"/>
              <w:spacing w:after="0"/>
              <w:rPr>
                <w:sz w:val="20"/>
                <w:szCs w:val="20"/>
                <w:color w:val="auto"/>
              </w:rPr>
            </w:pPr>
            <w:r>
              <w:rPr>
                <w:rFonts w:ascii="Arial" w:cs="Arial" w:eastAsia="Arial" w:hAnsi="Arial"/>
                <w:sz w:val="14"/>
                <w:szCs w:val="14"/>
                <w:color w:val="auto"/>
                <w:w w:val="91"/>
              </w:rPr>
              <w:t>Calendar</w:t>
            </w:r>
          </w:p>
        </w:tc>
        <w:tc>
          <w:tcPr>
            <w:tcW w:w="240" w:type="dxa"/>
            <w:vAlign w:val="bottom"/>
          </w:tcPr>
          <w:p>
            <w:pPr>
              <w:spacing w:after="0"/>
              <w:rPr>
                <w:sz w:val="24"/>
                <w:szCs w:val="24"/>
                <w:color w:val="auto"/>
              </w:rPr>
            </w:pPr>
          </w:p>
        </w:tc>
        <w:tc>
          <w:tcPr>
            <w:tcW w:w="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Fiscal</w:t>
            </w:r>
          </w:p>
        </w:tc>
        <w:tc>
          <w:tcPr>
            <w:tcW w:w="0" w:type="dxa"/>
            <w:vAlign w:val="bottom"/>
          </w:tcPr>
          <w:p>
            <w:pPr>
              <w:spacing w:after="0"/>
              <w:rPr>
                <w:sz w:val="1"/>
                <w:szCs w:val="1"/>
                <w:color w:val="auto"/>
              </w:rPr>
            </w:pPr>
          </w:p>
        </w:tc>
      </w:tr>
      <w:tr>
        <w:trPr>
          <w:trHeight w:val="142"/>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discount rate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01"/>
              <w:spacing w:after="0" w:line="142" w:lineRule="exact"/>
              <w:rPr>
                <w:sz w:val="20"/>
                <w:szCs w:val="20"/>
                <w:color w:val="auto"/>
              </w:rPr>
            </w:pPr>
            <w:r>
              <w:rPr>
                <w:rFonts w:ascii="Arial" w:cs="Arial" w:eastAsia="Arial" w:hAnsi="Arial"/>
                <w:sz w:val="14"/>
                <w:szCs w:val="14"/>
                <w:color w:val="auto"/>
              </w:rPr>
              <w:t>2004</w:t>
            </w:r>
          </w:p>
        </w:tc>
        <w:tc>
          <w:tcPr>
            <w:tcW w:w="260" w:type="dxa"/>
            <w:vAlign w:val="bottom"/>
          </w:tcPr>
          <w:p>
            <w:pPr>
              <w:spacing w:after="0"/>
              <w:rPr>
                <w:sz w:val="12"/>
                <w:szCs w:val="12"/>
                <w:color w:val="auto"/>
              </w:rPr>
            </w:pPr>
          </w:p>
        </w:tc>
        <w:tc>
          <w:tcPr>
            <w:tcW w:w="840" w:type="dxa"/>
            <w:vAlign w:val="bottom"/>
          </w:tcPr>
          <w:p>
            <w:pPr>
              <w:ind w:left="260"/>
              <w:spacing w:after="0" w:line="142" w:lineRule="exact"/>
              <w:rPr>
                <w:sz w:val="20"/>
                <w:szCs w:val="20"/>
                <w:color w:val="auto"/>
              </w:rPr>
            </w:pPr>
            <w:r>
              <w:rPr>
                <w:rFonts w:ascii="Arial" w:cs="Arial" w:eastAsia="Arial" w:hAnsi="Arial"/>
                <w:sz w:val="14"/>
                <w:szCs w:val="14"/>
                <w:color w:val="auto"/>
              </w:rPr>
              <w:t>2003</w:t>
            </w:r>
          </w:p>
        </w:tc>
        <w:tc>
          <w:tcPr>
            <w:tcW w:w="240" w:type="dxa"/>
            <w:vAlign w:val="bottom"/>
          </w:tcPr>
          <w:p>
            <w:pPr>
              <w:spacing w:after="0"/>
              <w:rPr>
                <w:sz w:val="12"/>
                <w:szCs w:val="12"/>
                <w:color w:val="auto"/>
              </w:rPr>
            </w:pPr>
          </w:p>
        </w:tc>
        <w:tc>
          <w:tcPr>
            <w:tcW w:w="580" w:type="dxa"/>
            <w:vAlign w:val="bottom"/>
          </w:tcPr>
          <w:p>
            <w:pPr>
              <w:jc w:val="right"/>
              <w:ind w:right="16"/>
              <w:spacing w:after="0" w:line="142" w:lineRule="exact"/>
              <w:rPr>
                <w:sz w:val="20"/>
                <w:szCs w:val="20"/>
                <w:color w:val="auto"/>
              </w:rPr>
            </w:pPr>
            <w:r>
              <w:rPr>
                <w:rFonts w:ascii="Arial" w:cs="Arial" w:eastAsia="Arial" w:hAnsi="Arial"/>
                <w:sz w:val="14"/>
                <w:szCs w:val="14"/>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62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5.50%</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5.75%</w:t>
            </w:r>
          </w:p>
        </w:tc>
        <w:tc>
          <w:tcPr>
            <w:tcW w:w="2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w w:val="93"/>
              </w:rPr>
              <w:t>5.75%</w:t>
            </w: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Average compensation increase</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20"/>
                <w:szCs w:val="20"/>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392"/>
        </w:trPr>
        <w:tc>
          <w:tcPr>
            <w:tcW w:w="7620" w:type="dxa"/>
            <w:vAlign w:val="bottom"/>
            <w:gridSpan w:val="2"/>
          </w:tcPr>
          <w:p>
            <w:pPr>
              <w:spacing w:after="0"/>
              <w:rPr>
                <w:sz w:val="20"/>
                <w:szCs w:val="20"/>
                <w:color w:val="auto"/>
              </w:rPr>
            </w:pPr>
            <w:r>
              <w:rPr>
                <w:rFonts w:ascii="Arial" w:cs="Arial" w:eastAsia="Arial" w:hAnsi="Arial"/>
                <w:sz w:val="18"/>
                <w:szCs w:val="18"/>
                <w:color w:val="auto"/>
              </w:rPr>
              <w:t>Assumptions used in the computation of the benefit obligation are as follows: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3"/>
          </w:tcPr>
          <w:p>
            <w:pPr>
              <w:jc w:val="center"/>
              <w:ind w:right="34"/>
              <w:spacing w:after="0"/>
              <w:rPr>
                <w:sz w:val="20"/>
                <w:szCs w:val="20"/>
                <w:color w:val="auto"/>
              </w:rPr>
            </w:pPr>
            <w:r>
              <w:rPr>
                <w:rFonts w:ascii="Arial" w:cs="Arial" w:eastAsia="Arial" w:hAnsi="Arial"/>
                <w:sz w:val="14"/>
                <w:szCs w:val="14"/>
                <w:color w:val="auto"/>
                <w:w w:val="91"/>
              </w:rPr>
              <w:t>Calendar</w:t>
            </w:r>
          </w:p>
        </w:tc>
        <w:tc>
          <w:tcPr>
            <w:tcW w:w="240" w:type="dxa"/>
            <w:vAlign w:val="bottom"/>
          </w:tcPr>
          <w:p>
            <w:pPr>
              <w:spacing w:after="0"/>
              <w:rPr>
                <w:sz w:val="24"/>
                <w:szCs w:val="24"/>
                <w:color w:val="auto"/>
              </w:rPr>
            </w:pPr>
          </w:p>
        </w:tc>
        <w:tc>
          <w:tcPr>
            <w:tcW w:w="6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Fiscal</w:t>
            </w:r>
          </w:p>
        </w:tc>
        <w:tc>
          <w:tcPr>
            <w:tcW w:w="0" w:type="dxa"/>
            <w:vAlign w:val="bottom"/>
          </w:tcPr>
          <w:p>
            <w:pPr>
              <w:spacing w:after="0"/>
              <w:rPr>
                <w:sz w:val="1"/>
                <w:szCs w:val="1"/>
                <w:color w:val="auto"/>
              </w:rPr>
            </w:pPr>
          </w:p>
        </w:tc>
      </w:tr>
      <w:tr>
        <w:trPr>
          <w:trHeight w:val="142"/>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discount rate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01"/>
              <w:spacing w:after="0" w:line="142" w:lineRule="exact"/>
              <w:rPr>
                <w:sz w:val="20"/>
                <w:szCs w:val="20"/>
                <w:color w:val="auto"/>
              </w:rPr>
            </w:pPr>
            <w:r>
              <w:rPr>
                <w:rFonts w:ascii="Arial" w:cs="Arial" w:eastAsia="Arial" w:hAnsi="Arial"/>
                <w:sz w:val="14"/>
                <w:szCs w:val="14"/>
                <w:color w:val="auto"/>
              </w:rPr>
              <w:t>2004</w:t>
            </w:r>
          </w:p>
        </w:tc>
        <w:tc>
          <w:tcPr>
            <w:tcW w:w="260" w:type="dxa"/>
            <w:vAlign w:val="bottom"/>
          </w:tcPr>
          <w:p>
            <w:pPr>
              <w:spacing w:after="0"/>
              <w:rPr>
                <w:sz w:val="12"/>
                <w:szCs w:val="12"/>
                <w:color w:val="auto"/>
              </w:rPr>
            </w:pPr>
          </w:p>
        </w:tc>
        <w:tc>
          <w:tcPr>
            <w:tcW w:w="840" w:type="dxa"/>
            <w:vAlign w:val="bottom"/>
          </w:tcPr>
          <w:p>
            <w:pPr>
              <w:ind w:left="260"/>
              <w:spacing w:after="0" w:line="142" w:lineRule="exact"/>
              <w:rPr>
                <w:sz w:val="20"/>
                <w:szCs w:val="20"/>
                <w:color w:val="auto"/>
              </w:rPr>
            </w:pPr>
            <w:r>
              <w:rPr>
                <w:rFonts w:ascii="Arial" w:cs="Arial" w:eastAsia="Arial" w:hAnsi="Arial"/>
                <w:sz w:val="14"/>
                <w:szCs w:val="14"/>
                <w:color w:val="auto"/>
              </w:rPr>
              <w:t>2003</w:t>
            </w:r>
          </w:p>
        </w:tc>
        <w:tc>
          <w:tcPr>
            <w:tcW w:w="240" w:type="dxa"/>
            <w:vAlign w:val="bottom"/>
          </w:tcPr>
          <w:p>
            <w:pPr>
              <w:spacing w:after="0"/>
              <w:rPr>
                <w:sz w:val="12"/>
                <w:szCs w:val="12"/>
                <w:color w:val="auto"/>
              </w:rPr>
            </w:pPr>
          </w:p>
        </w:tc>
        <w:tc>
          <w:tcPr>
            <w:tcW w:w="580" w:type="dxa"/>
            <w:vAlign w:val="bottom"/>
          </w:tcPr>
          <w:p>
            <w:pPr>
              <w:jc w:val="right"/>
              <w:ind w:right="16"/>
              <w:spacing w:after="0" w:line="142" w:lineRule="exact"/>
              <w:rPr>
                <w:sz w:val="20"/>
                <w:szCs w:val="20"/>
                <w:color w:val="auto"/>
              </w:rPr>
            </w:pPr>
            <w:r>
              <w:rPr>
                <w:rFonts w:ascii="Arial" w:cs="Arial" w:eastAsia="Arial" w:hAnsi="Arial"/>
                <w:sz w:val="14"/>
                <w:szCs w:val="14"/>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62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4.50%</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5.50%</w:t>
            </w:r>
          </w:p>
        </w:tc>
        <w:tc>
          <w:tcPr>
            <w:tcW w:w="2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180"/>
              <w:spacing w:after="0" w:line="195" w:lineRule="exact"/>
              <w:rPr>
                <w:sz w:val="20"/>
                <w:szCs w:val="20"/>
                <w:color w:val="auto"/>
              </w:rPr>
            </w:pPr>
            <w:r>
              <w:rPr>
                <w:rFonts w:ascii="Arial" w:cs="Arial" w:eastAsia="Arial" w:hAnsi="Arial"/>
                <w:sz w:val="18"/>
                <w:szCs w:val="18"/>
                <w:color w:val="auto"/>
                <w:w w:val="93"/>
              </w:rPr>
              <w:t>6.00%</w:t>
            </w: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Average compensation increase</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20"/>
                <w:szCs w:val="20"/>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392"/>
        </w:trPr>
        <w:tc>
          <w:tcPr>
            <w:tcW w:w="7620" w:type="dxa"/>
            <w:vAlign w:val="bottom"/>
            <w:gridSpan w:val="2"/>
          </w:tcPr>
          <w:p>
            <w:pPr>
              <w:ind w:left="5620"/>
              <w:spacing w:after="0"/>
              <w:rPr>
                <w:sz w:val="20"/>
                <w:szCs w:val="20"/>
                <w:color w:val="auto"/>
              </w:rPr>
            </w:pPr>
            <w:r>
              <w:rPr>
                <w:rFonts w:ascii="Arial" w:cs="Arial" w:eastAsia="Arial" w:hAnsi="Arial"/>
                <w:sz w:val="18"/>
                <w:szCs w:val="18"/>
                <w:color w:val="auto"/>
              </w:rPr>
              <w:t>63</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15—SEGMENT INFORMATION</w:t>
      </w:r>
    </w:p>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manages its business in three reportable segments: research, consulting and events. Research consists primarily of subscription-based research products. Consulting consists primarily of consulting, measurement engagements and strategic advisory services. Events consists of various symposia, conferences and exhibitions.</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evaluates reportable segment performance and allocate resources based on gross contribution margin. Gross contribution, as presented below, is defined as operating income excluding certain selling, general and administrative expenses, depreciation, amortization of intangibles and other charges. The accounting policies used by the reportable segments are the same as those used by the Company.</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earns revenue from clients in many countries. Other than the United States, there is no individual country in which revenues from external clients represent 10% or more of the Company’s consolidated revenues. Additionally, no single client accounted for 10% or more of total revenue and the loss of a single client, in management’s opinion, would not have a material adverse effect on revenues.</w:t>
      </w:r>
    </w:p>
    <w:p>
      <w:pPr>
        <w:spacing w:after="0" w:line="1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 does not identify or allocate assets, including capital expenditures, by operating segment. Accordingly, assets are not being reported by segment because the information is not available by segment and is not reviewed in the evaluation of performance or making decisions in the allocation of resources.</w:t>
      </w:r>
    </w:p>
    <w:p>
      <w:pPr>
        <w:spacing w:after="0" w:line="14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following tables present information about reportable segments (in thousands). The “Other” column includes certain revenues and corporate and other expenses (primarily selling, general and administrative) unallocated to reportable segments, expenses allocated to operations that do not meet the segment reporting quantitative threshold, and other charges. There are no intersegment revenues: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Research</w:t>
            </w:r>
          </w:p>
        </w:tc>
        <w:tc>
          <w:tcPr>
            <w:tcW w:w="11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color w:val="auto"/>
              </w:rPr>
              <w:t>Consulting</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8"/>
              </w:rPr>
              <w:t>Events</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Other</w:t>
            </w: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Calendar 2004</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Revenues</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w w:val="84"/>
              </w:rPr>
              <w:t>$ 480,486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259,419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w w:val="89"/>
              </w:rPr>
              <w:t>138,393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2"/>
              <w:spacing w:after="0"/>
              <w:rPr>
                <w:sz w:val="20"/>
                <w:szCs w:val="20"/>
                <w:color w:val="auto"/>
              </w:rPr>
            </w:pPr>
            <w:r>
              <w:rPr>
                <w:rFonts w:ascii="Arial" w:cs="Arial" w:eastAsia="Arial" w:hAnsi="Arial"/>
                <w:sz w:val="18"/>
                <w:szCs w:val="18"/>
                <w:color w:val="auto"/>
                <w:w w:val="94"/>
              </w:rPr>
              <w:t>15,523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893,821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Contribution</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292,704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92,711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69,462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4"/>
              </w:rPr>
              <w:t>13,940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Corporate and other expenses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(426,158)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Calendar 2003</w:t>
            </w: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$ 466,907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9"/>
              </w:rPr>
              <w:t>258,628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9"/>
              </w:rPr>
              <w:t>119,355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4"/>
              </w:rPr>
              <w:t>13,556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Gross Contribution</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292,874</w:t>
            </w:r>
          </w:p>
        </w:tc>
        <w:tc>
          <w:tcPr>
            <w:tcW w:w="32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86,778</w:t>
            </w:r>
          </w:p>
        </w:tc>
        <w:tc>
          <w:tcPr>
            <w:tcW w:w="32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56,004</w:t>
            </w:r>
          </w:p>
        </w:tc>
        <w:tc>
          <w:tcPr>
            <w:tcW w:w="3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color w:val="auto"/>
                <w:w w:val="94"/>
              </w:rPr>
              <w:t>10,081</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and other expenses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(398,404)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Calendar 2002 (unaudited)</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Revenues</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w w:val="84"/>
              </w:rPr>
              <w:t>$ 486,967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276,059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w w:val="89"/>
              </w:rPr>
              <w:t>109,694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2"/>
              <w:spacing w:after="0"/>
              <w:rPr>
                <w:sz w:val="20"/>
                <w:szCs w:val="20"/>
                <w:color w:val="auto"/>
              </w:rPr>
            </w:pPr>
            <w:r>
              <w:rPr>
                <w:rFonts w:ascii="Arial" w:cs="Arial" w:eastAsia="Arial" w:hAnsi="Arial"/>
                <w:sz w:val="18"/>
                <w:szCs w:val="18"/>
                <w:color w:val="auto"/>
                <w:w w:val="94"/>
              </w:rPr>
              <w:t>14,873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887,593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Contribution</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318,709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9"/>
              </w:rPr>
              <w:t>102,780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56,101</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4"/>
              </w:rPr>
              <w:t>10,184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Corporate and other expenses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(438,233)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Transition 2002</w:t>
            </w: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$ 120,038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58,098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47,169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Gross Contribution</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76,932</w:t>
            </w:r>
          </w:p>
        </w:tc>
        <w:tc>
          <w:tcPr>
            <w:tcW w:w="32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18,883</w:t>
            </w:r>
          </w:p>
        </w:tc>
        <w:tc>
          <w:tcPr>
            <w:tcW w:w="32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27,622</w:t>
            </w:r>
          </w:p>
        </w:tc>
        <w:tc>
          <w:tcPr>
            <w:tcW w:w="3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and other expenses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(139,963)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2002</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Revenues</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w w:val="84"/>
              </w:rPr>
              <w:t>$ 496,403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273,692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w w:val="89"/>
              </w:rPr>
              <w:t>121,991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2"/>
              <w:spacing w:after="0"/>
              <w:rPr>
                <w:sz w:val="20"/>
                <w:szCs w:val="20"/>
                <w:color w:val="auto"/>
              </w:rPr>
            </w:pPr>
            <w:r>
              <w:rPr>
                <w:rFonts w:ascii="Arial" w:cs="Arial" w:eastAsia="Arial" w:hAnsi="Arial"/>
                <w:sz w:val="18"/>
                <w:szCs w:val="18"/>
                <w:color w:val="auto"/>
                <w:w w:val="94"/>
              </w:rPr>
              <w:t>15,088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Contribution</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326,345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97,924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65,405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9,316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Corporate and other expenses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(402,807)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consolidated revenues are generated primarily through direct sales to clients by domestic and international sales forces and a network of independent international sales agents. The Company defines “Other International Revenues” as revenues attributable to all areas located outside of the United States, Canada and Europe. Most of the Company’s products and services are provided on an integrated worldwide basis. Because of the integration of products and services delivery, it is not practical to separate precisely the Company’s revenues by geographic location.</w:t>
      </w:r>
    </w:p>
    <w:p>
      <w:pPr>
        <w:sectPr>
          <w:pgSz w:w="11900" w:h="16838" w:orient="portrait"/>
          <w:cols w:equalWidth="0" w:num="1">
            <w:col w:w="11420"/>
          </w:cols>
          <w:pgMar w:left="240" w:top="41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Long-lived assets exclude goodwill and other intangible assets. Accordingly, the separation set forth in the table below is based upon internal allocations, which involve certain management estimates and judgments.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by geographic location is as follows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34"/>
              <w:spacing w:after="0"/>
              <w:rPr>
                <w:sz w:val="20"/>
                <w:szCs w:val="20"/>
                <w:color w:val="auto"/>
              </w:rPr>
            </w:pPr>
            <w:r>
              <w:rPr>
                <w:rFonts w:ascii="Arial" w:cs="Arial" w:eastAsia="Arial" w:hAnsi="Arial"/>
                <w:sz w:val="14"/>
                <w:szCs w:val="14"/>
                <w:color w:val="auto"/>
                <w:w w:val="87"/>
              </w:rPr>
              <w:t>Calendar</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192"/>
              <w:spacing w:after="0"/>
              <w:rPr>
                <w:sz w:val="20"/>
                <w:szCs w:val="20"/>
                <w:color w:val="auto"/>
              </w:rPr>
            </w:pPr>
            <w:r>
              <w:rPr>
                <w:rFonts w:ascii="Arial" w:cs="Arial" w:eastAsia="Arial" w:hAnsi="Arial"/>
                <w:sz w:val="14"/>
                <w:szCs w:val="14"/>
                <w:color w:val="auto"/>
              </w:rPr>
              <w:t>Transition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Fiscal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2004</w:t>
            </w: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color w:val="auto"/>
              </w:rPr>
              <w:t>2003</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2002</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2002</w:t>
            </w:r>
          </w:p>
        </w:tc>
        <w:tc>
          <w:tcPr>
            <w:tcW w:w="2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2002</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3"/>
          </w:tcPr>
          <w:p>
            <w:pPr>
              <w:ind w:left="220"/>
              <w:spacing w:after="0" w:line="142" w:lineRule="exact"/>
              <w:rPr>
                <w:sz w:val="20"/>
                <w:szCs w:val="20"/>
                <w:color w:val="auto"/>
              </w:rPr>
            </w:pPr>
            <w:r>
              <w:rPr>
                <w:rFonts w:ascii="Arial" w:cs="Arial" w:eastAsia="Arial" w:hAnsi="Arial"/>
                <w:sz w:val="14"/>
                <w:szCs w:val="14"/>
                <w:color w:val="auto"/>
              </w:rPr>
              <w:t>(Unaudited)</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United States and Canada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w w:val="89"/>
              </w:rPr>
              <w:t>559,416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4"/>
              <w:spacing w:after="0"/>
              <w:rPr>
                <w:sz w:val="20"/>
                <w:szCs w:val="20"/>
                <w:color w:val="auto"/>
              </w:rPr>
            </w:pPr>
            <w:r>
              <w:rPr>
                <w:rFonts w:ascii="Arial" w:cs="Arial" w:eastAsia="Arial" w:hAnsi="Arial"/>
                <w:sz w:val="18"/>
                <w:szCs w:val="18"/>
                <w:color w:val="auto"/>
                <w:w w:val="89"/>
              </w:rPr>
              <w:t>535,694</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576,491</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w w:val="89"/>
              </w:rPr>
              <w:t>148,585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595,331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 Middle East and Africa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9"/>
              </w:rPr>
              <w:t>262,953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9"/>
              </w:rPr>
              <w:t>252,264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241,322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62,412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242,099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Other International</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71,452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70,488</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69,780</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18,817</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9"/>
              </w:rPr>
              <w:t>893,821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9"/>
              </w:rPr>
              <w:t>858,446</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887,593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9"/>
              </w:rPr>
              <w:t>229,814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907,174</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Long-lived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and Canada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74,200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67,081</w:t>
            </w:r>
          </w:p>
        </w:tc>
        <w:tc>
          <w:tcPr>
            <w:tcW w:w="3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74,298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74,298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13,877</w:t>
            </w:r>
          </w:p>
        </w:tc>
        <w:tc>
          <w:tcPr>
            <w:tcW w:w="320" w:type="dxa"/>
            <w:vAlign w:val="bottom"/>
          </w:tcPr>
          <w:p>
            <w:pPr>
              <w:spacing w:after="0"/>
              <w:rPr>
                <w:sz w:val="18"/>
                <w:szCs w:val="18"/>
                <w:color w:val="auto"/>
              </w:rPr>
            </w:pPr>
          </w:p>
        </w:tc>
        <w:tc>
          <w:tcPr>
            <w:tcW w:w="840" w:type="dxa"/>
            <w:vAlign w:val="bottom"/>
          </w:tcPr>
          <w:p>
            <w:pPr>
              <w:jc w:val="right"/>
              <w:ind w:right="154"/>
              <w:spacing w:after="0"/>
              <w:rPr>
                <w:sz w:val="20"/>
                <w:szCs w:val="20"/>
                <w:color w:val="auto"/>
              </w:rPr>
            </w:pPr>
            <w:r>
              <w:rPr>
                <w:rFonts w:ascii="Arial" w:cs="Arial" w:eastAsia="Arial" w:hAnsi="Arial"/>
                <w:sz w:val="18"/>
                <w:szCs w:val="18"/>
                <w:color w:val="auto"/>
              </w:rPr>
              <w:t>16,400</w:t>
            </w:r>
          </w:p>
        </w:tc>
        <w:tc>
          <w:tcPr>
            <w:tcW w:w="3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17,496</w:t>
            </w:r>
          </w:p>
        </w:tc>
        <w:tc>
          <w:tcPr>
            <w:tcW w:w="320" w:type="dxa"/>
            <w:vAlign w:val="bottom"/>
          </w:tcPr>
          <w:p>
            <w:pPr>
              <w:spacing w:after="0"/>
              <w:rPr>
                <w:sz w:val="18"/>
                <w:szCs w:val="18"/>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17,496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International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3,316</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3,793</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3,925</w:t>
            </w: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Total long-lived assets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91,393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87,274</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95,719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95,719</w:t>
            </w: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100,841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consists of property and equipment, certain security deposits, and certain other long-term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15—VALUATION AND QUALIFYING ACCOUNTS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allowance for doubtful accounts and returns and allowances,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color w:val="auto"/>
                <w:w w:val="97"/>
              </w:rPr>
              <w:t>Additions</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9"/>
              </w:rPr>
              <w:t>Charged</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2"/>
              </w:rPr>
              <w:t>As a</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As 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(Subtractions</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9"/>
              </w:rPr>
              <w:t>% of</w:t>
            </w: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7"/>
              </w:rPr>
              <w:t>Additions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620" w:type="dxa"/>
            <w:vAlign w:val="bottom"/>
          </w:tcPr>
          <w:p>
            <w:pPr>
              <w:spacing w:after="0"/>
              <w:rPr>
                <w:sz w:val="12"/>
                <w:szCs w:val="12"/>
                <w:color w:val="auto"/>
              </w:rPr>
            </w:pP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0"/>
              </w:rPr>
              <w:t>Balance at</w:t>
            </w:r>
          </w:p>
        </w:tc>
        <w:tc>
          <w:tcPr>
            <w:tcW w:w="1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7"/>
              </w:rPr>
              <w:t>Credited)</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Year-</w:t>
            </w:r>
          </w:p>
        </w:tc>
        <w:tc>
          <w:tcPr>
            <w:tcW w:w="10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9"/>
              </w:rPr>
              <w:t>Charged</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Deductions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Year-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Balance</w:t>
            </w:r>
          </w:p>
        </w:tc>
      </w:tr>
      <w:tr>
        <w:trPr>
          <w:trHeight w:val="149"/>
        </w:trPr>
        <w:tc>
          <w:tcPr>
            <w:tcW w:w="3620" w:type="dxa"/>
            <w:vAlign w:val="bottom"/>
          </w:tcPr>
          <w:p>
            <w:pPr>
              <w:spacing w:after="0"/>
              <w:rPr>
                <w:sz w:val="12"/>
                <w:szCs w:val="12"/>
                <w:color w:val="auto"/>
              </w:rPr>
            </w:pP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6"/>
              </w:rPr>
              <w:t>Beginning</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 Costs and</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6"/>
              </w:rPr>
              <w:t>End</w:t>
            </w:r>
          </w:p>
        </w:tc>
        <w:tc>
          <w:tcPr>
            <w:tcW w:w="100" w:type="dxa"/>
            <w:vAlign w:val="bottom"/>
          </w:tcPr>
          <w:p>
            <w:pPr>
              <w:spacing w:after="0"/>
              <w:rPr>
                <w:sz w:val="12"/>
                <w:szCs w:val="12"/>
                <w:color w:val="auto"/>
              </w:rPr>
            </w:pPr>
          </w:p>
        </w:tc>
        <w:tc>
          <w:tcPr>
            <w:tcW w:w="10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4"/>
              </w:rPr>
              <w:t>to Other</w:t>
            </w:r>
          </w:p>
        </w:tc>
        <w:tc>
          <w:tcPr>
            <w:tcW w:w="10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9"/>
              </w:rPr>
              <w:t>from</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End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at End</w:t>
            </w:r>
          </w:p>
        </w:tc>
      </w:tr>
      <w:tr>
        <w:trPr>
          <w:trHeight w:val="167"/>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color w:val="auto"/>
                <w:w w:val="92"/>
              </w:rPr>
              <w:t>of Year</w:t>
            </w:r>
          </w:p>
        </w:tc>
        <w:tc>
          <w:tcPr>
            <w:tcW w:w="100" w:type="dxa"/>
            <w:vAlign w:val="bottom"/>
          </w:tcPr>
          <w:p>
            <w:pPr>
              <w:spacing w:after="0"/>
              <w:rPr>
                <w:sz w:val="14"/>
                <w:szCs w:val="14"/>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Expenses</w:t>
            </w: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color w:val="auto"/>
                <w:w w:val="99"/>
              </w:rPr>
              <w:t>Amount</w:t>
            </w:r>
          </w:p>
        </w:tc>
        <w:tc>
          <w:tcPr>
            <w:tcW w:w="1180" w:type="dxa"/>
            <w:vAlign w:val="bottom"/>
            <w:gridSpan w:val="3"/>
          </w:tcPr>
          <w:p>
            <w:pPr>
              <w:spacing w:after="0"/>
              <w:rPr>
                <w:sz w:val="20"/>
                <w:szCs w:val="20"/>
                <w:color w:val="auto"/>
              </w:rPr>
            </w:pPr>
            <w:r>
              <w:rPr>
                <w:rFonts w:ascii="Arial" w:cs="Arial" w:eastAsia="Arial" w:hAnsi="Arial"/>
                <w:sz w:val="14"/>
                <w:szCs w:val="14"/>
                <w:color w:val="auto"/>
              </w:rPr>
              <w:t>Accounts (1)</w:t>
            </w:r>
          </w:p>
        </w:tc>
        <w:tc>
          <w:tcPr>
            <w:tcW w:w="10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Reserve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of Year</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2002:</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and returns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and allowances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9,119</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7,719</w:t>
            </w:r>
          </w:p>
        </w:tc>
        <w:tc>
          <w:tcPr>
            <w:tcW w:w="4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Transition 2002: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and returns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and allowances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2,329</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2,329</w:t>
            </w:r>
          </w:p>
        </w:tc>
        <w:tc>
          <w:tcPr>
            <w:tcW w:w="4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Calendar 2003: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and returns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and allowances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8,276</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8,276</w:t>
            </w:r>
          </w:p>
        </w:tc>
        <w:tc>
          <w:tcPr>
            <w:tcW w:w="4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Calendar 2004: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and returns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and allowances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(3,700)</w:t>
            </w: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13,283</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10,133</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(1) Amounts charged to revenues.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on Form 10-K to be signed on its behalf by the undersigned, duly authorized, in Stamford, Connecticut, on March 16, 2005.</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Gartner, Inc.</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Date: March 16, 2005</w:t>
            </w:r>
          </w:p>
        </w:tc>
        <w:tc>
          <w:tcPr>
            <w:tcW w:w="3600" w:type="dxa"/>
            <w:vAlign w:val="bottom"/>
          </w:tcPr>
          <w:p>
            <w:pPr>
              <w:ind w:left="2780"/>
              <w:spacing w:after="0"/>
              <w:rPr>
                <w:sz w:val="20"/>
                <w:szCs w:val="20"/>
                <w:color w:val="auto"/>
              </w:rPr>
            </w:pPr>
            <w:r>
              <w:rPr>
                <w:rFonts w:ascii="Arial" w:cs="Arial" w:eastAsia="Arial" w:hAnsi="Arial"/>
                <w:sz w:val="18"/>
                <w:szCs w:val="18"/>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Eugene A. Hall</w:t>
            </w:r>
          </w:p>
        </w:tc>
      </w:tr>
      <w:tr>
        <w:trPr>
          <w:trHeight w:val="209"/>
        </w:trPr>
        <w:tc>
          <w:tcPr>
            <w:tcW w:w="4380" w:type="dxa"/>
            <w:vAlign w:val="bottom"/>
          </w:tcPr>
          <w:p>
            <w:pPr>
              <w:spacing w:after="0"/>
              <w:rPr>
                <w:sz w:val="18"/>
                <w:szCs w:val="18"/>
                <w:color w:val="auto"/>
              </w:rPr>
            </w:pPr>
          </w:p>
        </w:tc>
        <w:tc>
          <w:tcPr>
            <w:tcW w:w="3600" w:type="dxa"/>
            <w:vAlign w:val="bottom"/>
          </w:tcPr>
          <w:p>
            <w:pPr>
              <w:ind w:left="2780"/>
              <w:spacing w:after="0"/>
              <w:rPr>
                <w:sz w:val="20"/>
                <w:szCs w:val="20"/>
                <w:color w:val="auto"/>
              </w:rPr>
            </w:pPr>
            <w:r>
              <w:rPr>
                <w:rFonts w:ascii="Arial" w:cs="Arial" w:eastAsia="Arial" w:hAnsi="Arial"/>
                <w:sz w:val="18"/>
                <w:szCs w:val="18"/>
                <w:color w:val="auto"/>
                <w:w w:val="95"/>
              </w:rPr>
              <w:t>Eugene A.</w:t>
            </w:r>
          </w:p>
        </w:tc>
        <w:tc>
          <w:tcPr>
            <w:tcW w:w="3440" w:type="dxa"/>
            <w:vAlign w:val="bottom"/>
          </w:tcPr>
          <w:p>
            <w:pPr>
              <w:spacing w:after="0"/>
              <w:rPr>
                <w:sz w:val="20"/>
                <w:szCs w:val="20"/>
                <w:color w:val="auto"/>
              </w:rPr>
            </w:pPr>
            <w:r>
              <w:rPr>
                <w:rFonts w:ascii="Arial" w:cs="Arial" w:eastAsia="Arial" w:hAnsi="Arial"/>
                <w:sz w:val="18"/>
                <w:szCs w:val="18"/>
                <w:color w:val="auto"/>
              </w:rPr>
              <w:t>Hall</w:t>
            </w:r>
          </w:p>
        </w:tc>
      </w:tr>
      <w:tr>
        <w:trPr>
          <w:trHeight w:val="230"/>
        </w:trPr>
        <w:tc>
          <w:tcPr>
            <w:tcW w:w="4380" w:type="dxa"/>
            <w:vAlign w:val="bottom"/>
          </w:tcPr>
          <w:p>
            <w:pPr>
              <w:spacing w:after="0"/>
              <w:rPr>
                <w:sz w:val="20"/>
                <w:szCs w:val="20"/>
                <w:color w:val="auto"/>
              </w:rPr>
            </w:pPr>
          </w:p>
        </w:tc>
        <w:tc>
          <w:tcPr>
            <w:tcW w:w="7040" w:type="dxa"/>
            <w:vAlign w:val="bottom"/>
            <w:gridSpan w:val="2"/>
          </w:tcPr>
          <w:p>
            <w:pPr>
              <w:ind w:left="2780"/>
              <w:spacing w:after="0"/>
              <w:rPr>
                <w:sz w:val="20"/>
                <w:szCs w:val="20"/>
                <w:color w:val="auto"/>
              </w:rPr>
            </w:pPr>
            <w:r>
              <w:rPr>
                <w:rFonts w:ascii="Arial" w:cs="Arial" w:eastAsia="Arial" w:hAnsi="Arial"/>
                <w:sz w:val="18"/>
                <w:szCs w:val="18"/>
                <w:color w:val="auto"/>
              </w:rPr>
              <w:t>Chief Executive Officer</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Each person whose signature appears below appoints Eugene A. Hall and Christopher Lafond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340" w:type="dxa"/>
            <w:vAlign w:val="bottom"/>
          </w:tcPr>
          <w:p>
            <w:pPr>
              <w:ind w:left="440"/>
              <w:spacing w:after="0"/>
              <w:rPr>
                <w:sz w:val="20"/>
                <w:szCs w:val="20"/>
                <w:color w:val="auto"/>
              </w:rPr>
            </w:pPr>
            <w:r>
              <w:rPr>
                <w:rFonts w:ascii="Arial" w:cs="Arial" w:eastAsia="Arial" w:hAnsi="Arial"/>
                <w:sz w:val="14"/>
                <w:szCs w:val="14"/>
                <w:b w:val="1"/>
                <w:bCs w:val="1"/>
                <w:color w:val="auto"/>
              </w:rPr>
              <w:t>Title</w:t>
            </w:r>
          </w:p>
        </w:tc>
        <w:tc>
          <w:tcPr>
            <w:tcW w:w="3580" w:type="dxa"/>
            <w:vAlign w:val="bottom"/>
          </w:tcPr>
          <w:p>
            <w:pPr>
              <w:ind w:left="12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 Eugene A. Hall</w:t>
            </w:r>
          </w:p>
        </w:tc>
        <w:tc>
          <w:tcPr>
            <w:tcW w:w="4340" w:type="dxa"/>
            <w:vAlign w:val="bottom"/>
            <w:vMerge w:val="restart"/>
          </w:tcPr>
          <w:p>
            <w:pPr>
              <w:ind w:left="440"/>
              <w:spacing w:after="0"/>
              <w:rPr>
                <w:sz w:val="20"/>
                <w:szCs w:val="20"/>
                <w:color w:val="auto"/>
              </w:rPr>
            </w:pPr>
            <w:r>
              <w:rPr>
                <w:rFonts w:ascii="Arial" w:cs="Arial" w:eastAsia="Arial" w:hAnsi="Arial"/>
                <w:sz w:val="18"/>
                <w:szCs w:val="18"/>
                <w:color w:val="auto"/>
              </w:rPr>
              <w:t>Director and Chief Executive Officer</w:t>
            </w:r>
          </w:p>
        </w:tc>
        <w:tc>
          <w:tcPr>
            <w:tcW w:w="3580" w:type="dxa"/>
            <w:vAlign w:val="bottom"/>
            <w:vMerge w:val="restart"/>
          </w:tcPr>
          <w:p>
            <w:pPr>
              <w:ind w:left="1240"/>
              <w:spacing w:after="0"/>
              <w:rPr>
                <w:sz w:val="20"/>
                <w:szCs w:val="20"/>
                <w:color w:val="auto"/>
              </w:rPr>
            </w:pPr>
            <w:r>
              <w:rPr>
                <w:rFonts w:ascii="Arial" w:cs="Arial" w:eastAsia="Arial" w:hAnsi="Arial"/>
                <w:sz w:val="18"/>
                <w:szCs w:val="18"/>
                <w:color w:val="auto"/>
              </w:rPr>
              <w:t>March 16, 2005</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4340" w:type="dxa"/>
            <w:vAlign w:val="bottom"/>
            <w:vMerge w:val="continue"/>
          </w:tcPr>
          <w:p>
            <w:pPr>
              <w:spacing w:after="0"/>
              <w:rPr>
                <w:sz w:val="8"/>
                <w:szCs w:val="8"/>
                <w:color w:val="auto"/>
              </w:rPr>
            </w:pPr>
          </w:p>
        </w:tc>
        <w:tc>
          <w:tcPr>
            <w:tcW w:w="3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500" w:type="dxa"/>
            <w:vAlign w:val="bottom"/>
            <w:vMerge w:val="restart"/>
          </w:tcPr>
          <w:p>
            <w:pPr>
              <w:spacing w:after="0"/>
              <w:rPr>
                <w:sz w:val="20"/>
                <w:szCs w:val="20"/>
                <w:color w:val="auto"/>
              </w:rPr>
            </w:pPr>
            <w:r>
              <w:rPr>
                <w:rFonts w:ascii="Arial" w:cs="Arial" w:eastAsia="Arial" w:hAnsi="Arial"/>
                <w:sz w:val="18"/>
                <w:szCs w:val="18"/>
                <w:color w:val="auto"/>
              </w:rPr>
              <w:t>Eugene A. Hall</w:t>
            </w:r>
          </w:p>
        </w:tc>
        <w:tc>
          <w:tcPr>
            <w:tcW w:w="4340" w:type="dxa"/>
            <w:vAlign w:val="bottom"/>
            <w:vMerge w:val="continue"/>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500" w:type="dxa"/>
            <w:vAlign w:val="bottom"/>
            <w:vMerge w:val="continue"/>
          </w:tcPr>
          <w:p>
            <w:pPr>
              <w:spacing w:after="0"/>
              <w:rPr>
                <w:sz w:val="20"/>
                <w:szCs w:val="20"/>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(Principal Executive Officer)</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Christopher Lafond</w:t>
            </w:r>
          </w:p>
        </w:tc>
        <w:tc>
          <w:tcPr>
            <w:tcW w:w="4340" w:type="dxa"/>
            <w:vAlign w:val="bottom"/>
            <w:vMerge w:val="restart"/>
          </w:tcPr>
          <w:p>
            <w:pPr>
              <w:ind w:left="440"/>
              <w:spacing w:after="0"/>
              <w:rPr>
                <w:sz w:val="20"/>
                <w:szCs w:val="20"/>
                <w:color w:val="auto"/>
              </w:rPr>
            </w:pPr>
            <w:r>
              <w:rPr>
                <w:rFonts w:ascii="Arial" w:cs="Arial" w:eastAsia="Arial" w:hAnsi="Arial"/>
                <w:sz w:val="18"/>
                <w:szCs w:val="18"/>
                <w:color w:val="auto"/>
              </w:rPr>
              <w:t>Executive Vice President and</w:t>
            </w:r>
          </w:p>
        </w:tc>
        <w:tc>
          <w:tcPr>
            <w:tcW w:w="3580" w:type="dxa"/>
            <w:vAlign w:val="bottom"/>
            <w:vMerge w:val="restart"/>
          </w:tcPr>
          <w:p>
            <w:pPr>
              <w:ind w:left="1240"/>
              <w:spacing w:after="0"/>
              <w:rPr>
                <w:sz w:val="20"/>
                <w:szCs w:val="20"/>
                <w:color w:val="auto"/>
              </w:rPr>
            </w:pPr>
            <w:r>
              <w:rPr>
                <w:rFonts w:ascii="Arial" w:cs="Arial" w:eastAsia="Arial" w:hAnsi="Arial"/>
                <w:sz w:val="18"/>
                <w:szCs w:val="18"/>
                <w:color w:val="auto"/>
              </w:rPr>
              <w:t>March 16, 2005</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4340" w:type="dxa"/>
            <w:vAlign w:val="bottom"/>
            <w:vMerge w:val="continue"/>
          </w:tcPr>
          <w:p>
            <w:pPr>
              <w:spacing w:after="0"/>
              <w:rPr>
                <w:sz w:val="8"/>
                <w:szCs w:val="8"/>
                <w:color w:val="auto"/>
              </w:rPr>
            </w:pPr>
          </w:p>
        </w:tc>
        <w:tc>
          <w:tcPr>
            <w:tcW w:w="3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500" w:type="dxa"/>
            <w:vAlign w:val="bottom"/>
            <w:vMerge w:val="restart"/>
          </w:tcPr>
          <w:p>
            <w:pPr>
              <w:spacing w:after="0"/>
              <w:rPr>
                <w:sz w:val="20"/>
                <w:szCs w:val="20"/>
                <w:color w:val="auto"/>
              </w:rPr>
            </w:pPr>
            <w:r>
              <w:rPr>
                <w:rFonts w:ascii="Arial" w:cs="Arial" w:eastAsia="Arial" w:hAnsi="Arial"/>
                <w:sz w:val="18"/>
                <w:szCs w:val="18"/>
                <w:color w:val="auto"/>
              </w:rPr>
              <w:t>Christopher Lafond</w:t>
            </w:r>
          </w:p>
        </w:tc>
        <w:tc>
          <w:tcPr>
            <w:tcW w:w="4340" w:type="dxa"/>
            <w:vAlign w:val="bottom"/>
            <w:vMerge w:val="continue"/>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Chief Financial Officer</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(Principal Financial and</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Accounting Officer)</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Michael J. Bingle</w:t>
            </w:r>
          </w:p>
        </w:tc>
        <w:tc>
          <w:tcPr>
            <w:tcW w:w="434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1240"/>
              <w:spacing w:after="0"/>
              <w:rPr>
                <w:sz w:val="20"/>
                <w:szCs w:val="20"/>
                <w:color w:val="auto"/>
              </w:rPr>
            </w:pPr>
            <w:r>
              <w:rPr>
                <w:rFonts w:ascii="Arial" w:cs="Arial" w:eastAsia="Arial" w:hAnsi="Arial"/>
                <w:sz w:val="18"/>
                <w:szCs w:val="18"/>
                <w:color w:val="auto"/>
              </w:rPr>
              <w:t>March 16, 2005</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Michael J. Bingle</w:t>
            </w:r>
          </w:p>
        </w:tc>
        <w:tc>
          <w:tcPr>
            <w:tcW w:w="4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Anne Sutherland Fuchs</w:t>
            </w:r>
          </w:p>
        </w:tc>
        <w:tc>
          <w:tcPr>
            <w:tcW w:w="434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1240"/>
              <w:spacing w:after="0"/>
              <w:rPr>
                <w:sz w:val="20"/>
                <w:szCs w:val="20"/>
                <w:color w:val="auto"/>
              </w:rPr>
            </w:pPr>
            <w:r>
              <w:rPr>
                <w:rFonts w:ascii="Arial" w:cs="Arial" w:eastAsia="Arial" w:hAnsi="Arial"/>
                <w:sz w:val="18"/>
                <w:szCs w:val="18"/>
                <w:color w:val="auto"/>
              </w:rPr>
              <w:t>March 16, 2005</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Anne Sutherland Fuchs</w:t>
            </w:r>
          </w:p>
        </w:tc>
        <w:tc>
          <w:tcPr>
            <w:tcW w:w="4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William O. Grabe</w:t>
            </w:r>
          </w:p>
        </w:tc>
        <w:tc>
          <w:tcPr>
            <w:tcW w:w="434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1240"/>
              <w:spacing w:after="0"/>
              <w:rPr>
                <w:sz w:val="20"/>
                <w:szCs w:val="20"/>
                <w:color w:val="auto"/>
              </w:rPr>
            </w:pPr>
            <w:r>
              <w:rPr>
                <w:rFonts w:ascii="Arial" w:cs="Arial" w:eastAsia="Arial" w:hAnsi="Arial"/>
                <w:sz w:val="18"/>
                <w:szCs w:val="18"/>
                <w:color w:val="auto"/>
              </w:rPr>
              <w:t>March 16, 2005</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William O. Grabe</w:t>
            </w:r>
          </w:p>
        </w:tc>
        <w:tc>
          <w:tcPr>
            <w:tcW w:w="4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Max D. Hopper</w:t>
            </w:r>
          </w:p>
        </w:tc>
        <w:tc>
          <w:tcPr>
            <w:tcW w:w="434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1240"/>
              <w:spacing w:after="0"/>
              <w:rPr>
                <w:sz w:val="20"/>
                <w:szCs w:val="20"/>
                <w:color w:val="auto"/>
              </w:rPr>
            </w:pPr>
            <w:r>
              <w:rPr>
                <w:rFonts w:ascii="Arial" w:cs="Arial" w:eastAsia="Arial" w:hAnsi="Arial"/>
                <w:sz w:val="18"/>
                <w:szCs w:val="18"/>
                <w:color w:val="auto"/>
              </w:rPr>
              <w:t>March 16, 2005</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Max D. Hopper</w:t>
            </w:r>
          </w:p>
        </w:tc>
        <w:tc>
          <w:tcPr>
            <w:tcW w:w="4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Glenn Hutchins</w:t>
            </w:r>
          </w:p>
        </w:tc>
        <w:tc>
          <w:tcPr>
            <w:tcW w:w="434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1240"/>
              <w:spacing w:after="0"/>
              <w:rPr>
                <w:sz w:val="20"/>
                <w:szCs w:val="20"/>
                <w:color w:val="auto"/>
              </w:rPr>
            </w:pPr>
            <w:r>
              <w:rPr>
                <w:rFonts w:ascii="Arial" w:cs="Arial" w:eastAsia="Arial" w:hAnsi="Arial"/>
                <w:sz w:val="18"/>
                <w:szCs w:val="18"/>
                <w:color w:val="auto"/>
              </w:rPr>
              <w:t>March 16, 2005</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Glenn Hutchins</w:t>
            </w:r>
          </w:p>
        </w:tc>
        <w:tc>
          <w:tcPr>
            <w:tcW w:w="4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Stephen G. Pagliuca</w:t>
            </w:r>
          </w:p>
        </w:tc>
        <w:tc>
          <w:tcPr>
            <w:tcW w:w="4340" w:type="dxa"/>
            <w:vAlign w:val="bottom"/>
          </w:tcPr>
          <w:p>
            <w:pPr>
              <w:ind w:left="440"/>
              <w:spacing w:after="0"/>
              <w:rPr>
                <w:sz w:val="20"/>
                <w:szCs w:val="20"/>
                <w:color w:val="auto"/>
              </w:rPr>
            </w:pPr>
            <w:r>
              <w:rPr>
                <w:rFonts w:ascii="Arial" w:cs="Arial" w:eastAsia="Arial" w:hAnsi="Arial"/>
                <w:sz w:val="18"/>
                <w:szCs w:val="18"/>
                <w:color w:val="auto"/>
              </w:rPr>
              <w:t>Director</w:t>
            </w:r>
          </w:p>
        </w:tc>
        <w:tc>
          <w:tcPr>
            <w:tcW w:w="3580" w:type="dxa"/>
            <w:vAlign w:val="bottom"/>
          </w:tcPr>
          <w:p>
            <w:pPr>
              <w:ind w:left="1240"/>
              <w:spacing w:after="0"/>
              <w:rPr>
                <w:sz w:val="20"/>
                <w:szCs w:val="20"/>
                <w:color w:val="auto"/>
              </w:rPr>
            </w:pPr>
            <w:r>
              <w:rPr>
                <w:rFonts w:ascii="Arial" w:cs="Arial" w:eastAsia="Arial" w:hAnsi="Arial"/>
                <w:sz w:val="18"/>
                <w:szCs w:val="18"/>
                <w:color w:val="auto"/>
              </w:rPr>
              <w:t>March 16, 2005</w:t>
            </w:r>
          </w:p>
        </w:tc>
        <w:tc>
          <w:tcPr>
            <w:tcW w:w="0" w:type="dxa"/>
            <w:vAlign w:val="bottom"/>
          </w:tcPr>
          <w:p>
            <w:pPr>
              <w:spacing w:after="0"/>
              <w:rPr>
                <w:sz w:val="1"/>
                <w:szCs w:val="1"/>
                <w:color w:val="auto"/>
              </w:rPr>
            </w:pPr>
          </w:p>
        </w:tc>
      </w:tr>
      <w:tr>
        <w:trPr>
          <w:trHeight w:val="95"/>
        </w:trPr>
        <w:tc>
          <w:tcPr>
            <w:tcW w:w="350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Stephen G. Pagliuca</w:t>
            </w:r>
          </w:p>
        </w:tc>
        <w:tc>
          <w:tcPr>
            <w:tcW w:w="4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00" w:type="dxa"/>
            <w:vAlign w:val="bottom"/>
          </w:tcPr>
          <w:p>
            <w:pPr>
              <w:spacing w:after="0"/>
              <w:rPr>
                <w:sz w:val="24"/>
                <w:szCs w:val="24"/>
                <w:color w:val="auto"/>
              </w:rPr>
            </w:pPr>
          </w:p>
        </w:tc>
        <w:tc>
          <w:tcPr>
            <w:tcW w:w="4340" w:type="dxa"/>
            <w:vAlign w:val="bottom"/>
          </w:tcPr>
          <w:p>
            <w:pPr>
              <w:ind w:left="2120"/>
              <w:spacing w:after="0"/>
              <w:rPr>
                <w:sz w:val="20"/>
                <w:szCs w:val="20"/>
                <w:color w:val="auto"/>
              </w:rPr>
            </w:pPr>
            <w:r>
              <w:rPr>
                <w:rFonts w:ascii="Arial" w:cs="Arial" w:eastAsia="Arial" w:hAnsi="Arial"/>
                <w:sz w:val="18"/>
                <w:szCs w:val="18"/>
                <w:color w:val="auto"/>
              </w:rPr>
              <w:t>66</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tcPr>
          <w:p>
            <w:pPr>
              <w:ind w:left="440"/>
              <w:spacing w:after="0"/>
              <w:rPr>
                <w:sz w:val="20"/>
                <w:szCs w:val="20"/>
                <w:color w:val="auto"/>
              </w:rPr>
            </w:pPr>
            <w:r>
              <w:rPr>
                <w:rFonts w:ascii="Arial" w:cs="Arial" w:eastAsia="Arial" w:hAnsi="Arial"/>
                <w:sz w:val="14"/>
                <w:szCs w:val="14"/>
                <w:b w:val="1"/>
                <w:bCs w:val="1"/>
                <w:color w:val="auto"/>
              </w:rPr>
              <w:t>Title</w:t>
            </w:r>
          </w:p>
        </w:tc>
        <w:tc>
          <w:tcPr>
            <w:tcW w:w="5140" w:type="dxa"/>
            <w:vAlign w:val="bottom"/>
          </w:tcPr>
          <w:p>
            <w:pPr>
              <w:ind w:left="4000"/>
              <w:spacing w:after="0"/>
              <w:rPr>
                <w:sz w:val="20"/>
                <w:szCs w:val="20"/>
                <w:color w:val="auto"/>
              </w:rPr>
            </w:pPr>
            <w:r>
              <w:rPr>
                <w:rFonts w:ascii="Arial" w:cs="Arial" w:eastAsia="Arial" w:hAnsi="Arial"/>
                <w:sz w:val="14"/>
                <w:szCs w:val="14"/>
                <w:b w:val="1"/>
                <w:bCs w:val="1"/>
                <w:color w:val="auto"/>
              </w:rPr>
              <w:t>Date</w:t>
            </w:r>
          </w:p>
        </w:tc>
      </w:tr>
      <w:tr>
        <w:trPr>
          <w:trHeight w:val="417"/>
        </w:trPr>
        <w:tc>
          <w:tcPr>
            <w:tcW w:w="3500" w:type="dxa"/>
            <w:vAlign w:val="bottom"/>
          </w:tcPr>
          <w:p>
            <w:pPr>
              <w:spacing w:after="0"/>
              <w:rPr>
                <w:sz w:val="20"/>
                <w:szCs w:val="20"/>
                <w:color w:val="auto"/>
              </w:rPr>
            </w:pPr>
            <w:r>
              <w:rPr>
                <w:rFonts w:ascii="Arial" w:cs="Arial" w:eastAsia="Arial" w:hAnsi="Arial"/>
                <w:sz w:val="18"/>
                <w:szCs w:val="18"/>
                <w:color w:val="auto"/>
              </w:rPr>
              <w:t>/s/ James C. Smith</w:t>
            </w:r>
          </w:p>
        </w:tc>
        <w:tc>
          <w:tcPr>
            <w:tcW w:w="1580" w:type="dxa"/>
            <w:vAlign w:val="bottom"/>
          </w:tcPr>
          <w:p>
            <w:pPr>
              <w:ind w:left="440"/>
              <w:spacing w:after="0"/>
              <w:rPr>
                <w:sz w:val="20"/>
                <w:szCs w:val="20"/>
                <w:color w:val="auto"/>
              </w:rPr>
            </w:pPr>
            <w:r>
              <w:rPr>
                <w:rFonts w:ascii="Arial" w:cs="Arial" w:eastAsia="Arial" w:hAnsi="Arial"/>
                <w:sz w:val="18"/>
                <w:szCs w:val="18"/>
                <w:color w:val="auto"/>
              </w:rPr>
              <w:t>Director</w:t>
            </w:r>
          </w:p>
        </w:tc>
        <w:tc>
          <w:tcPr>
            <w:tcW w:w="5140" w:type="dxa"/>
            <w:vAlign w:val="bottom"/>
          </w:tcPr>
          <w:p>
            <w:pPr>
              <w:ind w:left="4000"/>
              <w:spacing w:after="0"/>
              <w:rPr>
                <w:sz w:val="20"/>
                <w:szCs w:val="20"/>
                <w:color w:val="auto"/>
              </w:rPr>
            </w:pPr>
            <w:r>
              <w:rPr>
                <w:rFonts w:ascii="Arial" w:cs="Arial" w:eastAsia="Arial" w:hAnsi="Arial"/>
                <w:sz w:val="18"/>
                <w:szCs w:val="18"/>
                <w:color w:val="auto"/>
                <w:w w:val="89"/>
              </w:rPr>
              <w:t>March 16, 2005</w:t>
            </w:r>
          </w:p>
        </w:tc>
      </w:tr>
      <w:tr>
        <w:trPr>
          <w:trHeight w:val="95"/>
        </w:trPr>
        <w:tc>
          <w:tcPr>
            <w:tcW w:w="350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5140" w:type="dxa"/>
            <w:vAlign w:val="bottom"/>
          </w:tcPr>
          <w:p>
            <w:pPr>
              <w:spacing w:after="0"/>
              <w:rPr>
                <w:sz w:val="8"/>
                <w:szCs w:val="8"/>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James C. Smith</w:t>
            </w:r>
          </w:p>
        </w:tc>
        <w:tc>
          <w:tcPr>
            <w:tcW w:w="15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Jeffrey W. Ubben</w:t>
            </w:r>
          </w:p>
        </w:tc>
        <w:tc>
          <w:tcPr>
            <w:tcW w:w="1580" w:type="dxa"/>
            <w:vAlign w:val="bottom"/>
          </w:tcPr>
          <w:p>
            <w:pPr>
              <w:ind w:left="440"/>
              <w:spacing w:after="0"/>
              <w:rPr>
                <w:sz w:val="20"/>
                <w:szCs w:val="20"/>
                <w:color w:val="auto"/>
              </w:rPr>
            </w:pPr>
            <w:r>
              <w:rPr>
                <w:rFonts w:ascii="Arial" w:cs="Arial" w:eastAsia="Arial" w:hAnsi="Arial"/>
                <w:sz w:val="18"/>
                <w:szCs w:val="18"/>
                <w:color w:val="auto"/>
              </w:rPr>
              <w:t>Director</w:t>
            </w:r>
          </w:p>
        </w:tc>
        <w:tc>
          <w:tcPr>
            <w:tcW w:w="5140" w:type="dxa"/>
            <w:vAlign w:val="bottom"/>
          </w:tcPr>
          <w:p>
            <w:pPr>
              <w:ind w:left="4000"/>
              <w:spacing w:after="0"/>
              <w:rPr>
                <w:sz w:val="20"/>
                <w:szCs w:val="20"/>
                <w:color w:val="auto"/>
              </w:rPr>
            </w:pPr>
            <w:r>
              <w:rPr>
                <w:rFonts w:ascii="Arial" w:cs="Arial" w:eastAsia="Arial" w:hAnsi="Arial"/>
                <w:sz w:val="18"/>
                <w:szCs w:val="18"/>
                <w:color w:val="auto"/>
                <w:w w:val="89"/>
              </w:rPr>
              <w:t>March 16, 2005</w:t>
            </w:r>
          </w:p>
        </w:tc>
      </w:tr>
      <w:tr>
        <w:trPr>
          <w:trHeight w:val="95"/>
        </w:trPr>
        <w:tc>
          <w:tcPr>
            <w:tcW w:w="350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5140" w:type="dxa"/>
            <w:vAlign w:val="bottom"/>
          </w:tcPr>
          <w:p>
            <w:pPr>
              <w:spacing w:after="0"/>
              <w:rPr>
                <w:sz w:val="8"/>
                <w:szCs w:val="8"/>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Jeffrey W. Ubben</w:t>
            </w:r>
          </w:p>
        </w:tc>
        <w:tc>
          <w:tcPr>
            <w:tcW w:w="15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Maynard G. Webb, Jr.</w:t>
            </w:r>
          </w:p>
        </w:tc>
        <w:tc>
          <w:tcPr>
            <w:tcW w:w="1580" w:type="dxa"/>
            <w:vAlign w:val="bottom"/>
          </w:tcPr>
          <w:p>
            <w:pPr>
              <w:ind w:left="440"/>
              <w:spacing w:after="0"/>
              <w:rPr>
                <w:sz w:val="20"/>
                <w:szCs w:val="20"/>
                <w:color w:val="auto"/>
              </w:rPr>
            </w:pPr>
            <w:r>
              <w:rPr>
                <w:rFonts w:ascii="Arial" w:cs="Arial" w:eastAsia="Arial" w:hAnsi="Arial"/>
                <w:sz w:val="18"/>
                <w:szCs w:val="18"/>
                <w:color w:val="auto"/>
              </w:rPr>
              <w:t>Director</w:t>
            </w:r>
          </w:p>
        </w:tc>
        <w:tc>
          <w:tcPr>
            <w:tcW w:w="5140" w:type="dxa"/>
            <w:vAlign w:val="bottom"/>
          </w:tcPr>
          <w:p>
            <w:pPr>
              <w:ind w:left="4000"/>
              <w:spacing w:after="0"/>
              <w:rPr>
                <w:sz w:val="20"/>
                <w:szCs w:val="20"/>
                <w:color w:val="auto"/>
              </w:rPr>
            </w:pPr>
            <w:r>
              <w:rPr>
                <w:rFonts w:ascii="Arial" w:cs="Arial" w:eastAsia="Arial" w:hAnsi="Arial"/>
                <w:sz w:val="18"/>
                <w:szCs w:val="18"/>
                <w:color w:val="auto"/>
                <w:w w:val="89"/>
              </w:rPr>
              <w:t>March 16, 2005</w:t>
            </w:r>
          </w:p>
        </w:tc>
      </w:tr>
      <w:tr>
        <w:trPr>
          <w:trHeight w:val="95"/>
        </w:trPr>
        <w:tc>
          <w:tcPr>
            <w:tcW w:w="350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5140" w:type="dxa"/>
            <w:vAlign w:val="bottom"/>
          </w:tcPr>
          <w:p>
            <w:pPr>
              <w:spacing w:after="0"/>
              <w:rPr>
                <w:sz w:val="8"/>
                <w:szCs w:val="8"/>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Maynard G. Webb, Jr.</w:t>
            </w:r>
          </w:p>
        </w:tc>
        <w:tc>
          <w:tcPr>
            <w:tcW w:w="15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05"/>
        </w:trPr>
        <w:tc>
          <w:tcPr>
            <w:tcW w:w="3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140" w:type="dxa"/>
            <w:vAlign w:val="bottom"/>
          </w:tcPr>
          <w:p>
            <w:pPr>
              <w:ind w:left="54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0220"/>
          </w:cols>
          <w:pgMar w:left="240" w:top="419" w:right="143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t>DATED 23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September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128905</wp:posOffset>
            </wp:positionV>
            <wp:extent cx="1826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4" w:lineRule="exact"/>
        <w:rPr>
          <w:sz w:val="20"/>
          <w:szCs w:val="20"/>
          <w:color w:val="auto"/>
        </w:rPr>
      </w:pPr>
    </w:p>
    <w:p>
      <w:pPr>
        <w:ind w:left="4300" w:right="2999" w:hanging="1288"/>
        <w:spacing w:after="0" w:line="461" w:lineRule="auto"/>
        <w:tabs>
          <w:tab w:leader="none" w:pos="325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GARTNER GROUP UK LIMITED -and-</w:t>
      </w:r>
    </w:p>
    <w:p>
      <w:pPr>
        <w:spacing w:after="0" w:line="1" w:lineRule="exact"/>
        <w:rPr>
          <w:rFonts w:ascii="Arial" w:cs="Arial" w:eastAsia="Arial" w:hAnsi="Arial"/>
          <w:sz w:val="18"/>
          <w:szCs w:val="18"/>
          <w:b w:val="1"/>
          <w:bCs w:val="1"/>
          <w:color w:val="auto"/>
        </w:rPr>
      </w:pPr>
    </w:p>
    <w:p>
      <w:pPr>
        <w:ind w:left="3880" w:hanging="241"/>
        <w:spacing w:after="0"/>
        <w:tabs>
          <w:tab w:leader="none" w:pos="388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Alister Christopher</w:t>
      </w:r>
    </w:p>
    <w:p>
      <w:pPr>
        <w:spacing w:after="0" w:line="184" w:lineRule="exact"/>
        <w:rPr>
          <w:rFonts w:ascii="Arial" w:cs="Arial" w:eastAsia="Arial" w:hAnsi="Arial"/>
          <w:sz w:val="18"/>
          <w:szCs w:val="18"/>
          <w:b w:val="1"/>
          <w:bCs w:val="1"/>
          <w:color w:val="auto"/>
        </w:rPr>
      </w:pPr>
    </w:p>
    <w:p>
      <w:pPr>
        <w:ind w:left="3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SERVICE AGREEMENT</w:t>
      </w:r>
    </w:p>
    <w:p>
      <w:pPr>
        <w:spacing w:after="0" w:line="202"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100" w:type="dxa"/>
            <w:vAlign w:val="bottom"/>
          </w:tcPr>
          <w:p>
            <w:pPr>
              <w:jc w:val="right"/>
              <w:ind w:right="5331"/>
              <w:spacing w:after="0"/>
              <w:rPr>
                <w:sz w:val="20"/>
                <w:szCs w:val="20"/>
                <w:color w:val="auto"/>
              </w:rPr>
            </w:pPr>
            <w:r>
              <w:rPr>
                <w:rFonts w:ascii="Arial" w:cs="Arial" w:eastAsia="Arial" w:hAnsi="Arial"/>
                <w:sz w:val="18"/>
                <w:szCs w:val="18"/>
                <w:b w:val="1"/>
                <w:bCs w:val="1"/>
                <w:color w:val="auto"/>
              </w:rPr>
              <w:t>INDEX</w:t>
            </w:r>
          </w:p>
        </w:tc>
      </w:tr>
      <w:tr>
        <w:trPr>
          <w:trHeight w:val="539"/>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Clause Heading</w:t>
            </w:r>
          </w:p>
        </w:tc>
        <w:tc>
          <w:tcPr>
            <w:tcW w:w="710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3980" w:type="dxa"/>
            <w:vAlign w:val="bottom"/>
          </w:tcPr>
          <w:p>
            <w:pPr>
              <w:ind w:left="100"/>
              <w:spacing w:after="0"/>
              <w:rPr>
                <w:sz w:val="20"/>
                <w:szCs w:val="20"/>
                <w:color w:val="auto"/>
              </w:rPr>
            </w:pPr>
            <w:r>
              <w:rPr>
                <w:rFonts w:ascii="Arial" w:cs="Arial" w:eastAsia="Arial" w:hAnsi="Arial"/>
                <w:sz w:val="18"/>
                <w:szCs w:val="18"/>
                <w:color w:val="auto"/>
              </w:rPr>
              <w:t>Appointment</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3980" w:type="dxa"/>
            <w:vAlign w:val="bottom"/>
          </w:tcPr>
          <w:p>
            <w:pPr>
              <w:ind w:left="100"/>
              <w:spacing w:after="0"/>
              <w:rPr>
                <w:sz w:val="20"/>
                <w:szCs w:val="20"/>
                <w:color w:val="auto"/>
              </w:rPr>
            </w:pPr>
            <w:r>
              <w:rPr>
                <w:rFonts w:ascii="Arial" w:cs="Arial" w:eastAsia="Arial" w:hAnsi="Arial"/>
                <w:sz w:val="18"/>
                <w:szCs w:val="18"/>
                <w:color w:val="auto"/>
              </w:rPr>
              <w:t>Term</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3980" w:type="dxa"/>
            <w:vAlign w:val="bottom"/>
          </w:tcPr>
          <w:p>
            <w:pPr>
              <w:ind w:left="100"/>
              <w:spacing w:after="0"/>
              <w:rPr>
                <w:sz w:val="20"/>
                <w:szCs w:val="20"/>
                <w:color w:val="auto"/>
              </w:rPr>
            </w:pPr>
            <w:r>
              <w:rPr>
                <w:rFonts w:ascii="Arial" w:cs="Arial" w:eastAsia="Arial" w:hAnsi="Arial"/>
                <w:sz w:val="18"/>
                <w:szCs w:val="18"/>
                <w:color w:val="auto"/>
              </w:rPr>
              <w:t>Duties and Powers</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3980" w:type="dxa"/>
            <w:vAlign w:val="bottom"/>
          </w:tcPr>
          <w:p>
            <w:pPr>
              <w:ind w:left="100"/>
              <w:spacing w:after="0"/>
              <w:rPr>
                <w:sz w:val="20"/>
                <w:szCs w:val="20"/>
                <w:color w:val="auto"/>
              </w:rPr>
            </w:pPr>
            <w:r>
              <w:rPr>
                <w:rFonts w:ascii="Arial" w:cs="Arial" w:eastAsia="Arial" w:hAnsi="Arial"/>
                <w:sz w:val="18"/>
                <w:szCs w:val="18"/>
                <w:color w:val="auto"/>
              </w:rPr>
              <w:t>Obligations</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3980" w:type="dxa"/>
            <w:vAlign w:val="bottom"/>
          </w:tcPr>
          <w:p>
            <w:pPr>
              <w:ind w:left="100"/>
              <w:spacing w:after="0"/>
              <w:rPr>
                <w:sz w:val="20"/>
                <w:szCs w:val="20"/>
                <w:color w:val="auto"/>
              </w:rPr>
            </w:pPr>
            <w:r>
              <w:rPr>
                <w:rFonts w:ascii="Arial" w:cs="Arial" w:eastAsia="Arial" w:hAnsi="Arial"/>
                <w:sz w:val="18"/>
                <w:szCs w:val="18"/>
                <w:color w:val="auto"/>
              </w:rPr>
              <w:t>Information</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3980" w:type="dxa"/>
            <w:vAlign w:val="bottom"/>
          </w:tcPr>
          <w:p>
            <w:pPr>
              <w:ind w:left="100"/>
              <w:spacing w:after="0"/>
              <w:rPr>
                <w:sz w:val="20"/>
                <w:szCs w:val="20"/>
                <w:color w:val="auto"/>
              </w:rPr>
            </w:pPr>
            <w:r>
              <w:rPr>
                <w:rFonts w:ascii="Arial" w:cs="Arial" w:eastAsia="Arial" w:hAnsi="Arial"/>
                <w:sz w:val="18"/>
                <w:szCs w:val="18"/>
                <w:color w:val="auto"/>
              </w:rPr>
              <w:t>Remuneration</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3980" w:type="dxa"/>
            <w:vAlign w:val="bottom"/>
          </w:tcPr>
          <w:p>
            <w:pPr>
              <w:ind w:left="100"/>
              <w:spacing w:after="0"/>
              <w:rPr>
                <w:sz w:val="20"/>
                <w:szCs w:val="20"/>
                <w:color w:val="auto"/>
              </w:rPr>
            </w:pPr>
            <w:r>
              <w:rPr>
                <w:rFonts w:ascii="Arial" w:cs="Arial" w:eastAsia="Arial" w:hAnsi="Arial"/>
                <w:sz w:val="18"/>
                <w:szCs w:val="18"/>
                <w:color w:val="auto"/>
              </w:rPr>
              <w:t>Pension</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3980" w:type="dxa"/>
            <w:vAlign w:val="bottom"/>
          </w:tcPr>
          <w:p>
            <w:pPr>
              <w:ind w:left="100"/>
              <w:spacing w:after="0"/>
              <w:rPr>
                <w:sz w:val="20"/>
                <w:szCs w:val="20"/>
                <w:color w:val="auto"/>
              </w:rPr>
            </w:pPr>
            <w:r>
              <w:rPr>
                <w:rFonts w:ascii="Arial" w:cs="Arial" w:eastAsia="Arial" w:hAnsi="Arial"/>
                <w:sz w:val="18"/>
                <w:szCs w:val="18"/>
                <w:color w:val="auto"/>
              </w:rPr>
              <w:t>Medical and Life Assurance</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3980" w:type="dxa"/>
            <w:vAlign w:val="bottom"/>
          </w:tcPr>
          <w:p>
            <w:pPr>
              <w:ind w:left="100"/>
              <w:spacing w:after="0"/>
              <w:rPr>
                <w:sz w:val="20"/>
                <w:szCs w:val="20"/>
                <w:color w:val="auto"/>
              </w:rPr>
            </w:pPr>
            <w:r>
              <w:rPr>
                <w:rFonts w:ascii="Arial" w:cs="Arial" w:eastAsia="Arial" w:hAnsi="Arial"/>
                <w:sz w:val="18"/>
                <w:szCs w:val="18"/>
                <w:color w:val="auto"/>
              </w:rPr>
              <w:t>Expenses</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3980" w:type="dxa"/>
            <w:vAlign w:val="bottom"/>
          </w:tcPr>
          <w:p>
            <w:pPr>
              <w:ind w:left="100"/>
              <w:spacing w:after="0"/>
              <w:rPr>
                <w:sz w:val="20"/>
                <w:szCs w:val="20"/>
                <w:color w:val="auto"/>
              </w:rPr>
            </w:pPr>
            <w:r>
              <w:rPr>
                <w:rFonts w:ascii="Arial" w:cs="Arial" w:eastAsia="Arial" w:hAnsi="Arial"/>
                <w:sz w:val="18"/>
                <w:szCs w:val="18"/>
                <w:color w:val="auto"/>
              </w:rPr>
              <w:t>Car</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3980" w:type="dxa"/>
            <w:vAlign w:val="bottom"/>
          </w:tcPr>
          <w:p>
            <w:pPr>
              <w:ind w:left="100"/>
              <w:spacing w:after="0"/>
              <w:rPr>
                <w:sz w:val="20"/>
                <w:szCs w:val="20"/>
                <w:color w:val="auto"/>
              </w:rPr>
            </w:pPr>
            <w:r>
              <w:rPr>
                <w:rFonts w:ascii="Arial" w:cs="Arial" w:eastAsia="Arial" w:hAnsi="Arial"/>
                <w:sz w:val="18"/>
                <w:szCs w:val="18"/>
                <w:color w:val="auto"/>
              </w:rPr>
              <w:t>Holidays</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3980" w:type="dxa"/>
            <w:vAlign w:val="bottom"/>
          </w:tcPr>
          <w:p>
            <w:pPr>
              <w:ind w:left="100"/>
              <w:spacing w:after="0"/>
              <w:rPr>
                <w:sz w:val="20"/>
                <w:szCs w:val="20"/>
                <w:color w:val="auto"/>
              </w:rPr>
            </w:pPr>
            <w:r>
              <w:rPr>
                <w:rFonts w:ascii="Arial" w:cs="Arial" w:eastAsia="Arial" w:hAnsi="Arial"/>
                <w:sz w:val="18"/>
                <w:szCs w:val="18"/>
                <w:color w:val="auto"/>
              </w:rPr>
              <w:t>Secrets and Confidential Information</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3980" w:type="dxa"/>
            <w:vAlign w:val="bottom"/>
          </w:tcPr>
          <w:p>
            <w:pPr>
              <w:ind w:left="100"/>
              <w:spacing w:after="0"/>
              <w:rPr>
                <w:sz w:val="20"/>
                <w:szCs w:val="20"/>
                <w:color w:val="auto"/>
              </w:rPr>
            </w:pPr>
            <w:r>
              <w:rPr>
                <w:rFonts w:ascii="Arial" w:cs="Arial" w:eastAsia="Arial" w:hAnsi="Arial"/>
                <w:sz w:val="18"/>
                <w:szCs w:val="18"/>
                <w:color w:val="auto"/>
              </w:rPr>
              <w:t>Company Property</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398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3980" w:type="dxa"/>
            <w:vAlign w:val="bottom"/>
          </w:tcPr>
          <w:p>
            <w:pPr>
              <w:ind w:left="100"/>
              <w:spacing w:after="0"/>
              <w:rPr>
                <w:sz w:val="20"/>
                <w:szCs w:val="20"/>
                <w:color w:val="auto"/>
              </w:rPr>
            </w:pPr>
            <w:r>
              <w:rPr>
                <w:rFonts w:ascii="Arial" w:cs="Arial" w:eastAsia="Arial" w:hAnsi="Arial"/>
                <w:sz w:val="18"/>
                <w:szCs w:val="18"/>
                <w:color w:val="auto"/>
              </w:rPr>
              <w:t>Sickness</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3980" w:type="dxa"/>
            <w:vAlign w:val="bottom"/>
          </w:tcPr>
          <w:p>
            <w:pPr>
              <w:ind w:left="100"/>
              <w:spacing w:after="0"/>
              <w:rPr>
                <w:sz w:val="20"/>
                <w:szCs w:val="20"/>
                <w:color w:val="auto"/>
              </w:rPr>
            </w:pPr>
            <w:r>
              <w:rPr>
                <w:rFonts w:ascii="Arial" w:cs="Arial" w:eastAsia="Arial" w:hAnsi="Arial"/>
                <w:sz w:val="18"/>
                <w:szCs w:val="18"/>
                <w:color w:val="auto"/>
              </w:rPr>
              <w:t>Provisions after Termination</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3980" w:type="dxa"/>
            <w:vAlign w:val="bottom"/>
          </w:tcPr>
          <w:p>
            <w:pPr>
              <w:ind w:left="100"/>
              <w:spacing w:after="0"/>
              <w:rPr>
                <w:sz w:val="20"/>
                <w:szCs w:val="20"/>
                <w:color w:val="auto"/>
              </w:rPr>
            </w:pPr>
            <w:r>
              <w:rPr>
                <w:rFonts w:ascii="Arial" w:cs="Arial" w:eastAsia="Arial" w:hAnsi="Arial"/>
                <w:sz w:val="18"/>
                <w:szCs w:val="18"/>
                <w:color w:val="auto"/>
              </w:rPr>
              <w:t>Directorship</w:t>
            </w:r>
          </w:p>
        </w:tc>
        <w:tc>
          <w:tcPr>
            <w:tcW w:w="7100" w:type="dxa"/>
            <w:vAlign w:val="bottom"/>
          </w:tcPr>
          <w:p>
            <w:pPr>
              <w:jc w:val="right"/>
              <w:ind w:right="191"/>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3980" w:type="dxa"/>
            <w:vAlign w:val="bottom"/>
          </w:tcPr>
          <w:p>
            <w:pPr>
              <w:ind w:left="100"/>
              <w:spacing w:after="0"/>
              <w:rPr>
                <w:sz w:val="20"/>
                <w:szCs w:val="20"/>
                <w:color w:val="auto"/>
              </w:rPr>
            </w:pPr>
            <w:r>
              <w:rPr>
                <w:rFonts w:ascii="Arial" w:cs="Arial" w:eastAsia="Arial" w:hAnsi="Arial"/>
                <w:sz w:val="18"/>
                <w:szCs w:val="18"/>
                <w:color w:val="auto"/>
              </w:rPr>
              <w:t>Sale of Undertaking or Reconstruction</w:t>
            </w:r>
          </w:p>
        </w:tc>
        <w:tc>
          <w:tcPr>
            <w:tcW w:w="7100" w:type="dxa"/>
            <w:vAlign w:val="bottom"/>
          </w:tcPr>
          <w:p>
            <w:pPr>
              <w:jc w:val="right"/>
              <w:ind w:right="191"/>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3980" w:type="dxa"/>
            <w:vAlign w:val="bottom"/>
          </w:tcPr>
          <w:p>
            <w:pPr>
              <w:ind w:left="100"/>
              <w:spacing w:after="0"/>
              <w:rPr>
                <w:sz w:val="20"/>
                <w:szCs w:val="20"/>
                <w:color w:val="auto"/>
              </w:rPr>
            </w:pPr>
            <w:r>
              <w:rPr>
                <w:rFonts w:ascii="Arial" w:cs="Arial" w:eastAsia="Arial" w:hAnsi="Arial"/>
                <w:sz w:val="18"/>
                <w:szCs w:val="18"/>
                <w:color w:val="auto"/>
              </w:rPr>
              <w:t>Notices</w:t>
            </w:r>
          </w:p>
        </w:tc>
        <w:tc>
          <w:tcPr>
            <w:tcW w:w="7100" w:type="dxa"/>
            <w:vAlign w:val="bottom"/>
          </w:tcPr>
          <w:p>
            <w:pPr>
              <w:jc w:val="right"/>
              <w:ind w:right="191"/>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3980" w:type="dxa"/>
            <w:vAlign w:val="bottom"/>
          </w:tcPr>
          <w:p>
            <w:pPr>
              <w:ind w:left="100"/>
              <w:spacing w:after="0"/>
              <w:rPr>
                <w:sz w:val="20"/>
                <w:szCs w:val="20"/>
                <w:color w:val="auto"/>
              </w:rPr>
            </w:pPr>
            <w:r>
              <w:rPr>
                <w:rFonts w:ascii="Arial" w:cs="Arial" w:eastAsia="Arial" w:hAnsi="Arial"/>
                <w:sz w:val="18"/>
                <w:szCs w:val="18"/>
                <w:color w:val="auto"/>
              </w:rPr>
              <w:t>Schedule 1</w:t>
            </w:r>
          </w:p>
        </w:tc>
        <w:tc>
          <w:tcPr>
            <w:tcW w:w="7100" w:type="dxa"/>
            <w:vAlign w:val="bottom"/>
          </w:tcPr>
          <w:p>
            <w:pPr>
              <w:jc w:val="right"/>
              <w:ind w:right="191"/>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3980" w:type="dxa"/>
            <w:vAlign w:val="bottom"/>
          </w:tcPr>
          <w:p>
            <w:pPr>
              <w:ind w:left="100"/>
              <w:spacing w:after="0"/>
              <w:rPr>
                <w:sz w:val="20"/>
                <w:szCs w:val="20"/>
                <w:color w:val="auto"/>
              </w:rPr>
            </w:pPr>
            <w:r>
              <w:rPr>
                <w:rFonts w:ascii="Arial" w:cs="Arial" w:eastAsia="Arial" w:hAnsi="Arial"/>
                <w:sz w:val="18"/>
                <w:szCs w:val="18"/>
                <w:color w:val="auto"/>
              </w:rPr>
              <w:t>Other Agreements</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22.</w:t>
            </w:r>
          </w:p>
        </w:tc>
        <w:tc>
          <w:tcPr>
            <w:tcW w:w="398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11</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23.</w:t>
            </w:r>
          </w:p>
        </w:tc>
        <w:tc>
          <w:tcPr>
            <w:tcW w:w="3980" w:type="dxa"/>
            <w:vAlign w:val="bottom"/>
          </w:tcPr>
          <w:p>
            <w:pPr>
              <w:ind w:left="100"/>
              <w:spacing w:after="0"/>
              <w:rPr>
                <w:sz w:val="20"/>
                <w:szCs w:val="20"/>
                <w:color w:val="auto"/>
              </w:rPr>
            </w:pPr>
            <w:r>
              <w:rPr>
                <w:rFonts w:ascii="Arial" w:cs="Arial" w:eastAsia="Arial" w:hAnsi="Arial"/>
                <w:sz w:val="18"/>
                <w:szCs w:val="18"/>
                <w:color w:val="auto"/>
              </w:rPr>
              <w:t>Legal Reference</w:t>
            </w:r>
          </w:p>
        </w:tc>
        <w:tc>
          <w:tcPr>
            <w:tcW w:w="7100" w:type="dxa"/>
            <w:vAlign w:val="bottom"/>
          </w:tcPr>
          <w:p>
            <w:pPr>
              <w:jc w:val="right"/>
              <w:ind w:right="171"/>
              <w:spacing w:after="0"/>
              <w:rPr>
                <w:sz w:val="20"/>
                <w:szCs w:val="20"/>
                <w:color w:val="auto"/>
              </w:rPr>
            </w:pPr>
            <w:r>
              <w:rPr>
                <w:rFonts w:ascii="Arial" w:cs="Arial" w:eastAsia="Arial" w:hAnsi="Arial"/>
                <w:sz w:val="18"/>
                <w:szCs w:val="18"/>
                <w:color w:val="auto"/>
              </w:rPr>
              <w:t>11</w:t>
            </w:r>
          </w:p>
        </w:tc>
      </w:tr>
      <w:tr>
        <w:trPr>
          <w:trHeight w:val="392"/>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100" w:type="dxa"/>
            <w:vAlign w:val="bottom"/>
          </w:tcPr>
          <w:p>
            <w:pPr>
              <w:jc w:val="right"/>
              <w:ind w:right="5571"/>
              <w:spacing w:after="0"/>
              <w:rPr>
                <w:sz w:val="20"/>
                <w:szCs w:val="20"/>
                <w:color w:val="auto"/>
              </w:rPr>
            </w:pPr>
            <w:r>
              <w:rPr>
                <w:rFonts w:ascii="Arial" w:cs="Arial" w:eastAsia="Arial" w:hAnsi="Arial"/>
                <w:sz w:val="18"/>
                <w:szCs w:val="18"/>
                <w:color w:val="auto"/>
              </w:rPr>
              <w:t>2</w:t>
            </w:r>
          </w:p>
        </w:tc>
      </w:tr>
      <w:tr>
        <w:trPr>
          <w:trHeight w:val="226"/>
        </w:trPr>
        <w:tc>
          <w:tcPr>
            <w:tcW w:w="3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7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THIS AGREEMENT is made on 18 August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GARTNER GROUP UK LIMITED of Tamesis, The Glanty, Egham, Surrey, TW20 9AW (the “Company”);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ALISTER CHRISTOPHER (the “Executive”) of 30 Edward Road, Clevedon Somerset, BS21 7DS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left="360" w:right="180" w:hanging="352"/>
        <w:spacing w:after="0" w:line="277"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requested the Executive to serve the Company as an executive of the Company as from 18 August 2003 (the “Starting Date”) on the terms and conditions contained in this Agreement and the Executive has agreed so to do.</w:t>
      </w:r>
    </w:p>
    <w:p>
      <w:pPr>
        <w:spacing w:after="0" w:line="170" w:lineRule="exact"/>
        <w:rPr>
          <w:rFonts w:ascii="Arial" w:cs="Arial" w:eastAsia="Arial" w:hAnsi="Arial"/>
          <w:sz w:val="18"/>
          <w:szCs w:val="18"/>
          <w:color w:val="auto"/>
        </w:rPr>
      </w:pPr>
    </w:p>
    <w:p>
      <w:pPr>
        <w:ind w:left="360" w:right="60" w:hanging="352"/>
        <w:spacing w:after="0" w:line="277"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this Agreement “Group Company” means any one of the Company, its subsidiaries, its holding company or any subsidiary of its holding company (in each case as defined by section 736 of the Companies Act 1985) and “the Group” has the corresponding meaning.</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purposes of seniority and the calculation of benefits, the Executive’s start date with the Company will remain 19th August 1996.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HEREBY AGREED </w:t>
      </w:r>
      <w:r>
        <w:rPr>
          <w:rFonts w:ascii="Arial" w:cs="Arial" w:eastAsia="Arial" w:hAnsi="Arial"/>
          <w:sz w:val="18"/>
          <w:szCs w:val="18"/>
          <w:color w:val="auto"/>
        </w:rPr>
        <w:t>as follows:-</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229" w:lineRule="exact"/>
        <w:rPr>
          <w:rFonts w:ascii="Arial" w:cs="Arial" w:eastAsia="Arial" w:hAnsi="Arial"/>
          <w:sz w:val="18"/>
          <w:szCs w:val="18"/>
          <w:b w:val="1"/>
          <w:bCs w:val="1"/>
          <w:color w:val="auto"/>
        </w:rPr>
      </w:pPr>
    </w:p>
    <w:p>
      <w:pPr>
        <w:ind w:left="34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employ the Executive and the Executive shall serve the Company as SVP Worldwide Events, upon the terms and conditions following.</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2.1 The appointment under this Agreement commenced on the Starting Date (18 August 2003).</w:t>
      </w:r>
    </w:p>
    <w:p>
      <w:pPr>
        <w:spacing w:after="0" w:line="225" w:lineRule="exact"/>
        <w:rPr>
          <w:rFonts w:ascii="Arial" w:cs="Arial" w:eastAsia="Arial" w:hAnsi="Arial"/>
          <w:sz w:val="18"/>
          <w:szCs w:val="18"/>
          <w:b w:val="1"/>
          <w:bCs w:val="1"/>
          <w:color w:val="auto"/>
        </w:rPr>
      </w:pPr>
    </w:p>
    <w:p>
      <w:pPr>
        <w:ind w:left="680" w:right="240" w:hanging="33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2.2 The Executive’s employment will be deemed to be confirmed and continuing until determination in accordance with section 14.1 below or by not less than twelve months notice in writing given by the Company to the Executive, or not 1ess than three months notice in writing given by the Executive to the Company.</w:t>
      </w:r>
    </w:p>
    <w:p>
      <w:pPr>
        <w:spacing w:after="0" w:line="181" w:lineRule="exact"/>
        <w:rPr>
          <w:rFonts w:ascii="Arial" w:cs="Arial" w:eastAsia="Arial" w:hAnsi="Arial"/>
          <w:sz w:val="18"/>
          <w:szCs w:val="18"/>
          <w:b w:val="1"/>
          <w:bCs w:val="1"/>
          <w:color w:val="auto"/>
        </w:rPr>
      </w:pPr>
    </w:p>
    <w:p>
      <w:pPr>
        <w:ind w:left="680" w:right="100" w:hanging="338"/>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2.3 The Executive agrees that at its absolute discretion the Company may terminate the Executive’s employment under this Agreement with immediate effect by paying the Executive his target earnings in lieu of the notice period, unless such termination is in accordance with section 14.1</w:t>
      </w:r>
    </w:p>
    <w:p>
      <w:pPr>
        <w:spacing w:after="0" w:line="123" w:lineRule="exact"/>
        <w:rPr>
          <w:rFonts w:ascii="Arial" w:cs="Arial" w:eastAsia="Arial" w:hAnsi="Arial"/>
          <w:sz w:val="18"/>
          <w:szCs w:val="18"/>
          <w:b w:val="1"/>
          <w:bCs w:val="1"/>
          <w:color w:val="auto"/>
        </w:rPr>
      </w:pPr>
    </w:p>
    <w:p>
      <w:pPr>
        <w:ind w:left="680" w:right="180" w:hanging="33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2.4 Notwithstanding the provision of clause 2.1 the Executive’s employment under the Agreement will terminate on the Executive’s 60</w:t>
      </w:r>
      <w:r>
        <w:rPr>
          <w:rFonts w:ascii="Arial" w:cs="Arial" w:eastAsia="Arial" w:hAnsi="Arial"/>
          <w:sz w:val="15"/>
          <w:szCs w:val="15"/>
          <w:color w:val="auto"/>
        </w:rPr>
        <w:t>th</w:t>
      </w:r>
      <w:r>
        <w:rPr>
          <w:rFonts w:ascii="Arial" w:cs="Arial" w:eastAsia="Arial" w:hAnsi="Arial"/>
          <w:sz w:val="18"/>
          <w:szCs w:val="18"/>
          <w:color w:val="auto"/>
        </w:rPr>
        <w:t xml:space="preserve"> birthday, but may be extended by agreement.</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Powers</w:t>
      </w:r>
    </w:p>
    <w:p>
      <w:pPr>
        <w:spacing w:after="0" w:line="229" w:lineRule="exact"/>
        <w:rPr>
          <w:rFonts w:ascii="Arial" w:cs="Arial" w:eastAsia="Arial" w:hAnsi="Arial"/>
          <w:sz w:val="18"/>
          <w:szCs w:val="18"/>
          <w:b w:val="1"/>
          <w:bCs w:val="1"/>
          <w:color w:val="auto"/>
        </w:rPr>
      </w:pPr>
    </w:p>
    <w:p>
      <w:pPr>
        <w:ind w:left="680" w:hanging="33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 The Executive shall exercise and perform such duties and exercise such powers on behalf of the Company or any Group Company as may from time to time be assigned or delegated to or vested in him by the Board of Directors of the Company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jc w:val="both"/>
        <w:ind w:left="672" w:right="20"/>
        <w:spacing w:after="0" w:line="264" w:lineRule="auto"/>
        <w:rPr>
          <w:sz w:val="20"/>
          <w:szCs w:val="20"/>
          <w:color w:val="auto"/>
        </w:rPr>
      </w:pPr>
      <w:r>
        <w:rPr>
          <w:rFonts w:ascii="Arial" w:cs="Arial" w:eastAsia="Arial" w:hAnsi="Arial"/>
          <w:sz w:val="18"/>
          <w:szCs w:val="18"/>
          <w:color w:val="auto"/>
        </w:rPr>
        <w:t>“Board”), subject to such reasonable directions and restrictions as the Board may from time to time give or impose. The Company may from time to time within reason, bearing in mind the Executive’s previous responsibilities, vary the type and nature of the work to be carried on by the Executive, and the responsibilities connected with those duties.</w:t>
      </w:r>
    </w:p>
    <w:p>
      <w:pPr>
        <w:spacing w:after="0" w:line="181" w:lineRule="exact"/>
        <w:rPr>
          <w:sz w:val="20"/>
          <w:szCs w:val="20"/>
          <w:color w:val="auto"/>
        </w:rPr>
      </w:pPr>
    </w:p>
    <w:p>
      <w:pPr>
        <w:ind w:left="672" w:hanging="337"/>
        <w:spacing w:after="0" w:line="279" w:lineRule="auto"/>
        <w:rPr>
          <w:sz w:val="20"/>
          <w:szCs w:val="20"/>
          <w:color w:val="auto"/>
        </w:rPr>
      </w:pPr>
      <w:r>
        <w:rPr>
          <w:rFonts w:ascii="Arial" w:cs="Arial" w:eastAsia="Arial" w:hAnsi="Arial"/>
          <w:sz w:val="17"/>
          <w:szCs w:val="17"/>
          <w:color w:val="auto"/>
        </w:rPr>
        <w:t>3.2 The Executive shall perform his duties at the Company’s offices at Tamesis, The Glanty, Egham, Surrey, TW20 9AW or at such other place of business of the Company or any Group Company within the UK [or abroad] as may be agreed between the Executive and the Company from time to time. The Executive may also be required to attend meetings at any offices maintained by the Group or in the cities where such offices are maintained, as well as to travel abroad on the business of the Group in accordance with the nature of the Executive’s responsibilities.</w:t>
      </w:r>
    </w:p>
    <w:p>
      <w:pPr>
        <w:spacing w:after="0" w:line="171" w:lineRule="exact"/>
        <w:rPr>
          <w:sz w:val="20"/>
          <w:szCs w:val="20"/>
          <w:color w:val="auto"/>
        </w:rPr>
      </w:pPr>
    </w:p>
    <w:p>
      <w:pPr>
        <w:ind w:left="672" w:right="140" w:hanging="337"/>
        <w:spacing w:after="0" w:line="264" w:lineRule="auto"/>
        <w:rPr>
          <w:sz w:val="20"/>
          <w:szCs w:val="20"/>
          <w:color w:val="auto"/>
        </w:rPr>
      </w:pPr>
      <w:r>
        <w:rPr>
          <w:rFonts w:ascii="Arial" w:cs="Arial" w:eastAsia="Arial" w:hAnsi="Arial"/>
          <w:sz w:val="18"/>
          <w:szCs w:val="18"/>
          <w:color w:val="auto"/>
        </w:rPr>
        <w:t>3.3 If and for so long as he is required by the Company, the Executive shall serve as a director and/or officer of the Company or any other Group Company. The Executive will carry out the duties attendant on any such appointment as if he performed them on behalf of the Company under this Agreement.</w:t>
      </w:r>
    </w:p>
    <w:p>
      <w:pPr>
        <w:spacing w:after="0" w:line="177" w:lineRule="exact"/>
        <w:rPr>
          <w:sz w:val="20"/>
          <w:szCs w:val="20"/>
          <w:color w:val="auto"/>
        </w:rPr>
      </w:pPr>
    </w:p>
    <w:p>
      <w:pPr>
        <w:ind w:left="332" w:hanging="332"/>
        <w:spacing w:after="0"/>
        <w:tabs>
          <w:tab w:leader="none" w:pos="33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w:t>
      </w:r>
    </w:p>
    <w:p>
      <w:pPr>
        <w:spacing w:after="0" w:line="229" w:lineRule="exact"/>
        <w:rPr>
          <w:rFonts w:ascii="Arial" w:cs="Arial" w:eastAsia="Arial" w:hAnsi="Arial"/>
          <w:sz w:val="18"/>
          <w:szCs w:val="18"/>
          <w:b w:val="1"/>
          <w:bCs w:val="1"/>
          <w:color w:val="auto"/>
        </w:rPr>
      </w:pPr>
    </w:p>
    <w:p>
      <w:pPr>
        <w:ind w:left="352"/>
        <w:spacing w:after="0"/>
        <w:rPr>
          <w:rFonts w:ascii="Arial" w:cs="Arial" w:eastAsia="Arial" w:hAnsi="Arial"/>
          <w:sz w:val="18"/>
          <w:szCs w:val="18"/>
          <w:b w:val="1"/>
          <w:bCs w:val="1"/>
          <w:color w:val="auto"/>
        </w:rPr>
      </w:pPr>
      <w:r>
        <w:rPr>
          <w:rFonts w:ascii="Arial" w:cs="Arial" w:eastAsia="Arial" w:hAnsi="Arial"/>
          <w:sz w:val="18"/>
          <w:szCs w:val="18"/>
          <w:color w:val="auto"/>
        </w:rPr>
        <w:t>During the continuance of this Agreement the Executive shall unless prevented by ill health or accident:-</w:t>
      </w:r>
    </w:p>
    <w:p>
      <w:pPr>
        <w:spacing w:after="0" w:line="22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4.1 devote the whole of his time, skill, ability and attention during working hours to the business of the Group.</w:t>
      </w:r>
    </w:p>
    <w:p>
      <w:pPr>
        <w:spacing w:after="0" w:line="22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4.2 in all respects conform to and comply with the reasonable directions and regulations given and made by the Board.</w:t>
      </w:r>
    </w:p>
    <w:p>
      <w:pPr>
        <w:spacing w:after="0" w:line="22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4.3 well and faithfully serve the Group and use his best endeavours to promote its interests;</w:t>
      </w:r>
    </w:p>
    <w:p>
      <w:pPr>
        <w:spacing w:after="0" w:line="22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4.4 co-operate to the fullest extent with the Board, any Directors or servants of the Group; and</w:t>
      </w:r>
    </w:p>
    <w:p>
      <w:pPr>
        <w:spacing w:after="0" w:line="225" w:lineRule="exact"/>
        <w:rPr>
          <w:rFonts w:ascii="Arial" w:cs="Arial" w:eastAsia="Arial" w:hAnsi="Arial"/>
          <w:sz w:val="18"/>
          <w:szCs w:val="18"/>
          <w:b w:val="1"/>
          <w:bCs w:val="1"/>
          <w:color w:val="auto"/>
        </w:rPr>
      </w:pPr>
    </w:p>
    <w:p>
      <w:pPr>
        <w:ind w:left="672" w:right="60" w:hanging="33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4.5 enter into the Company’s Deed of Restrictive Covenant and comply fully at all times with its terms subject to the proviso that where any term of the Deed of Restrictive Covenant conflicts with a term of this Agreement, this Agreement will apply.</w:t>
      </w:r>
    </w:p>
    <w:p>
      <w:pPr>
        <w:spacing w:after="0" w:line="166" w:lineRule="exact"/>
        <w:rPr>
          <w:rFonts w:ascii="Arial" w:cs="Arial" w:eastAsia="Arial" w:hAnsi="Arial"/>
          <w:sz w:val="18"/>
          <w:szCs w:val="18"/>
          <w:b w:val="1"/>
          <w:bCs w:val="1"/>
          <w:color w:val="auto"/>
        </w:rPr>
      </w:pPr>
    </w:p>
    <w:p>
      <w:pPr>
        <w:ind w:left="332" w:hanging="332"/>
        <w:spacing w:after="0"/>
        <w:tabs>
          <w:tab w:leader="none" w:pos="33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229" w:lineRule="exact"/>
        <w:rPr>
          <w:rFonts w:ascii="Arial" w:cs="Arial" w:eastAsia="Arial" w:hAnsi="Arial"/>
          <w:sz w:val="18"/>
          <w:szCs w:val="18"/>
          <w:b w:val="1"/>
          <w:bCs w:val="1"/>
          <w:color w:val="auto"/>
        </w:rPr>
      </w:pPr>
    </w:p>
    <w:p>
      <w:pPr>
        <w:ind w:left="352"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Executive shall at a 11 times promptly give to the Board (in writing if so required) all information, advice and explanations as it may require in connection with matters relating to his employment under this Agreement.</w:t>
      </w:r>
    </w:p>
    <w:p>
      <w:pPr>
        <w:spacing w:after="0" w:line="166" w:lineRule="exact"/>
        <w:rPr>
          <w:rFonts w:ascii="Arial" w:cs="Arial" w:eastAsia="Arial" w:hAnsi="Arial"/>
          <w:sz w:val="18"/>
          <w:szCs w:val="18"/>
          <w:b w:val="1"/>
          <w:bCs w:val="1"/>
          <w:color w:val="auto"/>
        </w:rPr>
      </w:pPr>
    </w:p>
    <w:p>
      <w:pPr>
        <w:ind w:left="332" w:hanging="332"/>
        <w:spacing w:after="0"/>
        <w:tabs>
          <w:tab w:leader="none" w:pos="33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229" w:lineRule="exact"/>
        <w:rPr>
          <w:rFonts w:ascii="Arial" w:cs="Arial" w:eastAsia="Arial" w:hAnsi="Arial"/>
          <w:sz w:val="18"/>
          <w:szCs w:val="18"/>
          <w:b w:val="1"/>
          <w:bCs w:val="1"/>
          <w:color w:val="auto"/>
        </w:rPr>
      </w:pPr>
    </w:p>
    <w:p>
      <w:pPr>
        <w:ind w:left="352"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Executive shall (subject to the provisions of this clause) be eligible, by way of remuneration for his services under this Agreement, to target earnings at the rate of £265,000 per annum. This comprises of a base salary of £180,000 per annum, paid in twelve monthly instalments at the end of each calendar month (less applicable statutory deductions) and a discretionary bonus, which is a variable element targeted at a maximum of £85,000 per annum (less applicable statutory deductions). The discretionary bonus is only triggered if the</w:t>
      </w:r>
    </w:p>
    <w:p>
      <w:pPr>
        <w:spacing w:after="0" w:line="14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74" w:name="page75"/>
    <w:bookmarkEnd w:id="74"/>
    <w:p>
      <w:pPr>
        <w:ind w:left="360" w:right="100"/>
        <w:spacing w:after="0" w:line="276" w:lineRule="auto"/>
        <w:rPr>
          <w:sz w:val="20"/>
          <w:szCs w:val="20"/>
          <w:color w:val="auto"/>
        </w:rPr>
      </w:pPr>
      <w:r>
        <w:rPr>
          <w:rFonts w:ascii="Arial" w:cs="Arial" w:eastAsia="Arial" w:hAnsi="Arial"/>
          <w:sz w:val="17"/>
          <w:szCs w:val="17"/>
          <w:color w:val="auto"/>
        </w:rPr>
        <w:t>Company meets its performance targets and the Executive meets his defined personal objectives. The payout of any discretionary bonus is at the discretion of the Company and is subject to the achievement of the above targets and the Executive being employed and not under notice of termination of employment for any reason on the bonus payment date. Bonus payments are usually made in the first quarter of the next fiscal year. Bonuses will not be paid if the Executive leaves the Company before bonus payments are issued. The Executive’s performance objectives will be determined by the Company and assigned when the Executive joins the Company and annually thereafter.</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Normal on-target earning reviews are subject to performance and take place after the conclusion of the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w:t>
      </w:r>
    </w:p>
    <w:p>
      <w:pPr>
        <w:spacing w:after="0" w:line="229" w:lineRule="exact"/>
        <w:rPr>
          <w:sz w:val="20"/>
          <w:szCs w:val="20"/>
          <w:color w:val="auto"/>
        </w:rPr>
      </w:pPr>
    </w:p>
    <w:p>
      <w:pPr>
        <w:ind w:left="360" w:right="780"/>
        <w:spacing w:after="0" w:line="342" w:lineRule="auto"/>
        <w:rPr>
          <w:sz w:val="20"/>
          <w:szCs w:val="20"/>
          <w:color w:val="auto"/>
        </w:rPr>
      </w:pPr>
      <w:r>
        <w:rPr>
          <w:rFonts w:ascii="Arial" w:cs="Arial" w:eastAsia="Arial" w:hAnsi="Arial"/>
          <w:sz w:val="16"/>
          <w:szCs w:val="16"/>
          <w:color w:val="auto"/>
        </w:rPr>
        <w:t>The Company’s contribution to the pension scheme will be 6% of the Executive’s target earnings for the first 2 years of service, and 8% of the Executive’s target earnings thereafter provided the Executive contributes 2% of his target earnings, to the Company Pension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Medical and Life Assurance</w:t>
      </w:r>
    </w:p>
    <w:p>
      <w:pPr>
        <w:spacing w:after="0" w:line="229" w:lineRule="exact"/>
        <w:rPr>
          <w:sz w:val="20"/>
          <w:szCs w:val="20"/>
          <w:color w:val="auto"/>
        </w:rPr>
      </w:pPr>
    </w:p>
    <w:p>
      <w:pPr>
        <w:jc w:val="both"/>
        <w:ind w:left="360" w:right="140"/>
        <w:spacing w:after="0" w:line="259" w:lineRule="auto"/>
        <w:rPr>
          <w:sz w:val="20"/>
          <w:szCs w:val="20"/>
          <w:color w:val="auto"/>
        </w:rPr>
      </w:pPr>
      <w:r>
        <w:rPr>
          <w:rFonts w:ascii="Arial" w:cs="Arial" w:eastAsia="Arial" w:hAnsi="Arial"/>
          <w:sz w:val="18"/>
          <w:szCs w:val="18"/>
          <w:color w:val="auto"/>
        </w:rPr>
        <w:t>The Company will at its cost provide the Executive with life assurance to three times of target earnings and permanent health assurance, subject to the rules of each Plan in force at that time, and satisfactory completion of any medical underwriting requirements. Private Health Care will be provided for the Executive and his family (including cover for any historical or current conditions). The Company reserves the right to amend and/or replace any of these plans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Expenses</w:t>
      </w:r>
    </w:p>
    <w:p>
      <w:pPr>
        <w:spacing w:after="0" w:line="229" w:lineRule="exact"/>
        <w:rPr>
          <w:sz w:val="20"/>
          <w:szCs w:val="20"/>
          <w:color w:val="auto"/>
        </w:rPr>
      </w:pPr>
    </w:p>
    <w:p>
      <w:pPr>
        <w:ind w:left="360" w:right="40"/>
        <w:spacing w:after="0" w:line="264" w:lineRule="auto"/>
        <w:rPr>
          <w:sz w:val="20"/>
          <w:szCs w:val="20"/>
          <w:color w:val="auto"/>
        </w:rPr>
      </w:pPr>
      <w:r>
        <w:rPr>
          <w:rFonts w:ascii="Arial" w:cs="Arial" w:eastAsia="Arial" w:hAnsi="Arial"/>
          <w:sz w:val="18"/>
          <w:szCs w:val="18"/>
          <w:color w:val="auto"/>
        </w:rPr>
        <w:t>The Company shall reimburse to the Executive all reasonable travelling, hotel and other out-of-pocket expenses properly incurred by him in or about the performance of his duties hereunder, upon production by the Executive of all appropriate invoices evidencing such expenses in accordance with the policies of the Company in effect from time to time.</w:t>
      </w:r>
    </w:p>
    <w:p>
      <w:pPr>
        <w:spacing w:after="0" w:line="17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Car</w:t>
      </w:r>
    </w:p>
    <w:p>
      <w:pPr>
        <w:spacing w:after="0" w:line="229" w:lineRule="exact"/>
        <w:rPr>
          <w:rFonts w:ascii="Arial" w:cs="Arial" w:eastAsia="Arial" w:hAnsi="Arial"/>
          <w:sz w:val="18"/>
          <w:szCs w:val="18"/>
          <w:b w:val="1"/>
          <w:bCs w:val="1"/>
          <w:color w:val="auto"/>
        </w:rPr>
      </w:pPr>
    </w:p>
    <w:p>
      <w:pPr>
        <w:ind w:left="760" w:hanging="40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10.1 The Company shall provide for the Executive’s use, both for business and private purposes, a fully expensed car equivalent to a lease value of £850 per month or a car allowance to the value of £1000 per month, in accordance with Company policy.</w:t>
      </w:r>
    </w:p>
    <w:p>
      <w:pPr>
        <w:spacing w:after="0" w:line="170" w:lineRule="exact"/>
        <w:rPr>
          <w:rFonts w:ascii="Arial" w:cs="Arial" w:eastAsia="Arial" w:hAnsi="Arial"/>
          <w:sz w:val="18"/>
          <w:szCs w:val="18"/>
          <w:b w:val="1"/>
          <w:bCs w:val="1"/>
          <w:color w:val="auto"/>
        </w:rPr>
      </w:pPr>
    </w:p>
    <w:p>
      <w:pPr>
        <w:ind w:left="760" w:right="20" w:hanging="4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10.2 If a car is provided, it shall be the responsibility of the Executive to maintain the car in accordance with the Company Car Policy and to keep adequate records in relation to business use in such form and details as may be necessary to satisfy any queries in relation to it which may be raised by the Inland Revenue in connection with the Executive’s tax affairs and the Executive shall be responsible for the payment of any taxes that may be assessed on him for the use of such motor car.</w:t>
      </w:r>
    </w:p>
    <w:p>
      <w:pPr>
        <w:spacing w:after="0" w:line="187" w:lineRule="exact"/>
        <w:rPr>
          <w:sz w:val="20"/>
          <w:szCs w:val="20"/>
          <w:color w:val="auto"/>
        </w:rPr>
      </w:pPr>
    </w:p>
    <w:p>
      <w:pPr>
        <w:ind w:left="760" w:right="80" w:hanging="404"/>
        <w:spacing w:after="0" w:line="308" w:lineRule="auto"/>
        <w:rPr>
          <w:sz w:val="20"/>
          <w:szCs w:val="20"/>
          <w:color w:val="auto"/>
        </w:rPr>
      </w:pPr>
      <w:r>
        <w:rPr>
          <w:rFonts w:ascii="Arial" w:cs="Arial" w:eastAsia="Arial" w:hAnsi="Arial"/>
          <w:sz w:val="17"/>
          <w:szCs w:val="17"/>
          <w:color w:val="auto"/>
        </w:rPr>
        <w:t>10.3 The Executive shall return any car provided and its keys to the Company’s registered office immediately upon the termination for whatever reason of his employment under this Agreement, or at any other reasonable time, if so requested, for the purposes of inspection.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11. Holidays</w:t>
      </w:r>
    </w:p>
    <w:p>
      <w:pPr>
        <w:spacing w:after="0" w:line="229" w:lineRule="exact"/>
        <w:rPr>
          <w:sz w:val="20"/>
          <w:szCs w:val="20"/>
          <w:color w:val="auto"/>
        </w:rPr>
      </w:pPr>
    </w:p>
    <w:p>
      <w:pPr>
        <w:ind w:left="360" w:right="80"/>
        <w:spacing w:after="0" w:line="286" w:lineRule="auto"/>
        <w:rPr>
          <w:sz w:val="20"/>
          <w:szCs w:val="20"/>
          <w:color w:val="auto"/>
        </w:rPr>
      </w:pPr>
      <w:r>
        <w:rPr>
          <w:rFonts w:ascii="Arial" w:cs="Arial" w:eastAsia="Arial" w:hAnsi="Arial"/>
          <w:sz w:val="17"/>
          <w:szCs w:val="17"/>
          <w:color w:val="auto"/>
        </w:rPr>
        <w:t>The Executive shall in addition to the usual statutory holidays (according to the Company’s policy) be entitled to 24 days holiday in any calendar year. The holiday shall accrue on a pro rata basis throughout each calendar year. Such holidays are to be taken at such time or times as may be agreed with the Company and may not, without the consent of the Company, be carried forward into the next holiday year.</w:t>
      </w:r>
    </w:p>
    <w:p>
      <w:pPr>
        <w:spacing w:after="0" w:line="16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Secrets and Confidential Information</w:t>
      </w:r>
    </w:p>
    <w:p>
      <w:pPr>
        <w:spacing w:after="0" w:line="229" w:lineRule="exact"/>
        <w:rPr>
          <w:rFonts w:ascii="Arial" w:cs="Arial" w:eastAsia="Arial" w:hAnsi="Arial"/>
          <w:sz w:val="18"/>
          <w:szCs w:val="18"/>
          <w:b w:val="1"/>
          <w:bCs w:val="1"/>
          <w:color w:val="auto"/>
        </w:rPr>
      </w:pPr>
    </w:p>
    <w:p>
      <w:pPr>
        <w:ind w:left="760" w:hanging="405"/>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12.1 The Executive shall not (except with the prior written consent of the Board) during the continuance of this Agreement or at any time thereafter, disclose the private affairs, secrets or confidential information of the Company or any Group Company relating to the affairs of the Company or any Group Company or any customer of the Company or any Group Company which he may learn while in the employment of the Company to any unauthorised person and shall not use for his own purpose any such information which he may acquire in relation to the business of the Company or any Group Company except that which may be in or become part of the public domain other than through any act or default of the Executive.</w:t>
      </w:r>
    </w:p>
    <w:p>
      <w:pPr>
        <w:spacing w:after="0" w:line="158" w:lineRule="exact"/>
        <w:rPr>
          <w:rFonts w:ascii="Arial" w:cs="Arial" w:eastAsia="Arial" w:hAnsi="Arial"/>
          <w:sz w:val="18"/>
          <w:szCs w:val="18"/>
          <w:b w:val="1"/>
          <w:bCs w:val="1"/>
          <w:color w:val="auto"/>
        </w:rPr>
      </w:pPr>
    </w:p>
    <w:p>
      <w:pPr>
        <w:ind w:left="760" w:right="360" w:hanging="405"/>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12.2 The termination of this Agreement shall not operate to terminate the provisions of this clause which, after such termination, shall remain in full force and effect and binding on the Executive in so far as it relates to trade secrets of the Company or any Group Company.</w:t>
      </w:r>
    </w:p>
    <w:p>
      <w:pPr>
        <w:spacing w:after="0" w:line="142" w:lineRule="exact"/>
        <w:rPr>
          <w:rFonts w:ascii="Arial" w:cs="Arial" w:eastAsia="Arial" w:hAnsi="Arial"/>
          <w:sz w:val="18"/>
          <w:szCs w:val="18"/>
          <w:b w:val="1"/>
          <w:bCs w:val="1"/>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p>
    <w:p>
      <w:pPr>
        <w:spacing w:after="0" w:line="229" w:lineRule="exact"/>
        <w:rPr>
          <w:rFonts w:ascii="Arial" w:cs="Arial" w:eastAsia="Arial" w:hAnsi="Arial"/>
          <w:sz w:val="18"/>
          <w:szCs w:val="18"/>
          <w:b w:val="1"/>
          <w:bCs w:val="1"/>
          <w:color w:val="auto"/>
        </w:rPr>
      </w:pPr>
    </w:p>
    <w:p>
      <w:pPr>
        <w:ind w:left="360" w:right="5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Executive shall promptly whenever required by the Company and in any event upon the termination of this Agreement (for whatsoever cause) deliver up to the Company or its authorised representatives all statistics, documents, records or papers which may be in his possession or under his control and relate in any way to the property, business or affairs of the Company or any Group Company and which is the property of the Group, including the Company car and keys; no copies shall be retained by him and he shall at the same time deliver up to the Company or its authorised representatives all other property of the Company or any Group Company in his possession or under his control.</w:t>
      </w:r>
    </w:p>
    <w:p>
      <w:pPr>
        <w:spacing w:after="0" w:line="154" w:lineRule="exact"/>
        <w:rPr>
          <w:rFonts w:ascii="Arial" w:cs="Arial" w:eastAsia="Arial" w:hAnsi="Arial"/>
          <w:sz w:val="18"/>
          <w:szCs w:val="18"/>
          <w:b w:val="1"/>
          <w:bCs w:val="1"/>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rFonts w:ascii="Arial" w:cs="Arial" w:eastAsia="Arial" w:hAnsi="Arial"/>
          <w:sz w:val="18"/>
          <w:szCs w:val="18"/>
          <w:b w:val="1"/>
          <w:bCs w:val="1"/>
          <w:color w:val="auto"/>
        </w:rPr>
      </w:pPr>
    </w:p>
    <w:p>
      <w:pPr>
        <w:ind w:left="760" w:right="80" w:hanging="405"/>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14.1 The Company may at any time terminate this Agreement forthwith without payment of any compensation damages or remuneration for subsequent periods payable by virtue of common law or any statute by serving notice in writing upon the Executive, if the Executive:-</w:t>
      </w:r>
    </w:p>
    <w:p>
      <w:pPr>
        <w:spacing w:after="0" w:line="147" w:lineRule="exact"/>
        <w:rPr>
          <w:sz w:val="20"/>
          <w:szCs w:val="20"/>
          <w:color w:val="auto"/>
        </w:rPr>
      </w:pPr>
    </w:p>
    <w:p>
      <w:pPr>
        <w:ind w:left="1220" w:right="140" w:hanging="539"/>
        <w:spacing w:after="0" w:line="277" w:lineRule="auto"/>
        <w:rPr>
          <w:sz w:val="20"/>
          <w:szCs w:val="20"/>
          <w:color w:val="auto"/>
        </w:rPr>
      </w:pPr>
      <w:r>
        <w:rPr>
          <w:rFonts w:ascii="Arial" w:cs="Arial" w:eastAsia="Arial" w:hAnsi="Arial"/>
          <w:sz w:val="18"/>
          <w:szCs w:val="18"/>
          <w:color w:val="auto"/>
        </w:rPr>
        <w:t>14.1.1 is a Director or officer of the Company or any Group Company and resigns as a Director or officer of the Company or any Group Company without the consent of the Company; or</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14.1.2 shall be adjudicated bankrupt or be disqualified or prohibited by 1aw from being a director or officer; or</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14.1.3 shall be guilty of gross misconduct in the course of his employment; or</w:t>
      </w:r>
    </w:p>
    <w:p>
      <w:pPr>
        <w:spacing w:after="0" w:line="225" w:lineRule="exact"/>
        <w:rPr>
          <w:sz w:val="20"/>
          <w:szCs w:val="20"/>
          <w:color w:val="auto"/>
        </w:rPr>
      </w:pPr>
    </w:p>
    <w:p>
      <w:pPr>
        <w:ind w:left="1220" w:right="40" w:hanging="539"/>
        <w:spacing w:after="0" w:line="277" w:lineRule="auto"/>
        <w:rPr>
          <w:sz w:val="20"/>
          <w:szCs w:val="20"/>
          <w:color w:val="auto"/>
        </w:rPr>
      </w:pPr>
      <w:r>
        <w:rPr>
          <w:rFonts w:ascii="Arial" w:cs="Arial" w:eastAsia="Arial" w:hAnsi="Arial"/>
          <w:sz w:val="18"/>
          <w:szCs w:val="18"/>
          <w:color w:val="auto"/>
        </w:rPr>
        <w:t>14.1.4 is convicted of any criminal offence under UK or European law (other than a motoring offence for which no custodial sentence is made upon him);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76" w:name="page77"/>
    <w:bookmarkEnd w:id="76"/>
    <w:p>
      <w:pPr>
        <w:ind w:left="1212" w:hanging="539"/>
        <w:spacing w:after="0" w:line="277" w:lineRule="auto"/>
        <w:rPr>
          <w:sz w:val="20"/>
          <w:szCs w:val="20"/>
          <w:color w:val="auto"/>
        </w:rPr>
      </w:pPr>
      <w:r>
        <w:rPr>
          <w:rFonts w:ascii="Arial" w:cs="Arial" w:eastAsia="Arial" w:hAnsi="Arial"/>
          <w:sz w:val="18"/>
          <w:szCs w:val="18"/>
          <w:color w:val="auto"/>
        </w:rPr>
        <w:t>14.1.5 shall be guilty of conduct which affects or in the reasonable opinion of the Board is likely to affect prejudicially the interests of the the Group or himself;</w:t>
      </w:r>
    </w:p>
    <w:p>
      <w:pPr>
        <w:spacing w:after="0" w:line="170" w:lineRule="exact"/>
        <w:rPr>
          <w:sz w:val="20"/>
          <w:szCs w:val="20"/>
          <w:color w:val="auto"/>
        </w:rPr>
      </w:pPr>
    </w:p>
    <w:p>
      <w:pPr>
        <w:ind w:left="1212" w:right="20" w:hanging="539"/>
        <w:spacing w:after="0" w:line="277" w:lineRule="auto"/>
        <w:rPr>
          <w:sz w:val="20"/>
          <w:szCs w:val="20"/>
          <w:color w:val="auto"/>
        </w:rPr>
      </w:pPr>
      <w:r>
        <w:rPr>
          <w:rFonts w:ascii="Arial" w:cs="Arial" w:eastAsia="Arial" w:hAnsi="Arial"/>
          <w:sz w:val="18"/>
          <w:szCs w:val="18"/>
          <w:color w:val="auto"/>
        </w:rPr>
        <w:t>14.1.6 in the reasonable opinion of the Board (after having received a written warning from the Chief Executive) is guilty of any serious or repeated breach of his &amp; obligations under this agreement.</w:t>
      </w:r>
    </w:p>
    <w:p>
      <w:pPr>
        <w:spacing w:after="0" w:line="170" w:lineRule="exact"/>
        <w:rPr>
          <w:sz w:val="20"/>
          <w:szCs w:val="20"/>
          <w:color w:val="auto"/>
        </w:rPr>
      </w:pPr>
    </w:p>
    <w:p>
      <w:pPr>
        <w:ind w:left="752" w:right="4860" w:hanging="404"/>
        <w:spacing w:after="0" w:line="277" w:lineRule="auto"/>
        <w:rPr>
          <w:sz w:val="20"/>
          <w:szCs w:val="20"/>
          <w:color w:val="auto"/>
        </w:rPr>
      </w:pPr>
      <w:r>
        <w:rPr>
          <w:rFonts w:ascii="Arial" w:cs="Arial" w:eastAsia="Arial" w:hAnsi="Arial"/>
          <w:sz w:val="18"/>
          <w:szCs w:val="18"/>
          <w:color w:val="auto"/>
        </w:rPr>
        <w:t>14.2 Any delay or forbearance by the Company in exercising any right of termination hereunder shall not constitute a waiver of such right.</w:t>
      </w:r>
    </w:p>
    <w:p>
      <w:pPr>
        <w:spacing w:after="0" w:line="170" w:lineRule="exact"/>
        <w:rPr>
          <w:sz w:val="20"/>
          <w:szCs w:val="20"/>
          <w:color w:val="auto"/>
        </w:rPr>
      </w:pPr>
    </w:p>
    <w:p>
      <w:pPr>
        <w:ind w:left="752" w:right="40" w:hanging="404"/>
        <w:spacing w:after="0" w:line="259" w:lineRule="auto"/>
        <w:rPr>
          <w:sz w:val="20"/>
          <w:szCs w:val="20"/>
          <w:color w:val="auto"/>
        </w:rPr>
      </w:pPr>
      <w:r>
        <w:rPr>
          <w:rFonts w:ascii="Arial" w:cs="Arial" w:eastAsia="Arial" w:hAnsi="Arial"/>
          <w:sz w:val="18"/>
          <w:szCs w:val="18"/>
          <w:color w:val="auto"/>
        </w:rPr>
        <w:t>14.3 Without prejudice to clause 3 after notice of termination has been given by either party pursuant to clause 2 or if the Executive seeks to or indicates an intention to terminate his employment, provided the Executive continues to be paid his base salary and enjoys his full contractual benefits until his employment terminates in accordance with the terms of this Agreement, the Company may in its absolute discretion for all or part of the notice period:-</w:t>
      </w:r>
    </w:p>
    <w:p>
      <w:pPr>
        <w:spacing w:after="0" w:line="187" w:lineRule="exact"/>
        <w:rPr>
          <w:sz w:val="20"/>
          <w:szCs w:val="20"/>
          <w:color w:val="auto"/>
        </w:rPr>
      </w:pPr>
    </w:p>
    <w:p>
      <w:pPr>
        <w:ind w:left="672"/>
        <w:spacing w:after="0"/>
        <w:rPr>
          <w:sz w:val="20"/>
          <w:szCs w:val="20"/>
          <w:color w:val="auto"/>
        </w:rPr>
      </w:pPr>
      <w:r>
        <w:rPr>
          <w:rFonts w:ascii="Arial" w:cs="Arial" w:eastAsia="Arial" w:hAnsi="Arial"/>
          <w:sz w:val="18"/>
          <w:szCs w:val="18"/>
          <w:color w:val="auto"/>
        </w:rPr>
        <w:t>14.3.1 exclude the Executive from the premises of the Company and/or any Group Company;</w:t>
      </w:r>
    </w:p>
    <w:p>
      <w:pPr>
        <w:spacing w:after="0" w:line="225" w:lineRule="exact"/>
        <w:rPr>
          <w:sz w:val="20"/>
          <w:szCs w:val="20"/>
          <w:color w:val="auto"/>
        </w:rPr>
      </w:pPr>
    </w:p>
    <w:p>
      <w:pPr>
        <w:ind w:left="672"/>
        <w:spacing w:after="0"/>
        <w:rPr>
          <w:sz w:val="20"/>
          <w:szCs w:val="20"/>
          <w:color w:val="auto"/>
        </w:rPr>
      </w:pPr>
      <w:r>
        <w:rPr>
          <w:rFonts w:ascii="Arial" w:cs="Arial" w:eastAsia="Arial" w:hAnsi="Arial"/>
          <w:sz w:val="18"/>
          <w:szCs w:val="18"/>
          <w:color w:val="auto"/>
        </w:rPr>
        <w:t>14.3.2 require him to carry out specified duties other than those referred to in clause 3 or carry out no duties;</w:t>
      </w:r>
    </w:p>
    <w:p>
      <w:pPr>
        <w:spacing w:after="0" w:line="225" w:lineRule="exact"/>
        <w:rPr>
          <w:sz w:val="20"/>
          <w:szCs w:val="20"/>
          <w:color w:val="auto"/>
        </w:rPr>
      </w:pPr>
    </w:p>
    <w:p>
      <w:pPr>
        <w:ind w:left="672"/>
        <w:spacing w:after="0"/>
        <w:rPr>
          <w:sz w:val="20"/>
          <w:szCs w:val="20"/>
          <w:color w:val="auto"/>
        </w:rPr>
      </w:pPr>
      <w:r>
        <w:rPr>
          <w:rFonts w:ascii="Arial" w:cs="Arial" w:eastAsia="Arial" w:hAnsi="Arial"/>
          <w:sz w:val="16"/>
          <w:szCs w:val="16"/>
          <w:color w:val="auto"/>
        </w:rPr>
        <w:t>14.3.3 announce to employees, suppliers and customers that he has been given notice of termination or has resigned, by mutual written consent;</w:t>
      </w:r>
    </w:p>
    <w:p>
      <w:pPr>
        <w:spacing w:after="0" w:line="248" w:lineRule="exact"/>
        <w:rPr>
          <w:sz w:val="20"/>
          <w:szCs w:val="20"/>
          <w:color w:val="auto"/>
        </w:rPr>
      </w:pPr>
    </w:p>
    <w:p>
      <w:pPr>
        <w:ind w:left="1212" w:right="100" w:hanging="539"/>
        <w:spacing w:after="0" w:line="342" w:lineRule="auto"/>
        <w:rPr>
          <w:sz w:val="20"/>
          <w:szCs w:val="20"/>
          <w:color w:val="auto"/>
        </w:rPr>
      </w:pPr>
      <w:r>
        <w:rPr>
          <w:rFonts w:ascii="Arial" w:cs="Arial" w:eastAsia="Arial" w:hAnsi="Arial"/>
          <w:sz w:val="16"/>
          <w:szCs w:val="16"/>
          <w:color w:val="auto"/>
        </w:rPr>
        <w:t>14.3.4 instruct the Executive not to communicate orally or in writing with suppliers, customers, employees, agents or representatives of the Company or Group Company until his employment has terminated and thereafter to act in accordance with his post termination obligations.</w:t>
      </w:r>
    </w:p>
    <w:p>
      <w:pPr>
        <w:spacing w:after="0" w:line="120" w:lineRule="exact"/>
        <w:rPr>
          <w:sz w:val="20"/>
          <w:szCs w:val="20"/>
          <w:color w:val="auto"/>
        </w:rPr>
      </w:pPr>
    </w:p>
    <w:p>
      <w:pPr>
        <w:ind w:left="332" w:hanging="332"/>
        <w:spacing w:after="0"/>
        <w:tabs>
          <w:tab w:leader="none" w:pos="33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Sickness</w:t>
      </w:r>
    </w:p>
    <w:p>
      <w:pPr>
        <w:spacing w:after="0" w:line="229" w:lineRule="exact"/>
        <w:rPr>
          <w:rFonts w:ascii="Arial" w:cs="Arial" w:eastAsia="Arial" w:hAnsi="Arial"/>
          <w:sz w:val="18"/>
          <w:szCs w:val="18"/>
          <w:b w:val="1"/>
          <w:bCs w:val="1"/>
          <w:color w:val="auto"/>
        </w:rPr>
      </w:pPr>
    </w:p>
    <w:p>
      <w:pPr>
        <w:ind w:left="752" w:right="80" w:hanging="405"/>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15.1 If the Executive is at any time prevented by ill health from performing his duties under this Agreement he shall, if required, furnish the Board with evidence satisfactory to them of his incapacity. Payment during any period of absence will be in accordance with the Company and Statutory Sick Pay Policy.</w:t>
      </w:r>
    </w:p>
    <w:p>
      <w:pPr>
        <w:spacing w:after="0" w:line="181" w:lineRule="exact"/>
        <w:rPr>
          <w:rFonts w:ascii="Arial" w:cs="Arial" w:eastAsia="Arial" w:hAnsi="Arial"/>
          <w:sz w:val="18"/>
          <w:szCs w:val="18"/>
          <w:b w:val="1"/>
          <w:bCs w:val="1"/>
          <w:color w:val="auto"/>
        </w:rPr>
      </w:pPr>
    </w:p>
    <w:p>
      <w:pPr>
        <w:ind w:left="752" w:right="420" w:hanging="405"/>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15.2 In the event that the Board reasonably considers that, by reason of physical or mental ill health, the Executive is unfit properly to carry out his duties under this Agreement the Executive may be suspended from carrying out those duties for so long as such ill health continues.</w:t>
      </w:r>
    </w:p>
    <w:p>
      <w:pPr>
        <w:spacing w:after="0" w:line="123" w:lineRule="exact"/>
        <w:rPr>
          <w:rFonts w:ascii="Arial" w:cs="Arial" w:eastAsia="Arial" w:hAnsi="Arial"/>
          <w:sz w:val="18"/>
          <w:szCs w:val="18"/>
          <w:b w:val="1"/>
          <w:bCs w:val="1"/>
          <w:color w:val="auto"/>
        </w:rPr>
      </w:pPr>
    </w:p>
    <w:p>
      <w:pPr>
        <w:ind w:left="752" w:hanging="405"/>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15.3 In the event of ill health the Executive may be requested to provide such evidence of ill health as the Company may require. Should this request be made, the Executive shall not receive any part of his remuneration attributable to statutory sick pay unless he complies with the requirements for certification and the Company shall deduct from remuneration due to him any sums in respect of statutory sick pay which are paid to the Executive, or would have been so payable had he complied with the provisions of this Clause 15.3. In the case of prolonged or frequent absences the Company may request the Executive to co-operate in providing medical evidence or undergoing a medical examination arranged by the Company with a view to</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77" w:name="page78"/>
    <w:bookmarkEnd w:id="77"/>
    <w:p>
      <w:pPr>
        <w:ind w:left="680" w:right="40"/>
        <w:spacing w:after="0" w:line="257" w:lineRule="auto"/>
        <w:rPr>
          <w:sz w:val="20"/>
          <w:szCs w:val="20"/>
          <w:color w:val="auto"/>
        </w:rPr>
      </w:pPr>
      <w:r>
        <w:rPr>
          <w:rFonts w:ascii="Arial" w:cs="Arial" w:eastAsia="Arial" w:hAnsi="Arial"/>
          <w:sz w:val="18"/>
          <w:szCs w:val="18"/>
          <w:color w:val="auto"/>
        </w:rPr>
        <w:t>establishing his likely future fitness for work and if such evidence is not forthcoming or evidences the fact that the Executive will be unable to carry out in all material respects his duties as set out in the Agreement the Company may terminate this Agreement upon six months notice whether or not any of the periods mentioned in Clause 15.1 has been exceeded. The Executive will also undergo from time to time periodical medical examinations in accordance with Company policy. The provisions of this clause in no way effect the Executive’s rights under the permanent health assurance scheme.</w:t>
      </w:r>
    </w:p>
    <w:p>
      <w:pPr>
        <w:spacing w:after="0" w:line="18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after Termination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16.1 For the purpose of this Clause:-</w:t>
      </w:r>
    </w:p>
    <w:p>
      <w:pPr>
        <w:spacing w:after="0" w:line="200" w:lineRule="exact"/>
        <w:rPr>
          <w:sz w:val="20"/>
          <w:szCs w:val="20"/>
          <w:color w:val="auto"/>
        </w:rPr>
      </w:pPr>
    </w:p>
    <w:p>
      <w:pPr>
        <w:spacing w:after="0" w:line="241"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w w:val="83"/>
              </w:rPr>
              <w:t>16.1.1</w:t>
            </w:r>
          </w:p>
        </w:tc>
        <w:tc>
          <w:tcPr>
            <w:tcW w:w="2300" w:type="dxa"/>
            <w:vAlign w:val="bottom"/>
          </w:tcPr>
          <w:p>
            <w:pPr>
              <w:ind w:left="20"/>
              <w:spacing w:after="0"/>
              <w:rPr>
                <w:sz w:val="20"/>
                <w:szCs w:val="20"/>
                <w:color w:val="auto"/>
              </w:rPr>
            </w:pPr>
            <w:r>
              <w:rPr>
                <w:rFonts w:ascii="Arial" w:cs="Arial" w:eastAsia="Arial" w:hAnsi="Arial"/>
                <w:sz w:val="18"/>
                <w:szCs w:val="18"/>
                <w:color w:val="auto"/>
              </w:rPr>
              <w:t>“Restricted Company”</w:t>
            </w:r>
          </w:p>
        </w:tc>
        <w:tc>
          <w:tcPr>
            <w:tcW w:w="7940" w:type="dxa"/>
            <w:vAlign w:val="bottom"/>
          </w:tcPr>
          <w:p>
            <w:pPr>
              <w:ind w:left="640"/>
              <w:spacing w:after="0"/>
              <w:rPr>
                <w:sz w:val="20"/>
                <w:szCs w:val="20"/>
                <w:color w:val="auto"/>
              </w:rPr>
            </w:pPr>
            <w:r>
              <w:rPr>
                <w:rFonts w:ascii="Arial" w:cs="Arial" w:eastAsia="Arial" w:hAnsi="Arial"/>
                <w:sz w:val="18"/>
                <w:szCs w:val="18"/>
                <w:color w:val="auto"/>
              </w:rPr>
              <w:t>shall mean any company within the Group in which the Executive was actively involved;</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3"/>
              </w:rPr>
              <w:t>16.1.2</w:t>
            </w:r>
          </w:p>
        </w:tc>
        <w:tc>
          <w:tcPr>
            <w:tcW w:w="2300" w:type="dxa"/>
            <w:vAlign w:val="bottom"/>
          </w:tcPr>
          <w:p>
            <w:pPr>
              <w:ind w:left="20"/>
              <w:spacing w:after="0"/>
              <w:rPr>
                <w:sz w:val="20"/>
                <w:szCs w:val="20"/>
                <w:color w:val="auto"/>
              </w:rPr>
            </w:pPr>
            <w:r>
              <w:rPr>
                <w:rFonts w:ascii="Arial" w:cs="Arial" w:eastAsia="Arial" w:hAnsi="Arial"/>
                <w:sz w:val="18"/>
                <w:szCs w:val="18"/>
                <w:color w:val="auto"/>
              </w:rPr>
              <w:t>“Restricted Person”</w:t>
            </w:r>
          </w:p>
        </w:tc>
        <w:tc>
          <w:tcPr>
            <w:tcW w:w="7940" w:type="dxa"/>
            <w:vAlign w:val="bottom"/>
          </w:tcPr>
          <w:p>
            <w:pPr>
              <w:ind w:left="640"/>
              <w:spacing w:after="0"/>
              <w:rPr>
                <w:sz w:val="20"/>
                <w:szCs w:val="20"/>
                <w:color w:val="auto"/>
              </w:rPr>
            </w:pPr>
            <w:r>
              <w:rPr>
                <w:rFonts w:ascii="Arial" w:cs="Arial" w:eastAsia="Arial" w:hAnsi="Arial"/>
                <w:sz w:val="18"/>
                <w:szCs w:val="18"/>
                <w:color w:val="auto"/>
                <w:w w:val="92"/>
              </w:rPr>
              <w:t>shall mean any person who at the date of termination of the Executive’s employment or at any time</w:t>
            </w: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w w:val="91"/>
              </w:rPr>
              <w:t>during the period of one year prior to such date is or, as the case may be, has been a customer of a</w:t>
            </w: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w w:val="90"/>
              </w:rPr>
              <w:t>Restricted Company with whom the Executive has dealt with in respect of Restricted Products and/or</w:t>
            </w:r>
          </w:p>
        </w:tc>
      </w:tr>
      <w:tr>
        <w:trPr>
          <w:trHeight w:val="230"/>
        </w:trPr>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Restricted Services;</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3"/>
              </w:rPr>
              <w:t>16.1.3</w:t>
            </w:r>
          </w:p>
        </w:tc>
        <w:tc>
          <w:tcPr>
            <w:tcW w:w="2300" w:type="dxa"/>
            <w:vAlign w:val="bottom"/>
          </w:tcPr>
          <w:p>
            <w:pPr>
              <w:ind w:left="20"/>
              <w:spacing w:after="0"/>
              <w:rPr>
                <w:sz w:val="20"/>
                <w:szCs w:val="20"/>
                <w:color w:val="auto"/>
              </w:rPr>
            </w:pPr>
            <w:r>
              <w:rPr>
                <w:rFonts w:ascii="Arial" w:cs="Arial" w:eastAsia="Arial" w:hAnsi="Arial"/>
                <w:sz w:val="18"/>
                <w:szCs w:val="18"/>
                <w:color w:val="auto"/>
              </w:rPr>
              <w:t>“Restricted Products”</w:t>
            </w:r>
          </w:p>
        </w:tc>
        <w:tc>
          <w:tcPr>
            <w:tcW w:w="7940" w:type="dxa"/>
            <w:vAlign w:val="bottom"/>
          </w:tcPr>
          <w:p>
            <w:pPr>
              <w:ind w:left="640"/>
              <w:spacing w:after="0"/>
              <w:rPr>
                <w:sz w:val="20"/>
                <w:szCs w:val="20"/>
                <w:color w:val="auto"/>
              </w:rPr>
            </w:pPr>
            <w:r>
              <w:rPr>
                <w:rFonts w:ascii="Arial" w:cs="Arial" w:eastAsia="Arial" w:hAnsi="Arial"/>
                <w:sz w:val="18"/>
                <w:szCs w:val="18"/>
                <w:color w:val="auto"/>
                <w:w w:val="90"/>
              </w:rPr>
              <w:t>means all products with which the Executive was concerned in the ordinary course of his duties as an</w:t>
            </w: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employee in any Restricted Company or in relation to which he possessed any confidential</w:t>
            </w: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w w:val="93"/>
              </w:rPr>
              <w:t>information and which have been produced, marketed, sold or otherwise dealt in by the Restricted</w:t>
            </w: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w w:val="91"/>
              </w:rPr>
              <w:t>Company in the ordinary course of its business and in respect of which the Restricted Company has</w:t>
            </w:r>
          </w:p>
        </w:tc>
      </w:tr>
      <w:tr>
        <w:trPr>
          <w:trHeight w:val="216"/>
        </w:trPr>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w w:val="95"/>
              </w:rPr>
              <w:t>not discontinued such production marketing sale or dealings for a period of 6 months prior to the</w:t>
            </w:r>
          </w:p>
        </w:tc>
      </w:tr>
      <w:tr>
        <w:trPr>
          <w:trHeight w:val="230"/>
        </w:trPr>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rPr>
              <w:t>date of termination of this Agreement;</w:t>
            </w:r>
          </w:p>
        </w:tc>
      </w:tr>
      <w:tr>
        <w:trPr>
          <w:trHeight w:val="418"/>
        </w:trPr>
        <w:tc>
          <w:tcPr>
            <w:tcW w:w="460" w:type="dxa"/>
            <w:vAlign w:val="bottom"/>
          </w:tcPr>
          <w:p>
            <w:pPr>
              <w:jc w:val="right"/>
              <w:spacing w:after="0"/>
              <w:rPr>
                <w:sz w:val="20"/>
                <w:szCs w:val="20"/>
                <w:color w:val="auto"/>
              </w:rPr>
            </w:pPr>
            <w:r>
              <w:rPr>
                <w:rFonts w:ascii="Arial" w:cs="Arial" w:eastAsia="Arial" w:hAnsi="Arial"/>
                <w:sz w:val="18"/>
                <w:szCs w:val="18"/>
                <w:color w:val="auto"/>
                <w:w w:val="83"/>
              </w:rPr>
              <w:t>16.1.4</w:t>
            </w:r>
          </w:p>
        </w:tc>
        <w:tc>
          <w:tcPr>
            <w:tcW w:w="2300" w:type="dxa"/>
            <w:vAlign w:val="bottom"/>
          </w:tcPr>
          <w:p>
            <w:pPr>
              <w:ind w:left="20"/>
              <w:spacing w:after="0"/>
              <w:rPr>
                <w:sz w:val="20"/>
                <w:szCs w:val="20"/>
                <w:color w:val="auto"/>
              </w:rPr>
            </w:pPr>
            <w:r>
              <w:rPr>
                <w:rFonts w:ascii="Arial" w:cs="Arial" w:eastAsia="Arial" w:hAnsi="Arial"/>
                <w:sz w:val="18"/>
                <w:szCs w:val="18"/>
                <w:color w:val="auto"/>
              </w:rPr>
              <w:t>“Restricted Services”</w:t>
            </w:r>
          </w:p>
        </w:tc>
        <w:tc>
          <w:tcPr>
            <w:tcW w:w="7940" w:type="dxa"/>
            <w:vAlign w:val="bottom"/>
          </w:tcPr>
          <w:p>
            <w:pPr>
              <w:ind w:left="640"/>
              <w:spacing w:after="0"/>
              <w:rPr>
                <w:sz w:val="20"/>
                <w:szCs w:val="20"/>
                <w:color w:val="auto"/>
              </w:rPr>
            </w:pPr>
            <w:r>
              <w:rPr>
                <w:rFonts w:ascii="Arial" w:cs="Arial" w:eastAsia="Arial" w:hAnsi="Arial"/>
                <w:sz w:val="18"/>
                <w:szCs w:val="18"/>
                <w:color w:val="auto"/>
                <w:w w:val="90"/>
              </w:rPr>
              <w:t>means those services with which the Executive was concerned in the ordinary course of his duties as</w:t>
            </w:r>
          </w:p>
        </w:tc>
      </w:tr>
      <w:tr>
        <w:trPr>
          <w:trHeight w:val="230"/>
        </w:trPr>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940" w:type="dxa"/>
            <w:vAlign w:val="bottom"/>
          </w:tcPr>
          <w:p>
            <w:pPr>
              <w:ind w:left="640"/>
              <w:spacing w:after="0"/>
              <w:rPr>
                <w:sz w:val="20"/>
                <w:szCs w:val="20"/>
                <w:color w:val="auto"/>
              </w:rPr>
            </w:pPr>
            <w:r>
              <w:rPr>
                <w:rFonts w:ascii="Arial" w:cs="Arial" w:eastAsia="Arial" w:hAnsi="Arial"/>
                <w:sz w:val="18"/>
                <w:szCs w:val="18"/>
                <w:color w:val="auto"/>
                <w:w w:val="94"/>
              </w:rPr>
              <w:t>employee or in relation to which he possessed any confidential information and which have been</w:t>
            </w:r>
          </w:p>
        </w:tc>
      </w:tr>
    </w:tbl>
    <w:p>
      <w:pPr>
        <w:jc w:val="both"/>
        <w:ind w:left="4120" w:right="180"/>
        <w:spacing w:after="0" w:line="255" w:lineRule="auto"/>
        <w:rPr>
          <w:sz w:val="20"/>
          <w:szCs w:val="20"/>
          <w:color w:val="auto"/>
        </w:rPr>
      </w:pPr>
      <w:r>
        <w:rPr>
          <w:rFonts w:ascii="Arial" w:cs="Arial" w:eastAsia="Arial" w:hAnsi="Arial"/>
          <w:sz w:val="18"/>
          <w:szCs w:val="18"/>
          <w:color w:val="auto"/>
        </w:rPr>
        <w:t>provided by the Restricted Company in the ordinary course of its business and in respect of which the Restricted Company has not discontinued such provision for a period of six months prior to the date of termination of his Agreement.</w:t>
      </w:r>
    </w:p>
    <w:p>
      <w:pPr>
        <w:spacing w:after="0" w:line="190" w:lineRule="exact"/>
        <w:rPr>
          <w:sz w:val="20"/>
          <w:szCs w:val="20"/>
          <w:color w:val="auto"/>
        </w:rPr>
      </w:pPr>
    </w:p>
    <w:p>
      <w:pPr>
        <w:ind w:left="760" w:right="80" w:hanging="404"/>
        <w:spacing w:after="0" w:line="277" w:lineRule="auto"/>
        <w:rPr>
          <w:sz w:val="20"/>
          <w:szCs w:val="20"/>
          <w:color w:val="auto"/>
        </w:rPr>
      </w:pPr>
      <w:r>
        <w:rPr>
          <w:rFonts w:ascii="Arial" w:cs="Arial" w:eastAsia="Arial" w:hAnsi="Arial"/>
          <w:sz w:val="18"/>
          <w:szCs w:val="18"/>
          <w:color w:val="auto"/>
        </w:rPr>
        <w:t>16.2 The Executive in the course of his employment and directorship is likely to obtain knowledge of trade secrets and other confidential information of the Restricted Companies from time to time and will have dealings with the customers and suppliers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left="360"/>
        <w:spacing w:after="0" w:line="259" w:lineRule="auto"/>
        <w:rPr>
          <w:sz w:val="20"/>
          <w:szCs w:val="20"/>
          <w:color w:val="auto"/>
        </w:rPr>
      </w:pPr>
      <w:r>
        <w:rPr>
          <w:rFonts w:ascii="Arial" w:cs="Arial" w:eastAsia="Arial" w:hAnsi="Arial"/>
          <w:sz w:val="18"/>
          <w:szCs w:val="18"/>
          <w:color w:val="auto"/>
        </w:rPr>
        <w:t>of Restricted Companies and in order to protect such trade secrets and other confidential information and the goodwill of Restricted Companies the Executive hereby covenants that he will not during the period of his employment with a Restricted Company and for a period of 12 months from the date of termination of the Executive’s employment (the “Termination Date”)(other than in the case of Clause 16.2.8 and 16.2.9 below which shall apply indefinitely) and within the United Kingdom either directly or indirectly :-</w:t>
      </w:r>
    </w:p>
    <w:p>
      <w:pPr>
        <w:spacing w:after="0" w:line="187" w:lineRule="exact"/>
        <w:rPr>
          <w:sz w:val="20"/>
          <w:szCs w:val="20"/>
          <w:color w:val="auto"/>
        </w:rPr>
      </w:pPr>
    </w:p>
    <w:p>
      <w:pPr>
        <w:ind w:left="1000" w:right="160" w:hanging="539"/>
        <w:spacing w:after="0" w:line="277" w:lineRule="auto"/>
        <w:rPr>
          <w:sz w:val="20"/>
          <w:szCs w:val="20"/>
          <w:color w:val="auto"/>
        </w:rPr>
      </w:pPr>
      <w:r>
        <w:rPr>
          <w:rFonts w:ascii="Arial" w:cs="Arial" w:eastAsia="Arial" w:hAnsi="Arial"/>
          <w:sz w:val="18"/>
          <w:szCs w:val="18"/>
          <w:color w:val="auto"/>
        </w:rPr>
        <w:t>16.2.1 be engaged, interested or concerned (whether as a shareholder, director, partner, consultant, proprietor, agent or otherwise) in carrying on any business competitive with the Restrictive Products or Restrictive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16.2.2 canvass or solicit business, orders or custom for Restrictive Products or Restrictive Services from any Restricted Person;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16.2.3 have any commercial dealings in respect of any Restricted Products or Restricted Services with any Restricted Person;</w:t>
      </w:r>
    </w:p>
    <w:p>
      <w:pPr>
        <w:spacing w:after="0" w:line="225" w:lineRule="exact"/>
        <w:rPr>
          <w:sz w:val="20"/>
          <w:szCs w:val="20"/>
          <w:color w:val="auto"/>
        </w:rPr>
      </w:pPr>
    </w:p>
    <w:p>
      <w:pPr>
        <w:ind w:left="1000" w:right="200" w:hanging="539"/>
        <w:spacing w:after="0" w:line="264" w:lineRule="auto"/>
        <w:rPr>
          <w:sz w:val="20"/>
          <w:szCs w:val="20"/>
          <w:color w:val="auto"/>
        </w:rPr>
      </w:pPr>
      <w:r>
        <w:rPr>
          <w:rFonts w:ascii="Arial" w:cs="Arial" w:eastAsia="Arial" w:hAnsi="Arial"/>
          <w:sz w:val="18"/>
          <w:szCs w:val="18"/>
          <w:color w:val="auto"/>
        </w:rPr>
        <w:t>16.2.4 solicit or entice away or endeavour to entice away from a Restricted Company any person who had been at any time within the period of one year immediately preceding the termination of the Executive’s employment a director or senior employee of a Restricted Company with whom the Executive had dealt with;</w:t>
      </w:r>
    </w:p>
    <w:p>
      <w:pPr>
        <w:spacing w:after="0" w:line="181" w:lineRule="exact"/>
        <w:rPr>
          <w:sz w:val="20"/>
          <w:szCs w:val="20"/>
          <w:color w:val="auto"/>
        </w:rPr>
      </w:pPr>
    </w:p>
    <w:p>
      <w:pPr>
        <w:ind w:left="1000" w:right="400" w:hanging="539"/>
        <w:spacing w:after="0" w:line="277" w:lineRule="auto"/>
        <w:rPr>
          <w:sz w:val="20"/>
          <w:szCs w:val="20"/>
          <w:color w:val="auto"/>
        </w:rPr>
      </w:pPr>
      <w:r>
        <w:rPr>
          <w:rFonts w:ascii="Arial" w:cs="Arial" w:eastAsia="Arial" w:hAnsi="Arial"/>
          <w:sz w:val="18"/>
          <w:szCs w:val="18"/>
          <w:color w:val="auto"/>
        </w:rPr>
        <w:t xml:space="preserve">16.2.5 encourage or induce any person who is contracted to provide services to a Restricted Company to cease so to provide </w:t>
      </w:r>
      <w:r>
        <w:rPr>
          <w:rFonts w:ascii="Arial" w:cs="Arial" w:eastAsia="Arial" w:hAnsi="Arial"/>
          <w:sz w:val="18"/>
          <w:szCs w:val="18"/>
          <w:i w:val="1"/>
          <w:iCs w:val="1"/>
          <w:color w:val="auto"/>
        </w:rPr>
        <w:t>s</w:t>
      </w:r>
      <w:r>
        <w:rPr>
          <w:rFonts w:ascii="Arial" w:cs="Arial" w:eastAsia="Arial" w:hAnsi="Arial"/>
          <w:sz w:val="18"/>
          <w:szCs w:val="18"/>
          <w:color w:val="auto"/>
        </w:rPr>
        <w:t>uch services in breach of any contract he may have with a Restricted Company;</w:t>
      </w:r>
    </w:p>
    <w:p>
      <w:pPr>
        <w:spacing w:after="0" w:line="170" w:lineRule="exact"/>
        <w:rPr>
          <w:sz w:val="20"/>
          <w:szCs w:val="20"/>
          <w:color w:val="auto"/>
        </w:rPr>
      </w:pPr>
    </w:p>
    <w:p>
      <w:pPr>
        <w:ind w:left="1000" w:right="60" w:hanging="539"/>
        <w:spacing w:after="0" w:line="277" w:lineRule="auto"/>
        <w:rPr>
          <w:sz w:val="20"/>
          <w:szCs w:val="20"/>
          <w:color w:val="auto"/>
        </w:rPr>
      </w:pPr>
      <w:r>
        <w:rPr>
          <w:rFonts w:ascii="Arial" w:cs="Arial" w:eastAsia="Arial" w:hAnsi="Arial"/>
          <w:sz w:val="18"/>
          <w:szCs w:val="18"/>
          <w:color w:val="auto"/>
        </w:rPr>
        <w:t>16.2.6 employ in any capacity or offer employment in any capacity to or enter into or offer to enter into partnership with any person in relation to whom Clause 16.2.4 is applicable;</w:t>
      </w:r>
    </w:p>
    <w:p>
      <w:pPr>
        <w:spacing w:after="0" w:line="170" w:lineRule="exact"/>
        <w:rPr>
          <w:sz w:val="20"/>
          <w:szCs w:val="20"/>
          <w:color w:val="auto"/>
        </w:rPr>
      </w:pPr>
    </w:p>
    <w:p>
      <w:pPr>
        <w:ind w:left="1000" w:right="420" w:hanging="539"/>
        <w:spacing w:after="0" w:line="308" w:lineRule="auto"/>
        <w:rPr>
          <w:sz w:val="20"/>
          <w:szCs w:val="20"/>
          <w:color w:val="auto"/>
        </w:rPr>
      </w:pPr>
      <w:r>
        <w:rPr>
          <w:rFonts w:ascii="Arial" w:cs="Arial" w:eastAsia="Arial" w:hAnsi="Arial"/>
          <w:sz w:val="17"/>
          <w:szCs w:val="17"/>
          <w:color w:val="auto"/>
        </w:rPr>
        <w:t>16.2.7 entice or endeavour to entice away from a Restricted Company any Restricted Person or induce or attempt to induce any supplier of a Restricted Company to cease to supply, or to restrict or vary the terms of supply, to a Restricted Company;</w:t>
      </w:r>
    </w:p>
    <w:p>
      <w:pPr>
        <w:spacing w:after="0" w:line="147" w:lineRule="exact"/>
        <w:rPr>
          <w:sz w:val="20"/>
          <w:szCs w:val="20"/>
          <w:color w:val="auto"/>
        </w:rPr>
      </w:pPr>
    </w:p>
    <w:p>
      <w:pPr>
        <w:ind w:left="1000" w:right="300" w:hanging="539"/>
        <w:spacing w:after="0" w:line="264" w:lineRule="auto"/>
        <w:rPr>
          <w:sz w:val="20"/>
          <w:szCs w:val="20"/>
          <w:color w:val="auto"/>
        </w:rPr>
      </w:pPr>
      <w:r>
        <w:rPr>
          <w:rFonts w:ascii="Arial" w:cs="Arial" w:eastAsia="Arial" w:hAnsi="Arial"/>
          <w:sz w:val="18"/>
          <w:szCs w:val="18"/>
          <w:color w:val="auto"/>
        </w:rPr>
        <w:t>16.2.8 at any time following the cessation of his employment with a Restricted Company represent himself or permit himself to be held out as being in any way as continuing to be connected with or interested (except as shareholder if that is the case) in the business of such company;</w:t>
      </w:r>
    </w:p>
    <w:p>
      <w:pPr>
        <w:spacing w:after="0" w:line="181" w:lineRule="exact"/>
        <w:rPr>
          <w:sz w:val="20"/>
          <w:szCs w:val="20"/>
          <w:color w:val="auto"/>
        </w:rPr>
      </w:pPr>
    </w:p>
    <w:p>
      <w:pPr>
        <w:ind w:left="1000" w:right="140" w:hanging="539"/>
        <w:spacing w:after="0" w:line="264" w:lineRule="auto"/>
        <w:rPr>
          <w:sz w:val="20"/>
          <w:szCs w:val="20"/>
          <w:color w:val="auto"/>
        </w:rPr>
      </w:pPr>
      <w:r>
        <w:rPr>
          <w:rFonts w:ascii="Arial" w:cs="Arial" w:eastAsia="Arial" w:hAnsi="Arial"/>
          <w:sz w:val="18"/>
          <w:szCs w:val="18"/>
          <w:color w:val="auto"/>
        </w:rPr>
        <w:t>16.2.9 except so far as may be required by law, at any time use or disclose to any person any private affairs, secrets or confidential information which he has acquired in the course of or as a result of his employment by a Restricted Company or his ownership of shares in the capital of a Restricted Company.</w:t>
      </w:r>
    </w:p>
    <w:p>
      <w:pPr>
        <w:spacing w:after="0" w:line="181" w:lineRule="exact"/>
        <w:rPr>
          <w:sz w:val="20"/>
          <w:szCs w:val="20"/>
          <w:color w:val="auto"/>
        </w:rPr>
      </w:pPr>
    </w:p>
    <w:p>
      <w:pPr>
        <w:ind w:left="420" w:right="100" w:hanging="404"/>
        <w:spacing w:after="0" w:line="277" w:lineRule="auto"/>
        <w:rPr>
          <w:sz w:val="20"/>
          <w:szCs w:val="20"/>
          <w:color w:val="auto"/>
        </w:rPr>
      </w:pPr>
      <w:r>
        <w:rPr>
          <w:rFonts w:ascii="Arial" w:cs="Arial" w:eastAsia="Arial" w:hAnsi="Arial"/>
          <w:sz w:val="18"/>
          <w:szCs w:val="18"/>
          <w:color w:val="auto"/>
        </w:rPr>
        <w:t>16.3 The Executive shall not induce, procure or authorise any other person firm corporation or organisation to do or procure to be done anything which if done by the Executive would be a breach of any of the provisions of Clause 16.2</w:t>
      </w:r>
    </w:p>
    <w:p>
      <w:pPr>
        <w:spacing w:after="0" w:line="170" w:lineRule="exact"/>
        <w:rPr>
          <w:sz w:val="20"/>
          <w:szCs w:val="20"/>
          <w:color w:val="auto"/>
        </w:rPr>
      </w:pPr>
    </w:p>
    <w:p>
      <w:pPr>
        <w:ind w:left="420" w:right="220" w:hanging="404"/>
        <w:spacing w:after="0" w:line="277" w:lineRule="auto"/>
        <w:rPr>
          <w:sz w:val="20"/>
          <w:szCs w:val="20"/>
          <w:color w:val="auto"/>
        </w:rPr>
      </w:pPr>
      <w:r>
        <w:rPr>
          <w:rFonts w:ascii="Arial" w:cs="Arial" w:eastAsia="Arial" w:hAnsi="Arial"/>
          <w:sz w:val="18"/>
          <w:szCs w:val="18"/>
          <w:color w:val="auto"/>
        </w:rPr>
        <w:t>16.4 If the Company exercises it right to suspend the Executives duties and powers under Clause 14.3 during any period after notice of termination of employment has been given by the Company or the Executive, the period after the Termination Date for</w:t>
      </w:r>
    </w:p>
    <w:p>
      <w:pPr>
        <w:spacing w:after="0" w:line="17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1151" w:right="279" w:bottom="1440" w:gutter="0" w:footer="0" w:header="0"/>
        </w:sectPr>
      </w:pPr>
    </w:p>
    <w:bookmarkStart w:id="79" w:name="page80"/>
    <w:bookmarkEnd w:id="79"/>
    <w:p>
      <w:pPr>
        <w:jc w:val="center"/>
        <w:ind w:right="60"/>
        <w:spacing w:after="0"/>
        <w:rPr>
          <w:sz w:val="20"/>
          <w:szCs w:val="20"/>
          <w:color w:val="auto"/>
        </w:rPr>
      </w:pPr>
      <w:r>
        <w:rPr>
          <w:rFonts w:ascii="Arial" w:cs="Arial" w:eastAsia="Arial" w:hAnsi="Arial"/>
          <w:sz w:val="18"/>
          <w:szCs w:val="18"/>
          <w:color w:val="auto"/>
        </w:rPr>
        <w:t>which the restrictions in Clause 16.2 apply shall be reduced accordingly by the period of time that the Executive spends on garden leave.</w:t>
      </w:r>
    </w:p>
    <w:p>
      <w:pPr>
        <w:spacing w:after="0" w:line="225" w:lineRule="exact"/>
        <w:rPr>
          <w:sz w:val="20"/>
          <w:szCs w:val="20"/>
          <w:color w:val="auto"/>
        </w:rPr>
      </w:pPr>
    </w:p>
    <w:p>
      <w:pPr>
        <w:ind w:left="760" w:right="20" w:hanging="404"/>
        <w:spacing w:after="0" w:line="312" w:lineRule="auto"/>
        <w:rPr>
          <w:sz w:val="20"/>
          <w:szCs w:val="20"/>
          <w:color w:val="auto"/>
        </w:rPr>
      </w:pPr>
      <w:r>
        <w:rPr>
          <w:rFonts w:ascii="Arial" w:cs="Arial" w:eastAsia="Arial" w:hAnsi="Arial"/>
          <w:sz w:val="16"/>
          <w:szCs w:val="16"/>
          <w:color w:val="auto"/>
        </w:rPr>
        <w:t>16.4 Each of the restrictions contained in Clauses 16.2.1, 16.2.2, 16.2.3, 16.2.4, 16.2.5, 16.2.6, 16.2.7, 16.2.8 and Clause 16.3 shall be construed as a separate restriction and is considered reasonable by the parties but in the event that any such restriction shall be found to be void but would be valid if some part thereof were deleted such restriction shall apply with such deletion as may be necessary to make it valid and effective.</w:t>
      </w:r>
    </w:p>
    <w:p>
      <w:pPr>
        <w:spacing w:after="0" w:line="14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Directorship</w:t>
      </w:r>
    </w:p>
    <w:p>
      <w:pPr>
        <w:spacing w:after="0" w:line="229" w:lineRule="exact"/>
        <w:rPr>
          <w:rFonts w:ascii="Arial" w:cs="Arial" w:eastAsia="Arial" w:hAnsi="Arial"/>
          <w:sz w:val="18"/>
          <w:szCs w:val="18"/>
          <w:b w:val="1"/>
          <w:bCs w:val="1"/>
          <w:color w:val="auto"/>
        </w:rPr>
      </w:pPr>
    </w:p>
    <w:p>
      <w:pPr>
        <w:jc w:val="both"/>
        <w:ind w:left="760" w:right="100" w:hanging="405"/>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17.1 In the event of the Executive holding office as a Director of the Company or any Group Company at the date of his giving or being given notice terminating his employment within the Group (for any reason whatsoever) he shall forthwith, if so required by the Board, resign such Directorship without any compensation whatever, (without prejudice to any right of compensation under this Agreement) but, subject to Clause 2, shall remain an employee of the Company until the expiry of the period of notice.</w:t>
      </w:r>
    </w:p>
    <w:p>
      <w:pPr>
        <w:spacing w:after="0" w:line="182" w:lineRule="exact"/>
        <w:rPr>
          <w:rFonts w:ascii="Arial" w:cs="Arial" w:eastAsia="Arial" w:hAnsi="Arial"/>
          <w:sz w:val="18"/>
          <w:szCs w:val="18"/>
          <w:b w:val="1"/>
          <w:bCs w:val="1"/>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Sale of Undertaking or Reconstruction</w:t>
      </w:r>
    </w:p>
    <w:p>
      <w:pPr>
        <w:spacing w:after="0" w:line="229" w:lineRule="exact"/>
        <w:rPr>
          <w:rFonts w:ascii="Arial" w:cs="Arial" w:eastAsia="Arial" w:hAnsi="Arial"/>
          <w:sz w:val="18"/>
          <w:szCs w:val="18"/>
          <w:b w:val="1"/>
          <w:bCs w:val="1"/>
          <w:color w:val="auto"/>
        </w:rPr>
      </w:pPr>
    </w:p>
    <w:p>
      <w:pPr>
        <w:ind w:left="760" w:hanging="405"/>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18.1 If at any time during the continuance of this Agreement the Company sells all, or a substantial part of, its undertaking and assets to any person, firm or company and the Company is able to procure the employment of the Executive by such other person, firm or company on terms not less favourable than the terms of this Agreement remaining unexpired at the date of the Agreement for such sale then the Company shall be entitled (notwithstanding the provisions of clause 2 hereof) to determine this Agreement forthwith on giving notice in writing to the Executive and in the event of the Executive not accepting the employment by such other person, firm or company, he shall not be entitled to any compensation from the Company for loss of office or damages for breach of this Agreement, other than normal.</w:t>
      </w:r>
    </w:p>
    <w:p>
      <w:pPr>
        <w:spacing w:after="0" w:line="178" w:lineRule="exact"/>
        <w:rPr>
          <w:rFonts w:ascii="Arial" w:cs="Arial" w:eastAsia="Arial" w:hAnsi="Arial"/>
          <w:sz w:val="18"/>
          <w:szCs w:val="18"/>
          <w:b w:val="1"/>
          <w:bCs w:val="1"/>
          <w:color w:val="auto"/>
        </w:rPr>
      </w:pPr>
    </w:p>
    <w:p>
      <w:pPr>
        <w:ind w:left="760" w:right="180" w:hanging="405"/>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18.2 In the event of this Agreement being terminated by reason of liquidation of the Company or the transfer of all or a substantial part of the Company’s business or assets for the purpose of amalgamation or reconstruction and the Executive being offered employment with such reconstructed or amalgamated company or group of companies on terms not less favourable than the terms of this Agreement, then (notwithstanding anything to the contrary contained in this Agreement) the Executive shall have no claim against the Company in respect of such determination of this Agreement, other than normal notice and redundancy compensation.</w:t>
      </w:r>
    </w:p>
    <w:p>
      <w:pPr>
        <w:spacing w:after="0" w:line="184" w:lineRule="exact"/>
        <w:rPr>
          <w:rFonts w:ascii="Arial" w:cs="Arial" w:eastAsia="Arial" w:hAnsi="Arial"/>
          <w:sz w:val="18"/>
          <w:szCs w:val="18"/>
          <w:b w:val="1"/>
          <w:bCs w:val="1"/>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ind w:left="360" w:righ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Any Notice under this Agreement shall be given in writing by either party to the other and may be delivered or sent by first-class recorded post addressed, in the case of the Company, to its registered office and in the case of the Executive, to his address last known to the Company. Any such notice shall, in the case of delivery, be deemed to have been served at the time of delivery.</w:t>
      </w:r>
    </w:p>
    <w:p>
      <w:pPr>
        <w:spacing w:after="0" w:line="177" w:lineRule="exact"/>
        <w:rPr>
          <w:rFonts w:ascii="Arial" w:cs="Arial" w:eastAsia="Arial" w:hAnsi="Arial"/>
          <w:sz w:val="18"/>
          <w:szCs w:val="18"/>
          <w:b w:val="1"/>
          <w:bCs w:val="1"/>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Schedule 1</w:t>
      </w:r>
    </w:p>
    <w:p>
      <w:pPr>
        <w:spacing w:after="0" w:line="229" w:lineRule="exact"/>
        <w:rPr>
          <w:sz w:val="20"/>
          <w:szCs w:val="20"/>
          <w:color w:val="auto"/>
        </w:rPr>
      </w:pPr>
    </w:p>
    <w:p>
      <w:pPr>
        <w:ind w:left="360" w:right="40"/>
        <w:spacing w:after="0" w:line="277" w:lineRule="auto"/>
        <w:rPr>
          <w:sz w:val="20"/>
          <w:szCs w:val="20"/>
          <w:color w:val="auto"/>
        </w:rPr>
      </w:pPr>
      <w:r>
        <w:rPr>
          <w:rFonts w:ascii="Arial" w:cs="Arial" w:eastAsia="Arial" w:hAnsi="Arial"/>
          <w:sz w:val="18"/>
          <w:szCs w:val="18"/>
          <w:color w:val="auto"/>
        </w:rPr>
        <w:t>The provisions set out in Schedule 1 to this Agreement shall apply to this Agreement for the purposes of the Employment Rights Act 1996 but may from time to time be varied by mutual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p>
      <w:pPr>
        <w:ind w:left="352" w:right="320"/>
        <w:spacing w:after="0" w:line="277" w:lineRule="auto"/>
        <w:rPr>
          <w:sz w:val="20"/>
          <w:szCs w:val="20"/>
          <w:color w:val="auto"/>
        </w:rPr>
      </w:pPr>
      <w:r>
        <w:rPr>
          <w:rFonts w:ascii="Arial" w:cs="Arial" w:eastAsia="Arial" w:hAnsi="Arial"/>
          <w:sz w:val="18"/>
          <w:szCs w:val="18"/>
          <w:color w:val="auto"/>
        </w:rPr>
        <w:t>agreement or from time to time be replaced. Any such written amendments or replacements shall be evidenced by the initials of the Executive and a Director or other Officer duly authorised on behalf of the Company.</w:t>
      </w:r>
    </w:p>
    <w:p>
      <w:pPr>
        <w:spacing w:after="0" w:line="166" w:lineRule="exact"/>
        <w:rPr>
          <w:sz w:val="20"/>
          <w:szCs w:val="20"/>
          <w:color w:val="auto"/>
        </w:rPr>
      </w:pPr>
    </w:p>
    <w:p>
      <w:pPr>
        <w:ind w:left="332" w:hanging="332"/>
        <w:spacing w:after="0"/>
        <w:tabs>
          <w:tab w:leader="none" w:pos="33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w:t>
      </w:r>
    </w:p>
    <w:p>
      <w:pPr>
        <w:spacing w:after="0" w:line="229" w:lineRule="exact"/>
        <w:rPr>
          <w:rFonts w:ascii="Arial" w:cs="Arial" w:eastAsia="Arial" w:hAnsi="Arial"/>
          <w:sz w:val="18"/>
          <w:szCs w:val="18"/>
          <w:b w:val="1"/>
          <w:bCs w:val="1"/>
          <w:color w:val="auto"/>
        </w:rPr>
      </w:pPr>
    </w:p>
    <w:p>
      <w:pPr>
        <w:ind w:left="352" w:right="1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Executive acknowledges and warrants that there are no agreements or arrangements whether written, oral or implied between the Company or any other Group Company, and the Executive relating to the employment of the Executive other than those expressly set out in this Agreement, which expressly supersede all previous arrangements between the Company or any other Group Company and the Executive as to the employment of the Executive and that he is not entering into this Agreement in reliance upon any representation not expressly set out in this Agreement.</w:t>
      </w:r>
    </w:p>
    <w:p>
      <w:pPr>
        <w:spacing w:after="0" w:line="150" w:lineRule="exact"/>
        <w:rPr>
          <w:rFonts w:ascii="Arial" w:cs="Arial" w:eastAsia="Arial" w:hAnsi="Arial"/>
          <w:sz w:val="18"/>
          <w:szCs w:val="18"/>
          <w:b w:val="1"/>
          <w:bCs w:val="1"/>
          <w:color w:val="auto"/>
        </w:rPr>
      </w:pPr>
    </w:p>
    <w:p>
      <w:pPr>
        <w:ind w:left="332" w:hanging="332"/>
        <w:spacing w:after="0"/>
        <w:tabs>
          <w:tab w:leader="none" w:pos="33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w:t>
      </w:r>
    </w:p>
    <w:p>
      <w:pPr>
        <w:spacing w:after="0" w:line="229" w:lineRule="exact"/>
        <w:rPr>
          <w:rFonts w:ascii="Arial" w:cs="Arial" w:eastAsia="Arial" w:hAnsi="Arial"/>
          <w:sz w:val="18"/>
          <w:szCs w:val="18"/>
          <w:b w:val="1"/>
          <w:bCs w:val="1"/>
          <w:color w:val="auto"/>
        </w:rPr>
      </w:pPr>
    </w:p>
    <w:p>
      <w:pPr>
        <w:jc w:val="both"/>
        <w:ind w:left="35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expiration or determination of this Agreement however it arises shall not operate to affect such of the provisions of this Agreement as are expressed to operate or have effect after its determination or expiration hereto and shall be without prejudice to any other accrued rights or remedies of the parties.</w:t>
      </w:r>
    </w:p>
    <w:p>
      <w:pPr>
        <w:spacing w:after="0" w:line="119" w:lineRule="exact"/>
        <w:rPr>
          <w:rFonts w:ascii="Arial" w:cs="Arial" w:eastAsia="Arial" w:hAnsi="Arial"/>
          <w:sz w:val="18"/>
          <w:szCs w:val="18"/>
          <w:b w:val="1"/>
          <w:bCs w:val="1"/>
          <w:color w:val="auto"/>
        </w:rPr>
      </w:pPr>
    </w:p>
    <w:p>
      <w:pPr>
        <w:ind w:left="332" w:hanging="332"/>
        <w:spacing w:after="0"/>
        <w:tabs>
          <w:tab w:leader="none" w:pos="33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352"/>
        <w:spacing w:after="0"/>
        <w:rPr>
          <w:rFonts w:ascii="Arial" w:cs="Arial" w:eastAsia="Arial" w:hAnsi="Arial"/>
          <w:sz w:val="18"/>
          <w:szCs w:val="18"/>
          <w:b w:val="1"/>
          <w:bCs w:val="1"/>
          <w:color w:val="auto"/>
        </w:rPr>
      </w:pPr>
      <w:r>
        <w:rPr>
          <w:rFonts w:ascii="Arial" w:cs="Arial" w:eastAsia="Arial" w:hAnsi="Arial"/>
          <w:sz w:val="18"/>
          <w:szCs w:val="18"/>
          <w:color w:val="auto"/>
        </w:rPr>
        <w:t>This contract is governed by and construed in accordance with English law.</w:t>
      </w:r>
    </w:p>
    <w:p>
      <w:pPr>
        <w:spacing w:after="0" w:line="221" w:lineRule="exact"/>
        <w:rPr>
          <w:rFonts w:ascii="Arial" w:cs="Arial" w:eastAsia="Arial" w:hAnsi="Arial"/>
          <w:sz w:val="18"/>
          <w:szCs w:val="18"/>
          <w:b w:val="1"/>
          <w:bCs w:val="1"/>
          <w:color w:val="auto"/>
        </w:rPr>
      </w:pPr>
    </w:p>
    <w:p>
      <w:pPr>
        <w:ind w:left="332" w:hanging="332"/>
        <w:spacing w:after="0"/>
        <w:tabs>
          <w:tab w:leader="none" w:pos="33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229" w:lineRule="exact"/>
        <w:rPr>
          <w:sz w:val="20"/>
          <w:szCs w:val="20"/>
          <w:color w:val="auto"/>
        </w:rPr>
      </w:pPr>
    </w:p>
    <w:p>
      <w:pPr>
        <w:ind w:left="352" w:right="320"/>
        <w:spacing w:after="0" w:line="277" w:lineRule="auto"/>
        <w:rPr>
          <w:sz w:val="20"/>
          <w:szCs w:val="20"/>
          <w:color w:val="auto"/>
        </w:rPr>
      </w:pPr>
      <w:r>
        <w:rPr>
          <w:rFonts w:ascii="Arial" w:cs="Arial" w:eastAsia="Arial" w:hAnsi="Arial"/>
          <w:sz w:val="18"/>
          <w:szCs w:val="18"/>
          <w:color w:val="auto"/>
        </w:rPr>
        <w:t>Except for enforcement obligations of the Group, a person who is not a party to this agreement may not enforce any of its terms under the Contracts (Rights of Third Parties) Act 1999.</w:t>
      </w:r>
    </w:p>
    <w:p>
      <w:pPr>
        <w:spacing w:after="0" w:line="14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93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SCHEDULE 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of the Employment Rights Act 1996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So far as not already taken into account: -</w:t>
      </w:r>
    </w:p>
    <w:p>
      <w:pPr>
        <w:spacing w:after="0" w:line="225"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holidays will be on full pay but the Executive will be entitled to any accrued holiday pay on the termination of employment.</w:t>
      </w:r>
    </w:p>
    <w:p>
      <w:pPr>
        <w:spacing w:after="0" w:line="225" w:lineRule="exact"/>
        <w:rPr>
          <w:rFonts w:ascii="Arial" w:cs="Arial" w:eastAsia="Arial" w:hAnsi="Arial"/>
          <w:sz w:val="18"/>
          <w:szCs w:val="18"/>
          <w:color w:val="auto"/>
        </w:rPr>
      </w:pPr>
    </w:p>
    <w:p>
      <w:pPr>
        <w:ind w:left="320" w:right="100" w:hanging="312"/>
        <w:spacing w:after="0" w:line="279"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Executive’s normal working hours are such hours as are consistent with his position as specified in Clause 1. The Executive will, without additional remuneration, from time to time work such further hours (including at weekends) as are reasonably necessary in order for him properly to carry out his duties under this Agreement. [The Executive agrees that Regulations 4(1) and (2), 6(1), (2) and (7), 10(1), 11(1) and (2) and 12(1) of the Working times Regulations 1998 (48 hour week, night work, rest periods etc) do not apply to the Executive’s employment.]</w:t>
      </w:r>
    </w:p>
    <w:p>
      <w:pPr>
        <w:spacing w:after="0" w:line="171" w:lineRule="exact"/>
        <w:rPr>
          <w:rFonts w:ascii="Arial" w:cs="Arial" w:eastAsia="Arial" w:hAnsi="Arial"/>
          <w:sz w:val="17"/>
          <w:szCs w:val="17"/>
          <w:color w:val="auto"/>
        </w:rPr>
      </w:pPr>
    </w:p>
    <w:p>
      <w:pPr>
        <w:ind w:left="320" w:hanging="312"/>
        <w:spacing w:after="0" w:line="264"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of the Executive wishing to seek redress of any grievance relating to his employment he should lay his grievance before the Board in writing, who will afford the Executive the opportunity of a full and fair hearing before the Board or a committee of the Board whose decision on such grievance shall be final and binding.</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no specific disciplinary rules and procedures relating to this employment agreement, other than generic Gartner policies.</w:t>
      </w:r>
    </w:p>
    <w:p>
      <w:pPr>
        <w:spacing w:after="0" w:line="225" w:lineRule="exact"/>
        <w:rPr>
          <w:rFonts w:ascii="Arial" w:cs="Arial" w:eastAsia="Arial" w:hAnsi="Arial"/>
          <w:sz w:val="18"/>
          <w:szCs w:val="18"/>
          <w:color w:val="auto"/>
        </w:rPr>
      </w:pPr>
    </w:p>
    <w:p>
      <w:pPr>
        <w:ind w:left="320" w:right="140" w:hanging="312"/>
        <w:spacing w:after="0" w:line="264"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of any booklet, information sheet or notice published from time to time and setting out the rights and duties of all or specified categories of Group employees shall apply to this Schedule as if here set out verbatim, save insofar as any such provisions conflict with this Schedule or the Agreement of which it forms part.</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the Executive’s job is as stated in Clause 1 of this Agreement.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no collective agreements in force in relation to the Executive’s employment.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contracting-out certificate is in force with regard to the employment of the Executive.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 xml:space="preserve">AS WITNESS </w:t>
      </w:r>
      <w:r>
        <w:rPr>
          <w:rFonts w:ascii="Arial" w:cs="Arial" w:eastAsia="Arial" w:hAnsi="Arial"/>
          <w:sz w:val="16"/>
          <w:szCs w:val="16"/>
          <w:color w:val="auto"/>
        </w:rPr>
        <w:t>the hands of the parties or their duly authorised representatives on the date shown on the first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289560</wp:posOffset>
            </wp:positionV>
            <wp:extent cx="1440815" cy="43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40815" cy="437515"/>
                    </a:xfrm>
                    <a:prstGeom prst="rect">
                      <a:avLst/>
                    </a:prstGeom>
                    <a:noFill/>
                  </pic:spPr>
                </pic:pic>
              </a:graphicData>
            </a:graphic>
          </wp:anchor>
        </w:drawing>
      </w:r>
    </w:p>
    <w:p>
      <w:pPr>
        <w:sectPr>
          <w:pgSz w:w="11900" w:h="16838" w:orient="portrait"/>
          <w:cols w:equalWidth="0" w:num="1">
            <w:col w:w="10219"/>
          </w:cols>
          <w:pgMar w:left="240" w:top="114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 Alan Miller</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Gartner Group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4199"/>
          </w:cols>
          <w:pgMar w:left="240" w:top="1147" w:right="1440"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Witness Signature: </w:t>
      </w:r>
      <w:r>
        <w:rPr>
          <w:sz w:val="1"/>
          <w:szCs w:val="1"/>
          <w:color w:val="auto"/>
        </w:rPr>
        <w:drawing>
          <wp:inline distT="0" distB="0" distL="0" distR="0">
            <wp:extent cx="866140" cy="3429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66140" cy="342900"/>
                    </a:xfrm>
                    <a:prstGeom prst="rect">
                      <a:avLst/>
                    </a:prstGeom>
                    <a:noFill/>
                    <a:ln>
                      <a:noFill/>
                    </a:ln>
                  </pic:spPr>
                </pic:pic>
              </a:graphicData>
            </a:graphic>
          </wp:inline>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LUCY WEBB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Occupation: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272415</wp:posOffset>
            </wp:positionV>
            <wp:extent cx="1303655" cy="668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03655" cy="668655"/>
                    </a:xfrm>
                    <a:prstGeom prst="rect">
                      <a:avLst/>
                    </a:prstGeom>
                    <a:noFill/>
                  </pic:spPr>
                </pic:pic>
              </a:graphicData>
            </a:graphic>
          </wp:anchor>
        </w:drawing>
      </w:r>
    </w:p>
    <w:p>
      <w:pPr>
        <w:sectPr>
          <w:pgSz w:w="11900" w:h="16838" w:orient="portrait"/>
          <w:cols w:equalWidth="0" w:num="1">
            <w:col w:w="10219"/>
          </w:cols>
          <w:pgMar w:left="240" w:top="1147" w:right="1440"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by Alister Christopher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500" w:space="720"/>
            <w:col w:w="4999"/>
          </w:cols>
          <w:pgMar w:left="240" w:top="11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Witness Signature: </w:t>
      </w:r>
      <w:r>
        <w:rPr>
          <w:sz w:val="1"/>
          <w:szCs w:val="1"/>
          <w:color w:val="auto"/>
        </w:rPr>
        <w:drawing>
          <wp:inline distT="0" distB="0" distL="0" distR="0">
            <wp:extent cx="2066925" cy="38608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66925" cy="386080"/>
                    </a:xfrm>
                    <a:prstGeom prst="rect">
                      <a:avLst/>
                    </a:prstGeom>
                    <a:noFill/>
                    <a:ln>
                      <a:noFill/>
                    </a:ln>
                  </pic:spPr>
                </pic:pic>
              </a:graphicData>
            </a:graphic>
          </wp:inline>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Name: A. PEMBERTON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Addres: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Occupation: SENIOR CO-ORDINATOR</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19"/>
          </w:cols>
          <w:pgMar w:left="240" w:top="1147" w:right="1440" w:bottom="1440" w:gutter="0" w:footer="0" w:header="0"/>
          <w:type w:val="continuous"/>
        </w:sectPr>
      </w:pPr>
    </w:p>
    <w:bookmarkStart w:id="83" w:name="page84"/>
    <w:bookmarkEnd w:id="83"/>
    <w:p>
      <w:pPr>
        <w:ind w:left="9200"/>
        <w:spacing w:after="0"/>
        <w:rPr>
          <w:sz w:val="20"/>
          <w:szCs w:val="20"/>
          <w:color w:val="auto"/>
        </w:rPr>
      </w:pPr>
      <w:r>
        <w:rPr>
          <w:rFonts w:ascii="Arial" w:cs="Arial" w:eastAsia="Arial" w:hAnsi="Arial"/>
          <w:sz w:val="16"/>
          <w:szCs w:val="16"/>
          <w:b w:val="1"/>
          <w:bCs w:val="1"/>
          <w:color w:val="auto"/>
        </w:rPr>
        <w:t>Exhibit 10.16</w:t>
      </w:r>
    </w:p>
    <w:p>
      <w:pPr>
        <w:sectPr>
          <w:pgSz w:w="11900" w:h="16838" w:orient="portrait"/>
          <w:cols w:equalWidth="0" w:num="1">
            <w:col w:w="10220"/>
          </w:cols>
          <w:pgMar w:left="1440" w:top="93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63436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4365" cy="16319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Tamesis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Glanty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Egham</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Surrey TW20 9AW</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Telephone +44 1784 431611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Facsimile +44 1784 268980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europe.gartner.com</w:t>
      </w:r>
    </w:p>
    <w:p>
      <w:pPr>
        <w:spacing w:after="0" w:line="814" w:lineRule="exact"/>
        <w:rPr>
          <w:sz w:val="20"/>
          <w:szCs w:val="20"/>
          <w:color w:val="auto"/>
        </w:rPr>
      </w:pPr>
    </w:p>
    <w:p>
      <w:pPr>
        <w:sectPr>
          <w:pgSz w:w="11900" w:h="16838" w:orient="portrait"/>
          <w:cols w:equalWidth="0" w:num="2">
            <w:col w:w="7220" w:space="720"/>
            <w:col w:w="2280"/>
          </w:cols>
          <w:pgMar w:left="1440" w:top="931" w:right="239" w:bottom="1440" w:gutter="0" w:footer="0" w:header="0"/>
          <w:type w:val="continuous"/>
        </w:sectPr>
      </w:pPr>
    </w:p>
    <w:p>
      <w:pPr>
        <w:ind w:left="3420"/>
        <w:spacing w:after="0"/>
        <w:rPr>
          <w:sz w:val="20"/>
          <w:szCs w:val="20"/>
          <w:color w:val="auto"/>
        </w:rPr>
      </w:pPr>
      <w:r>
        <w:rPr>
          <w:rFonts w:ascii="Arial" w:cs="Arial" w:eastAsia="Arial" w:hAnsi="Arial"/>
          <w:sz w:val="18"/>
          <w:szCs w:val="18"/>
          <w:b w:val="1"/>
          <w:bCs w:val="1"/>
          <w:u w:val="single" w:color="auto"/>
          <w:color w:val="auto"/>
        </w:rPr>
        <w:t>DATED 21st December 2004</w:t>
      </w:r>
    </w:p>
    <w:p>
      <w:pPr>
        <w:spacing w:after="0" w:line="185" w:lineRule="exact"/>
        <w:rPr>
          <w:sz w:val="20"/>
          <w:szCs w:val="20"/>
          <w:color w:val="auto"/>
        </w:rPr>
      </w:pPr>
    </w:p>
    <w:p>
      <w:pPr>
        <w:ind w:left="4300" w:right="4200" w:hanging="1288"/>
        <w:spacing w:after="0" w:line="461" w:lineRule="auto"/>
        <w:tabs>
          <w:tab w:leader="none" w:pos="3258"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GARTNER GROUP UK LIMITED -and-</w:t>
      </w:r>
    </w:p>
    <w:p>
      <w:pPr>
        <w:spacing w:after="0" w:line="1" w:lineRule="exact"/>
        <w:rPr>
          <w:rFonts w:ascii="Arial" w:cs="Arial" w:eastAsia="Arial" w:hAnsi="Arial"/>
          <w:sz w:val="18"/>
          <w:szCs w:val="18"/>
          <w:b w:val="1"/>
          <w:bCs w:val="1"/>
          <w:color w:val="auto"/>
        </w:rPr>
      </w:pPr>
    </w:p>
    <w:p>
      <w:pPr>
        <w:ind w:left="4160" w:hanging="248"/>
        <w:spacing w:after="0"/>
        <w:tabs>
          <w:tab w:leader="none" w:pos="416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Clive Taylor</w:t>
      </w:r>
    </w:p>
    <w:p>
      <w:pPr>
        <w:spacing w:after="0" w:line="184" w:lineRule="exact"/>
        <w:rPr>
          <w:rFonts w:ascii="Arial" w:cs="Arial" w:eastAsia="Arial" w:hAnsi="Arial"/>
          <w:sz w:val="18"/>
          <w:szCs w:val="18"/>
          <w:b w:val="1"/>
          <w:bCs w:val="1"/>
          <w:color w:val="auto"/>
        </w:rPr>
      </w:pPr>
    </w:p>
    <w:p>
      <w:pPr>
        <w:ind w:left="3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SERVICE AGREEMENT</w:t>
      </w:r>
    </w:p>
    <w:p>
      <w:pPr>
        <w:spacing w:after="0" w:line="202"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100" w:type="dxa"/>
            <w:vAlign w:val="bottom"/>
          </w:tcPr>
          <w:p>
            <w:pPr>
              <w:jc w:val="right"/>
              <w:ind w:right="5331"/>
              <w:spacing w:after="0"/>
              <w:rPr>
                <w:sz w:val="20"/>
                <w:szCs w:val="20"/>
                <w:color w:val="auto"/>
              </w:rPr>
            </w:pPr>
            <w:r>
              <w:rPr>
                <w:rFonts w:ascii="Arial" w:cs="Arial" w:eastAsia="Arial" w:hAnsi="Arial"/>
                <w:sz w:val="18"/>
                <w:szCs w:val="18"/>
                <w:b w:val="1"/>
                <w:bCs w:val="1"/>
                <w:color w:val="auto"/>
              </w:rPr>
              <w:t>INDEX</w:t>
            </w:r>
          </w:p>
        </w:tc>
      </w:tr>
      <w:tr>
        <w:trPr>
          <w:trHeight w:val="555"/>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Clause Heading</w:t>
            </w:r>
          </w:p>
        </w:tc>
        <w:tc>
          <w:tcPr>
            <w:tcW w:w="7100" w:type="dxa"/>
            <w:vAlign w:val="bottom"/>
          </w:tcPr>
          <w:p>
            <w:pPr>
              <w:jc w:val="right"/>
              <w:ind w:right="91"/>
              <w:spacing w:after="0"/>
              <w:rPr>
                <w:sz w:val="20"/>
                <w:szCs w:val="20"/>
                <w:color w:val="auto"/>
              </w:rPr>
            </w:pPr>
            <w:r>
              <w:rPr>
                <w:rFonts w:ascii="Arial" w:cs="Arial" w:eastAsia="Arial" w:hAnsi="Arial"/>
                <w:sz w:val="14"/>
                <w:szCs w:val="14"/>
                <w:b w:val="1"/>
                <w:bCs w:val="1"/>
                <w:color w:val="auto"/>
              </w:rPr>
              <w:t>Page No.</w:t>
            </w:r>
          </w:p>
        </w:tc>
      </w:tr>
      <w:tr>
        <w:trPr>
          <w:trHeight w:val="403"/>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3980" w:type="dxa"/>
            <w:vAlign w:val="bottom"/>
          </w:tcPr>
          <w:p>
            <w:pPr>
              <w:ind w:left="100"/>
              <w:spacing w:after="0"/>
              <w:rPr>
                <w:sz w:val="20"/>
                <w:szCs w:val="20"/>
                <w:color w:val="auto"/>
              </w:rPr>
            </w:pPr>
            <w:r>
              <w:rPr>
                <w:rFonts w:ascii="Arial" w:cs="Arial" w:eastAsia="Arial" w:hAnsi="Arial"/>
                <w:sz w:val="18"/>
                <w:szCs w:val="18"/>
                <w:color w:val="auto"/>
              </w:rPr>
              <w:t>Appointment</w:t>
            </w:r>
          </w:p>
        </w:tc>
        <w:tc>
          <w:tcPr>
            <w:tcW w:w="7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3980" w:type="dxa"/>
            <w:vAlign w:val="bottom"/>
          </w:tcPr>
          <w:p>
            <w:pPr>
              <w:ind w:left="100"/>
              <w:spacing w:after="0"/>
              <w:rPr>
                <w:sz w:val="20"/>
                <w:szCs w:val="20"/>
                <w:color w:val="auto"/>
              </w:rPr>
            </w:pPr>
            <w:r>
              <w:rPr>
                <w:rFonts w:ascii="Arial" w:cs="Arial" w:eastAsia="Arial" w:hAnsi="Arial"/>
                <w:sz w:val="18"/>
                <w:szCs w:val="18"/>
                <w:color w:val="auto"/>
              </w:rPr>
              <w:t>Term</w:t>
            </w:r>
          </w:p>
        </w:tc>
        <w:tc>
          <w:tcPr>
            <w:tcW w:w="7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3980" w:type="dxa"/>
            <w:vAlign w:val="bottom"/>
          </w:tcPr>
          <w:p>
            <w:pPr>
              <w:ind w:left="100"/>
              <w:spacing w:after="0"/>
              <w:rPr>
                <w:sz w:val="20"/>
                <w:szCs w:val="20"/>
                <w:color w:val="auto"/>
              </w:rPr>
            </w:pPr>
            <w:r>
              <w:rPr>
                <w:rFonts w:ascii="Arial" w:cs="Arial" w:eastAsia="Arial" w:hAnsi="Arial"/>
                <w:sz w:val="18"/>
                <w:szCs w:val="18"/>
                <w:color w:val="auto"/>
              </w:rPr>
              <w:t>Duties and Powers</w:t>
            </w:r>
          </w:p>
        </w:tc>
        <w:tc>
          <w:tcPr>
            <w:tcW w:w="7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3980" w:type="dxa"/>
            <w:vAlign w:val="bottom"/>
          </w:tcPr>
          <w:p>
            <w:pPr>
              <w:ind w:left="100"/>
              <w:spacing w:after="0"/>
              <w:rPr>
                <w:sz w:val="20"/>
                <w:szCs w:val="20"/>
                <w:color w:val="auto"/>
              </w:rPr>
            </w:pPr>
            <w:r>
              <w:rPr>
                <w:rFonts w:ascii="Arial" w:cs="Arial" w:eastAsia="Arial" w:hAnsi="Arial"/>
                <w:sz w:val="18"/>
                <w:szCs w:val="18"/>
                <w:color w:val="auto"/>
              </w:rPr>
              <w:t>Obligations</w:t>
            </w:r>
          </w:p>
        </w:tc>
        <w:tc>
          <w:tcPr>
            <w:tcW w:w="7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3980" w:type="dxa"/>
            <w:vAlign w:val="bottom"/>
          </w:tcPr>
          <w:p>
            <w:pPr>
              <w:ind w:left="100"/>
              <w:spacing w:after="0"/>
              <w:rPr>
                <w:sz w:val="20"/>
                <w:szCs w:val="20"/>
                <w:color w:val="auto"/>
              </w:rPr>
            </w:pPr>
            <w:r>
              <w:rPr>
                <w:rFonts w:ascii="Arial" w:cs="Arial" w:eastAsia="Arial" w:hAnsi="Arial"/>
                <w:sz w:val="18"/>
                <w:szCs w:val="18"/>
                <w:color w:val="auto"/>
              </w:rPr>
              <w:t>Information</w:t>
            </w:r>
          </w:p>
        </w:tc>
        <w:tc>
          <w:tcPr>
            <w:tcW w:w="7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3980" w:type="dxa"/>
            <w:vAlign w:val="bottom"/>
          </w:tcPr>
          <w:p>
            <w:pPr>
              <w:ind w:left="100"/>
              <w:spacing w:after="0"/>
              <w:rPr>
                <w:sz w:val="20"/>
                <w:szCs w:val="20"/>
                <w:color w:val="auto"/>
              </w:rPr>
            </w:pPr>
            <w:r>
              <w:rPr>
                <w:rFonts w:ascii="Arial" w:cs="Arial" w:eastAsia="Arial" w:hAnsi="Arial"/>
                <w:sz w:val="18"/>
                <w:szCs w:val="18"/>
                <w:color w:val="auto"/>
              </w:rPr>
              <w:t>Remuneration</w:t>
            </w:r>
          </w:p>
        </w:tc>
        <w:tc>
          <w:tcPr>
            <w:tcW w:w="7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3980" w:type="dxa"/>
            <w:vAlign w:val="bottom"/>
          </w:tcPr>
          <w:p>
            <w:pPr>
              <w:ind w:left="100"/>
              <w:spacing w:after="0"/>
              <w:rPr>
                <w:sz w:val="20"/>
                <w:szCs w:val="20"/>
                <w:color w:val="auto"/>
              </w:rPr>
            </w:pPr>
            <w:r>
              <w:rPr>
                <w:rFonts w:ascii="Arial" w:cs="Arial" w:eastAsia="Arial" w:hAnsi="Arial"/>
                <w:sz w:val="18"/>
                <w:szCs w:val="18"/>
                <w:color w:val="auto"/>
              </w:rPr>
              <w:t>Pension</w:t>
            </w:r>
          </w:p>
        </w:tc>
        <w:tc>
          <w:tcPr>
            <w:tcW w:w="7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3980" w:type="dxa"/>
            <w:vAlign w:val="bottom"/>
          </w:tcPr>
          <w:p>
            <w:pPr>
              <w:ind w:left="100"/>
              <w:spacing w:after="0"/>
              <w:rPr>
                <w:sz w:val="20"/>
                <w:szCs w:val="20"/>
                <w:color w:val="auto"/>
              </w:rPr>
            </w:pPr>
            <w:r>
              <w:rPr>
                <w:rFonts w:ascii="Arial" w:cs="Arial" w:eastAsia="Arial" w:hAnsi="Arial"/>
                <w:sz w:val="18"/>
                <w:szCs w:val="18"/>
                <w:color w:val="auto"/>
              </w:rPr>
              <w:t>Medical and Life Assurance</w:t>
            </w:r>
          </w:p>
        </w:tc>
        <w:tc>
          <w:tcPr>
            <w:tcW w:w="7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3980" w:type="dxa"/>
            <w:vAlign w:val="bottom"/>
          </w:tcPr>
          <w:p>
            <w:pPr>
              <w:ind w:left="100"/>
              <w:spacing w:after="0"/>
              <w:rPr>
                <w:sz w:val="20"/>
                <w:szCs w:val="20"/>
                <w:color w:val="auto"/>
              </w:rPr>
            </w:pPr>
            <w:r>
              <w:rPr>
                <w:rFonts w:ascii="Arial" w:cs="Arial" w:eastAsia="Arial" w:hAnsi="Arial"/>
                <w:sz w:val="18"/>
                <w:szCs w:val="18"/>
                <w:color w:val="auto"/>
              </w:rPr>
              <w:t>Expenses</w:t>
            </w:r>
          </w:p>
        </w:tc>
        <w:tc>
          <w:tcPr>
            <w:tcW w:w="7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3980" w:type="dxa"/>
            <w:vAlign w:val="bottom"/>
          </w:tcPr>
          <w:p>
            <w:pPr>
              <w:ind w:left="100"/>
              <w:spacing w:after="0"/>
              <w:rPr>
                <w:sz w:val="20"/>
                <w:szCs w:val="20"/>
                <w:color w:val="auto"/>
              </w:rPr>
            </w:pPr>
            <w:r>
              <w:rPr>
                <w:rFonts w:ascii="Arial" w:cs="Arial" w:eastAsia="Arial" w:hAnsi="Arial"/>
                <w:sz w:val="18"/>
                <w:szCs w:val="18"/>
                <w:color w:val="auto"/>
              </w:rPr>
              <w:t>Car</w:t>
            </w:r>
          </w:p>
        </w:tc>
        <w:tc>
          <w:tcPr>
            <w:tcW w:w="7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3980" w:type="dxa"/>
            <w:vAlign w:val="bottom"/>
          </w:tcPr>
          <w:p>
            <w:pPr>
              <w:ind w:left="100"/>
              <w:spacing w:after="0"/>
              <w:rPr>
                <w:sz w:val="20"/>
                <w:szCs w:val="20"/>
                <w:color w:val="auto"/>
              </w:rPr>
            </w:pPr>
            <w:r>
              <w:rPr>
                <w:rFonts w:ascii="Arial" w:cs="Arial" w:eastAsia="Arial" w:hAnsi="Arial"/>
                <w:sz w:val="18"/>
                <w:szCs w:val="18"/>
                <w:color w:val="auto"/>
              </w:rPr>
              <w:t>Holidays</w:t>
            </w:r>
          </w:p>
        </w:tc>
        <w:tc>
          <w:tcPr>
            <w:tcW w:w="7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3980" w:type="dxa"/>
            <w:vAlign w:val="bottom"/>
          </w:tcPr>
          <w:p>
            <w:pPr>
              <w:ind w:left="100"/>
              <w:spacing w:after="0"/>
              <w:rPr>
                <w:sz w:val="20"/>
                <w:szCs w:val="20"/>
                <w:color w:val="auto"/>
              </w:rPr>
            </w:pPr>
            <w:r>
              <w:rPr>
                <w:rFonts w:ascii="Arial" w:cs="Arial" w:eastAsia="Arial" w:hAnsi="Arial"/>
                <w:sz w:val="18"/>
                <w:szCs w:val="18"/>
                <w:color w:val="auto"/>
              </w:rPr>
              <w:t>Secrets and Confidential Information</w:t>
            </w:r>
          </w:p>
        </w:tc>
        <w:tc>
          <w:tcPr>
            <w:tcW w:w="7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3980" w:type="dxa"/>
            <w:vAlign w:val="bottom"/>
          </w:tcPr>
          <w:p>
            <w:pPr>
              <w:ind w:left="100"/>
              <w:spacing w:after="0"/>
              <w:rPr>
                <w:sz w:val="20"/>
                <w:szCs w:val="20"/>
                <w:color w:val="auto"/>
              </w:rPr>
            </w:pPr>
            <w:r>
              <w:rPr>
                <w:rFonts w:ascii="Arial" w:cs="Arial" w:eastAsia="Arial" w:hAnsi="Arial"/>
                <w:sz w:val="18"/>
                <w:szCs w:val="18"/>
                <w:color w:val="auto"/>
              </w:rPr>
              <w:t>Company Property</w:t>
            </w:r>
          </w:p>
        </w:tc>
        <w:tc>
          <w:tcPr>
            <w:tcW w:w="7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14.</w:t>
            </w:r>
          </w:p>
        </w:tc>
        <w:tc>
          <w:tcPr>
            <w:tcW w:w="398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7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15.</w:t>
            </w:r>
          </w:p>
        </w:tc>
        <w:tc>
          <w:tcPr>
            <w:tcW w:w="3980" w:type="dxa"/>
            <w:vAlign w:val="bottom"/>
          </w:tcPr>
          <w:p>
            <w:pPr>
              <w:ind w:left="100"/>
              <w:spacing w:after="0"/>
              <w:rPr>
                <w:sz w:val="20"/>
                <w:szCs w:val="20"/>
                <w:color w:val="auto"/>
              </w:rPr>
            </w:pPr>
            <w:r>
              <w:rPr>
                <w:rFonts w:ascii="Arial" w:cs="Arial" w:eastAsia="Arial" w:hAnsi="Arial"/>
                <w:sz w:val="18"/>
                <w:szCs w:val="18"/>
                <w:color w:val="auto"/>
              </w:rPr>
              <w:t>Sickness</w:t>
            </w:r>
          </w:p>
        </w:tc>
        <w:tc>
          <w:tcPr>
            <w:tcW w:w="7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16.</w:t>
            </w:r>
          </w:p>
        </w:tc>
        <w:tc>
          <w:tcPr>
            <w:tcW w:w="3980" w:type="dxa"/>
            <w:vAlign w:val="bottom"/>
          </w:tcPr>
          <w:p>
            <w:pPr>
              <w:ind w:left="100"/>
              <w:spacing w:after="0"/>
              <w:rPr>
                <w:sz w:val="20"/>
                <w:szCs w:val="20"/>
                <w:color w:val="auto"/>
              </w:rPr>
            </w:pPr>
            <w:r>
              <w:rPr>
                <w:rFonts w:ascii="Arial" w:cs="Arial" w:eastAsia="Arial" w:hAnsi="Arial"/>
                <w:sz w:val="18"/>
                <w:szCs w:val="18"/>
                <w:color w:val="auto"/>
              </w:rPr>
              <w:t>Provisions after Termination</w:t>
            </w:r>
          </w:p>
        </w:tc>
        <w:tc>
          <w:tcPr>
            <w:tcW w:w="7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17.</w:t>
            </w:r>
          </w:p>
        </w:tc>
        <w:tc>
          <w:tcPr>
            <w:tcW w:w="3980" w:type="dxa"/>
            <w:vAlign w:val="bottom"/>
          </w:tcPr>
          <w:p>
            <w:pPr>
              <w:ind w:left="100"/>
              <w:spacing w:after="0"/>
              <w:rPr>
                <w:sz w:val="20"/>
                <w:szCs w:val="20"/>
                <w:color w:val="auto"/>
              </w:rPr>
            </w:pPr>
            <w:r>
              <w:rPr>
                <w:rFonts w:ascii="Arial" w:cs="Arial" w:eastAsia="Arial" w:hAnsi="Arial"/>
                <w:sz w:val="18"/>
                <w:szCs w:val="18"/>
                <w:color w:val="auto"/>
              </w:rPr>
              <w:t>Directorship</w:t>
            </w:r>
          </w:p>
        </w:tc>
        <w:tc>
          <w:tcPr>
            <w:tcW w:w="7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18.</w:t>
            </w:r>
          </w:p>
        </w:tc>
        <w:tc>
          <w:tcPr>
            <w:tcW w:w="3980" w:type="dxa"/>
            <w:vAlign w:val="bottom"/>
          </w:tcPr>
          <w:p>
            <w:pPr>
              <w:ind w:left="100"/>
              <w:spacing w:after="0"/>
              <w:rPr>
                <w:sz w:val="20"/>
                <w:szCs w:val="20"/>
                <w:color w:val="auto"/>
              </w:rPr>
            </w:pPr>
            <w:r>
              <w:rPr>
                <w:rFonts w:ascii="Arial" w:cs="Arial" w:eastAsia="Arial" w:hAnsi="Arial"/>
                <w:sz w:val="18"/>
                <w:szCs w:val="18"/>
                <w:color w:val="auto"/>
              </w:rPr>
              <w:t>Sale of Undertaking or Reconstruction</w:t>
            </w:r>
          </w:p>
        </w:tc>
        <w:tc>
          <w:tcPr>
            <w:tcW w:w="7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19.</w:t>
            </w:r>
          </w:p>
        </w:tc>
        <w:tc>
          <w:tcPr>
            <w:tcW w:w="3980" w:type="dxa"/>
            <w:vAlign w:val="bottom"/>
          </w:tcPr>
          <w:p>
            <w:pPr>
              <w:ind w:left="100"/>
              <w:spacing w:after="0"/>
              <w:rPr>
                <w:sz w:val="20"/>
                <w:szCs w:val="20"/>
                <w:color w:val="auto"/>
              </w:rPr>
            </w:pPr>
            <w:r>
              <w:rPr>
                <w:rFonts w:ascii="Arial" w:cs="Arial" w:eastAsia="Arial" w:hAnsi="Arial"/>
                <w:sz w:val="18"/>
                <w:szCs w:val="18"/>
                <w:color w:val="auto"/>
              </w:rPr>
              <w:t>Notices</w:t>
            </w:r>
          </w:p>
        </w:tc>
        <w:tc>
          <w:tcPr>
            <w:tcW w:w="7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20.</w:t>
            </w:r>
          </w:p>
        </w:tc>
        <w:tc>
          <w:tcPr>
            <w:tcW w:w="3980" w:type="dxa"/>
            <w:vAlign w:val="bottom"/>
          </w:tcPr>
          <w:p>
            <w:pPr>
              <w:ind w:left="100"/>
              <w:spacing w:after="0"/>
              <w:rPr>
                <w:sz w:val="20"/>
                <w:szCs w:val="20"/>
                <w:color w:val="auto"/>
              </w:rPr>
            </w:pPr>
            <w:r>
              <w:rPr>
                <w:rFonts w:ascii="Arial" w:cs="Arial" w:eastAsia="Arial" w:hAnsi="Arial"/>
                <w:sz w:val="18"/>
                <w:szCs w:val="18"/>
                <w:color w:val="auto"/>
              </w:rPr>
              <w:t>Schedule 1</w:t>
            </w:r>
          </w:p>
        </w:tc>
        <w:tc>
          <w:tcPr>
            <w:tcW w:w="7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21.</w:t>
            </w:r>
          </w:p>
        </w:tc>
        <w:tc>
          <w:tcPr>
            <w:tcW w:w="3980" w:type="dxa"/>
            <w:vAlign w:val="bottom"/>
          </w:tcPr>
          <w:p>
            <w:pPr>
              <w:ind w:left="100"/>
              <w:spacing w:after="0"/>
              <w:rPr>
                <w:sz w:val="20"/>
                <w:szCs w:val="20"/>
                <w:color w:val="auto"/>
              </w:rPr>
            </w:pPr>
            <w:r>
              <w:rPr>
                <w:rFonts w:ascii="Arial" w:cs="Arial" w:eastAsia="Arial" w:hAnsi="Arial"/>
                <w:sz w:val="18"/>
                <w:szCs w:val="18"/>
                <w:color w:val="auto"/>
              </w:rPr>
              <w:t>Other Agreements</w:t>
            </w:r>
          </w:p>
        </w:tc>
        <w:tc>
          <w:tcPr>
            <w:tcW w:w="7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22.</w:t>
            </w:r>
          </w:p>
        </w:tc>
        <w:tc>
          <w:tcPr>
            <w:tcW w:w="398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7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23.</w:t>
            </w:r>
          </w:p>
        </w:tc>
        <w:tc>
          <w:tcPr>
            <w:tcW w:w="3980" w:type="dxa"/>
            <w:vAlign w:val="bottom"/>
          </w:tcPr>
          <w:p>
            <w:pPr>
              <w:ind w:left="100"/>
              <w:spacing w:after="0"/>
              <w:rPr>
                <w:sz w:val="20"/>
                <w:szCs w:val="20"/>
                <w:color w:val="auto"/>
              </w:rPr>
            </w:pPr>
            <w:r>
              <w:rPr>
                <w:rFonts w:ascii="Arial" w:cs="Arial" w:eastAsia="Arial" w:hAnsi="Arial"/>
                <w:sz w:val="18"/>
                <w:szCs w:val="18"/>
                <w:color w:val="auto"/>
              </w:rPr>
              <w:t>Legal Reference</w:t>
            </w:r>
          </w:p>
        </w:tc>
        <w:tc>
          <w:tcPr>
            <w:tcW w:w="7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92"/>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100" w:type="dxa"/>
            <w:vAlign w:val="bottom"/>
          </w:tcPr>
          <w:p>
            <w:pPr>
              <w:jc w:val="right"/>
              <w:ind w:right="5571"/>
              <w:spacing w:after="0"/>
              <w:rPr>
                <w:sz w:val="20"/>
                <w:szCs w:val="20"/>
                <w:color w:val="auto"/>
              </w:rPr>
            </w:pPr>
            <w:r>
              <w:rPr>
                <w:rFonts w:ascii="Arial" w:cs="Arial" w:eastAsia="Arial" w:hAnsi="Arial"/>
                <w:sz w:val="18"/>
                <w:szCs w:val="18"/>
                <w:color w:val="auto"/>
              </w:rPr>
              <w:t>2</w:t>
            </w:r>
          </w:p>
        </w:tc>
      </w:tr>
      <w:tr>
        <w:trPr>
          <w:trHeight w:val="226"/>
        </w:trPr>
        <w:tc>
          <w:tcPr>
            <w:tcW w:w="3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7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77" w:right="239" w:bottom="1440" w:gutter="0" w:footer="0" w:header="0"/>
        </w:sectPr>
      </w:pPr>
    </w:p>
    <w:bookmarkStart w:id="85" w:name="page86"/>
    <w:bookmarkEnd w:id="8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t>THIS AGREEMENT is made on 21</w:t>
      </w:r>
      <w:r>
        <w:rPr>
          <w:rFonts w:ascii="Arial" w:cs="Arial" w:eastAsia="Arial" w:hAnsi="Arial"/>
          <w:sz w:val="15"/>
          <w:szCs w:val="15"/>
          <w:color w:val="auto"/>
        </w:rPr>
        <w:t>st</w:t>
      </w:r>
      <w:r>
        <w:rPr>
          <w:rFonts w:ascii="Arial" w:cs="Arial" w:eastAsia="Arial" w:hAnsi="Arial"/>
          <w:sz w:val="18"/>
          <w:szCs w:val="18"/>
          <w:color w:val="auto"/>
        </w:rPr>
        <w:t xml:space="preserve"> December 2004</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BETWEEN:-</w:t>
      </w:r>
    </w:p>
    <w:p>
      <w:pPr>
        <w:spacing w:after="0" w:line="229" w:lineRule="exact"/>
        <w:rPr>
          <w:sz w:val="20"/>
          <w:szCs w:val="20"/>
          <w:color w:val="auto"/>
        </w:rPr>
      </w:pPr>
    </w:p>
    <w:p>
      <w:pPr>
        <w:ind w:left="460" w:hanging="454"/>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GARTNER GROUP UK LIMITED of Tamesis, The Glanty, Egham, Surrey, TW20 9AW (the “Company”); and</w:t>
      </w:r>
    </w:p>
    <w:p>
      <w:pPr>
        <w:spacing w:after="0" w:line="225" w:lineRule="exact"/>
        <w:rPr>
          <w:rFonts w:ascii="Arial" w:cs="Arial" w:eastAsia="Arial" w:hAnsi="Arial"/>
          <w:sz w:val="18"/>
          <w:szCs w:val="18"/>
          <w:color w:val="auto"/>
        </w:rPr>
      </w:pPr>
    </w:p>
    <w:p>
      <w:pPr>
        <w:ind w:left="460" w:hanging="454"/>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CLIVE TAYLOR (the “Executive”) of 15 Brandreth Delph, Parbold, Nr Wigan, WN8 7AQ</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left="440" w:hanging="344"/>
        <w:spacing w:after="0" w:line="277"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requested the Executive to serve the Company as an executive of the Company as from 1</w:t>
      </w:r>
      <w:r>
        <w:rPr>
          <w:rFonts w:ascii="Arial" w:cs="Arial" w:eastAsia="Arial" w:hAnsi="Arial"/>
          <w:sz w:val="15"/>
          <w:szCs w:val="15"/>
          <w:color w:val="auto"/>
        </w:rPr>
        <w:t>st</w:t>
      </w:r>
      <w:r>
        <w:rPr>
          <w:rFonts w:ascii="Arial" w:cs="Arial" w:eastAsia="Arial" w:hAnsi="Arial"/>
          <w:sz w:val="18"/>
          <w:szCs w:val="18"/>
          <w:color w:val="auto"/>
        </w:rPr>
        <w:t xml:space="preserve"> February 2004 (the “Starting Date”) on the terms and conditions contained in this Agreement and the Executive has agreed so to do.</w:t>
      </w:r>
    </w:p>
    <w:p>
      <w:pPr>
        <w:spacing w:after="0" w:line="170" w:lineRule="exact"/>
        <w:rPr>
          <w:rFonts w:ascii="Arial" w:cs="Arial" w:eastAsia="Arial" w:hAnsi="Arial"/>
          <w:sz w:val="18"/>
          <w:szCs w:val="18"/>
          <w:color w:val="auto"/>
        </w:rPr>
      </w:pPr>
    </w:p>
    <w:p>
      <w:pPr>
        <w:ind w:left="440" w:right="500" w:hanging="344"/>
        <w:spacing w:after="0" w:line="342" w:lineRule="auto"/>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this Agreement “Group Company” means any one of the Company, its subsidiaries, its holding company or any subsidiary of its holding company (in each case as defined by section 736 of the Companies Act 1985) and “the Group” has the corresponding meaning.</w:t>
      </w:r>
    </w:p>
    <w:p>
      <w:pPr>
        <w:spacing w:after="0" w:line="123" w:lineRule="exact"/>
        <w:rPr>
          <w:rFonts w:ascii="Arial" w:cs="Arial" w:eastAsia="Arial" w:hAnsi="Arial"/>
          <w:sz w:val="16"/>
          <w:szCs w:val="16"/>
          <w:color w:val="auto"/>
        </w:rPr>
      </w:pPr>
    </w:p>
    <w:p>
      <w:pPr>
        <w:ind w:left="440" w:hanging="344"/>
        <w:spacing w:after="0"/>
        <w:tabs>
          <w:tab w:leader="none" w:pos="4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the purposes of seniority and the calculation of benefits, the Executive’s start date with the Company will remain 2</w:t>
      </w:r>
      <w:r>
        <w:rPr>
          <w:rFonts w:ascii="Arial" w:cs="Arial" w:eastAsia="Arial" w:hAnsi="Arial"/>
          <w:sz w:val="14"/>
          <w:szCs w:val="14"/>
          <w:color w:val="auto"/>
        </w:rPr>
        <w:t>nd</w:t>
      </w:r>
      <w:r>
        <w:rPr>
          <w:rFonts w:ascii="Arial" w:cs="Arial" w:eastAsia="Arial" w:hAnsi="Arial"/>
          <w:sz w:val="17"/>
          <w:szCs w:val="17"/>
          <w:color w:val="auto"/>
        </w:rPr>
        <w:t xml:space="preserve"> January 1995.</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 IS HEREBY AGREED </w:t>
      </w:r>
      <w:r>
        <w:rPr>
          <w:rFonts w:ascii="Arial" w:cs="Arial" w:eastAsia="Arial" w:hAnsi="Arial"/>
          <w:sz w:val="18"/>
          <w:szCs w:val="18"/>
          <w:color w:val="auto"/>
        </w:rPr>
        <w:t>as follows:-</w:t>
      </w:r>
    </w:p>
    <w:p>
      <w:pPr>
        <w:spacing w:after="0" w:line="225" w:lineRule="exact"/>
        <w:rPr>
          <w:sz w:val="20"/>
          <w:szCs w:val="20"/>
          <w:color w:val="auto"/>
        </w:rPr>
      </w:pPr>
    </w:p>
    <w:p>
      <w:pPr>
        <w:ind w:left="460" w:hanging="454"/>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229"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employ the Executive and the Executive shall serve the Company as SVP, International Operations, upon the terms and conditions following.</w:t>
      </w:r>
    </w:p>
    <w:p>
      <w:pPr>
        <w:spacing w:after="0" w:line="166" w:lineRule="exact"/>
        <w:rPr>
          <w:rFonts w:ascii="Arial" w:cs="Arial" w:eastAsia="Arial" w:hAnsi="Arial"/>
          <w:sz w:val="18"/>
          <w:szCs w:val="18"/>
          <w:b w:val="1"/>
          <w:bCs w:val="1"/>
          <w:color w:val="auto"/>
        </w:rPr>
      </w:pPr>
    </w:p>
    <w:p>
      <w:pPr>
        <w:ind w:left="460" w:hanging="454"/>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2.1   The appointment under this Agreement commenced on the Starting Date (1</w:t>
      </w:r>
      <w:r>
        <w:rPr>
          <w:rFonts w:ascii="Arial" w:cs="Arial" w:eastAsia="Arial" w:hAnsi="Arial"/>
          <w:sz w:val="15"/>
          <w:szCs w:val="15"/>
          <w:color w:val="auto"/>
        </w:rPr>
        <w:t>st</w:t>
      </w:r>
      <w:r>
        <w:rPr>
          <w:rFonts w:ascii="Arial" w:cs="Arial" w:eastAsia="Arial" w:hAnsi="Arial"/>
          <w:sz w:val="18"/>
          <w:szCs w:val="18"/>
          <w:color w:val="auto"/>
        </w:rPr>
        <w:t xml:space="preserve"> February 2004).</w:t>
      </w:r>
    </w:p>
    <w:p>
      <w:pPr>
        <w:spacing w:after="0" w:line="225" w:lineRule="exact"/>
        <w:rPr>
          <w:rFonts w:ascii="Arial" w:cs="Arial" w:eastAsia="Arial" w:hAnsi="Arial"/>
          <w:sz w:val="18"/>
          <w:szCs w:val="18"/>
          <w:b w:val="1"/>
          <w:bCs w:val="1"/>
          <w:color w:val="auto"/>
        </w:rPr>
      </w:pPr>
    </w:p>
    <w:p>
      <w:pPr>
        <w:ind w:left="920" w:right="80" w:hanging="44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2.2 The Executive’s employment will be deemed to be confirmed and continuing until determination in accordance with section 14.1 below or by not less than twelve months notice in writing given by the Company to the Executive, or not less than three months notice in writing given by the Executive to the Company.</w:t>
      </w:r>
    </w:p>
    <w:p>
      <w:pPr>
        <w:spacing w:after="0" w:line="181" w:lineRule="exact"/>
        <w:rPr>
          <w:rFonts w:ascii="Arial" w:cs="Arial" w:eastAsia="Arial" w:hAnsi="Arial"/>
          <w:sz w:val="18"/>
          <w:szCs w:val="18"/>
          <w:b w:val="1"/>
          <w:bCs w:val="1"/>
          <w:color w:val="auto"/>
        </w:rPr>
      </w:pPr>
    </w:p>
    <w:p>
      <w:pPr>
        <w:ind w:left="920" w:right="240" w:hanging="44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2.3 The Executive agrees that at its absolute discretion the Company may terminate the Executive’s employment under this Agreement with immediate effect by paying the Executive his target earnings in lieu of the notice period, unless such termination is in accordance with section 14.1</w:t>
      </w:r>
    </w:p>
    <w:p>
      <w:pPr>
        <w:spacing w:after="0" w:line="181" w:lineRule="exact"/>
        <w:rPr>
          <w:rFonts w:ascii="Arial" w:cs="Arial" w:eastAsia="Arial" w:hAnsi="Arial"/>
          <w:sz w:val="18"/>
          <w:szCs w:val="18"/>
          <w:b w:val="1"/>
          <w:bCs w:val="1"/>
          <w:color w:val="auto"/>
        </w:rPr>
      </w:pPr>
    </w:p>
    <w:p>
      <w:pPr>
        <w:ind w:left="920" w:right="48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2.4 Notwithstanding the provision of clause 2.1 the Executive’s employment under the Agreement will terminate on the Executive’s 60</w:t>
      </w:r>
      <w:r>
        <w:rPr>
          <w:rFonts w:ascii="Arial" w:cs="Arial" w:eastAsia="Arial" w:hAnsi="Arial"/>
          <w:sz w:val="15"/>
          <w:szCs w:val="15"/>
          <w:color w:val="auto"/>
        </w:rPr>
        <w:t>th</w:t>
      </w:r>
      <w:r>
        <w:rPr>
          <w:rFonts w:ascii="Arial" w:cs="Arial" w:eastAsia="Arial" w:hAnsi="Arial"/>
          <w:sz w:val="18"/>
          <w:szCs w:val="18"/>
          <w:color w:val="auto"/>
        </w:rPr>
        <w:t xml:space="preserve"> birthday, but may be extended by agreement.</w:t>
      </w:r>
    </w:p>
    <w:p>
      <w:pPr>
        <w:spacing w:after="0" w:line="166" w:lineRule="exact"/>
        <w:rPr>
          <w:rFonts w:ascii="Arial" w:cs="Arial" w:eastAsia="Arial" w:hAnsi="Arial"/>
          <w:sz w:val="18"/>
          <w:szCs w:val="18"/>
          <w:b w:val="1"/>
          <w:bCs w:val="1"/>
          <w:color w:val="auto"/>
        </w:rPr>
      </w:pPr>
    </w:p>
    <w:p>
      <w:pPr>
        <w:ind w:left="460" w:hanging="454"/>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Powers</w:t>
      </w:r>
    </w:p>
    <w:p>
      <w:pPr>
        <w:spacing w:after="0" w:line="229" w:lineRule="exact"/>
        <w:rPr>
          <w:sz w:val="20"/>
          <w:szCs w:val="20"/>
          <w:color w:val="auto"/>
        </w:rPr>
      </w:pPr>
    </w:p>
    <w:p>
      <w:pPr>
        <w:ind w:left="920" w:right="100" w:hanging="445"/>
        <w:spacing w:after="0" w:line="264" w:lineRule="auto"/>
        <w:tabs>
          <w:tab w:leader="none" w:pos="900" w:val="left"/>
        </w:tabs>
        <w:rPr>
          <w:sz w:val="20"/>
          <w:szCs w:val="20"/>
          <w:color w:val="auto"/>
        </w:rPr>
      </w:pPr>
      <w:r>
        <w:rPr>
          <w:rFonts w:ascii="Arial" w:cs="Arial" w:eastAsia="Arial" w:hAnsi="Arial"/>
          <w:sz w:val="18"/>
          <w:szCs w:val="18"/>
          <w:color w:val="auto"/>
        </w:rPr>
        <w:t>3.1</w:t>
        <w:tab/>
        <w:t>The Executive shall exercise and perform such duties and exercise such powers on behalf of the Company or any Group Company as may from time to time be assigned or delegated to or vested in him by the Board of Directors of the Company (the “Board”), subject to such reasonable directions and restrictions as the Board may</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580" w:top="1381" w:right="359" w:bottom="1440" w:gutter="0" w:footer="0" w:header="0"/>
        </w:sectPr>
      </w:pPr>
    </w:p>
    <w:bookmarkStart w:id="86" w:name="page87"/>
    <w:bookmarkEnd w:id="86"/>
    <w:p>
      <w:pPr>
        <w:ind w:left="920"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t>from time to time give or impose. The Company may from time to time within reason, bearing in mind the Executive’s previous responsibilities, vary the type and nature of the work to be carried on by the Executive, and the responsibilities connected with those duties.</w:t>
      </w:r>
    </w:p>
    <w:p>
      <w:pPr>
        <w:spacing w:after="0" w:line="124" w:lineRule="exact"/>
        <w:rPr>
          <w:sz w:val="20"/>
          <w:szCs w:val="20"/>
          <w:color w:val="auto"/>
        </w:rPr>
      </w:pPr>
    </w:p>
    <w:p>
      <w:pPr>
        <w:ind w:left="920" w:right="520" w:hanging="445"/>
        <w:spacing w:after="0" w:line="264" w:lineRule="auto"/>
        <w:tabs>
          <w:tab w:leader="none" w:pos="900" w:val="left"/>
        </w:tabs>
        <w:rPr>
          <w:sz w:val="20"/>
          <w:szCs w:val="20"/>
          <w:color w:val="auto"/>
        </w:rPr>
      </w:pPr>
      <w:r>
        <w:rPr>
          <w:rFonts w:ascii="Arial" w:cs="Arial" w:eastAsia="Arial" w:hAnsi="Arial"/>
          <w:sz w:val="18"/>
          <w:szCs w:val="18"/>
          <w:color w:val="auto"/>
        </w:rPr>
        <w:t>3.2</w:t>
        <w:tab/>
        <w:t>The Executive shall perform his duties from his home office. The Executive may also be required to attend meetings at any offices maintained by the Group or in the cities where such offices are maintained, as well as to travel abroad on the business of the Group in accordance with the nature of the Executive’s responsibilities.</w:t>
      </w:r>
    </w:p>
    <w:p>
      <w:pPr>
        <w:spacing w:after="0" w:line="181" w:lineRule="exact"/>
        <w:rPr>
          <w:sz w:val="20"/>
          <w:szCs w:val="20"/>
          <w:color w:val="auto"/>
        </w:rPr>
      </w:pPr>
    </w:p>
    <w:p>
      <w:pPr>
        <w:ind w:left="920" w:hanging="445"/>
        <w:spacing w:after="0" w:line="264" w:lineRule="auto"/>
        <w:tabs>
          <w:tab w:leader="none" w:pos="900" w:val="left"/>
        </w:tabs>
        <w:rPr>
          <w:sz w:val="20"/>
          <w:szCs w:val="20"/>
          <w:color w:val="auto"/>
        </w:rPr>
      </w:pPr>
      <w:r>
        <w:rPr>
          <w:rFonts w:ascii="Arial" w:cs="Arial" w:eastAsia="Arial" w:hAnsi="Arial"/>
          <w:sz w:val="18"/>
          <w:szCs w:val="18"/>
          <w:color w:val="auto"/>
        </w:rPr>
        <w:t>3.3</w:t>
        <w:tab/>
        <w:t>If and for so long as he is required by the Company, the Executive shall serve as a director and/or officer of the Company or any other Group Company. The Executive will carry out the duties attendant on any such appointment as if he performed them on behalf of the Company under this Agreement.</w:t>
      </w:r>
    </w:p>
    <w:p>
      <w:pPr>
        <w:spacing w:after="0" w:line="177" w:lineRule="exact"/>
        <w:rPr>
          <w:sz w:val="20"/>
          <w:szCs w:val="20"/>
          <w:color w:val="auto"/>
        </w:rPr>
      </w:pPr>
    </w:p>
    <w:p>
      <w:pPr>
        <w:ind w:left="460" w:hanging="454"/>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During the continuance of this Agreement the Executive shall unless prevented by ill health or accident:-</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4.1   devote the whole of his time, skill, ability and attention during working hours to the business of the Group.</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4.2   in all respects conform to and comply with the reasonable directions and regulations given and made by the Board.</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4.3   well and faithfully serve the Group and use his best endeavours to promote its interests;</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4.4   co-operate to the fullest extent with the Board, any Directors or servants of the Group; and</w:t>
      </w:r>
    </w:p>
    <w:p>
      <w:pPr>
        <w:spacing w:after="0" w:line="225" w:lineRule="exact"/>
        <w:rPr>
          <w:rFonts w:ascii="Arial" w:cs="Arial" w:eastAsia="Arial" w:hAnsi="Arial"/>
          <w:sz w:val="18"/>
          <w:szCs w:val="18"/>
          <w:b w:val="1"/>
          <w:bCs w:val="1"/>
          <w:color w:val="auto"/>
        </w:rPr>
      </w:pPr>
    </w:p>
    <w:p>
      <w:pPr>
        <w:ind w:left="920" w:right="32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4.5 enter into the Company’s Deed of Restrictive Covenant and comply fully at all times with its terms subject to the proviso that where any term of the Deed of Restrictive Covenant conflicts with a term of this Agreement, this Agreement will apply.</w:t>
      </w:r>
    </w:p>
    <w:p>
      <w:pPr>
        <w:spacing w:after="0" w:line="166" w:lineRule="exact"/>
        <w:rPr>
          <w:rFonts w:ascii="Arial" w:cs="Arial" w:eastAsia="Arial" w:hAnsi="Arial"/>
          <w:sz w:val="18"/>
          <w:szCs w:val="18"/>
          <w:b w:val="1"/>
          <w:bCs w:val="1"/>
          <w:color w:val="auto"/>
        </w:rPr>
      </w:pPr>
    </w:p>
    <w:p>
      <w:pPr>
        <w:ind w:left="460" w:hanging="454"/>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229" w:lineRule="exact"/>
        <w:rPr>
          <w:rFonts w:ascii="Arial" w:cs="Arial" w:eastAsia="Arial" w:hAnsi="Arial"/>
          <w:sz w:val="18"/>
          <w:szCs w:val="18"/>
          <w:b w:val="1"/>
          <w:bCs w:val="1"/>
          <w:color w:val="auto"/>
        </w:rPr>
      </w:pPr>
    </w:p>
    <w:p>
      <w:pPr>
        <w:ind w:left="4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Executive shall at all times promptly give to the Board (in writing if so required) all information, advice and explanations as it may require in connection with matters relating to his employment under this Agreement.</w:t>
      </w:r>
    </w:p>
    <w:p>
      <w:pPr>
        <w:spacing w:after="0" w:line="166" w:lineRule="exact"/>
        <w:rPr>
          <w:rFonts w:ascii="Arial" w:cs="Arial" w:eastAsia="Arial" w:hAnsi="Arial"/>
          <w:sz w:val="18"/>
          <w:szCs w:val="18"/>
          <w:b w:val="1"/>
          <w:bCs w:val="1"/>
          <w:color w:val="auto"/>
        </w:rPr>
      </w:pPr>
    </w:p>
    <w:p>
      <w:pPr>
        <w:ind w:left="460" w:hanging="454"/>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229"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Executive shall (subject to the provisions of this clause) be eligible, by way of remuneration for his services under this Agreement, to target earnings at the rate of £282,000 per annum. This comprises of a base salary of £188,000 per annum, paid in twelve monthly instalments at the end of each calendar month (less applicable statutory deductions) and a discretionary bonus, which is a variable element targeted at £94,000 per annum (less applicable statutory deductions). The discretionary bonus is only triggered if the Company meets its performance targets and the Executive meets his defined personal objectives. The payout of any discretionary bonus is at the discretion of the Company and is subject to the achievement of the above targets and the Executive being employed and not under notice of termination of employment for any reason on the bonus payment date. Bonus payments are</w:t>
      </w:r>
    </w:p>
    <w:p>
      <w:pPr>
        <w:spacing w:after="0" w:line="18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408" w:right="259" w:bottom="1440" w:gutter="0" w:footer="0" w:header="0"/>
        </w:sectPr>
      </w:pPr>
    </w:p>
    <w:bookmarkStart w:id="87" w:name="page88"/>
    <w:bookmarkEnd w:id="87"/>
    <w:p>
      <w:pPr>
        <w:ind w:left="46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t>payments are usually made in the first quarter of the next fiscal year. Bonuses will not be paid if the Executive leaves the Company before bonus payments are issued. The Executive’s performance objectives will be determined by the Company and assigned when the Executive joins the Company and annually thereafter.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Normal on-target earning reviews are subject to performance and take place after the conclusion of the fiscal year.</w:t>
      </w:r>
    </w:p>
    <w:p>
      <w:pPr>
        <w:spacing w:after="0" w:line="221" w:lineRule="exact"/>
        <w:rPr>
          <w:sz w:val="20"/>
          <w:szCs w:val="20"/>
          <w:color w:val="auto"/>
        </w:rPr>
      </w:pPr>
    </w:p>
    <w:p>
      <w:pPr>
        <w:ind w:left="460" w:hanging="454"/>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Pension</w:t>
      </w:r>
    </w:p>
    <w:p>
      <w:pPr>
        <w:spacing w:after="0" w:line="229" w:lineRule="exact"/>
        <w:rPr>
          <w:rFonts w:ascii="Arial" w:cs="Arial" w:eastAsia="Arial" w:hAnsi="Arial"/>
          <w:sz w:val="18"/>
          <w:szCs w:val="18"/>
          <w:b w:val="1"/>
          <w:bCs w:val="1"/>
          <w:color w:val="auto"/>
        </w:rPr>
      </w:pPr>
    </w:p>
    <w:p>
      <w:pPr>
        <w:ind w:left="460"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Company’s contribution to the pension scheme will be 6% of the Executive’s target earnings for the first 2 years of service, and 8% of the Executive’s target earnings thereafter provided the Executive contributes 2% of his target earnings, to the Company Pension Plan.</w:t>
      </w:r>
    </w:p>
    <w:p>
      <w:pPr>
        <w:spacing w:after="0" w:line="119" w:lineRule="exact"/>
        <w:rPr>
          <w:rFonts w:ascii="Arial" w:cs="Arial" w:eastAsia="Arial" w:hAnsi="Arial"/>
          <w:sz w:val="18"/>
          <w:szCs w:val="18"/>
          <w:b w:val="1"/>
          <w:bCs w:val="1"/>
          <w:color w:val="auto"/>
        </w:rPr>
      </w:pPr>
    </w:p>
    <w:p>
      <w:pPr>
        <w:ind w:left="460" w:hanging="454"/>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Medical and Life Assurance</w:t>
      </w:r>
    </w:p>
    <w:p>
      <w:pPr>
        <w:spacing w:after="0" w:line="229"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will at its cost provide the Executive with life assurance to three times of target earnings and permanent health assurance, subject to the rules of each Plan in force at that time, and satisfactory completion of any medical underwriting requirements. Private Health Care will be provided for the Executive and his family (including cover for any historical or current conditions). The Company reserves the right to amend and/or replace any of these plans at any time.</w:t>
      </w:r>
    </w:p>
    <w:p>
      <w:pPr>
        <w:spacing w:after="0" w:line="182" w:lineRule="exact"/>
        <w:rPr>
          <w:rFonts w:ascii="Arial" w:cs="Arial" w:eastAsia="Arial" w:hAnsi="Arial"/>
          <w:sz w:val="18"/>
          <w:szCs w:val="18"/>
          <w:b w:val="1"/>
          <w:bCs w:val="1"/>
          <w:color w:val="auto"/>
        </w:rPr>
      </w:pPr>
    </w:p>
    <w:p>
      <w:pPr>
        <w:ind w:left="460" w:hanging="454"/>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229"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shall reimburse to the Executive all reasonable travelling, hotel and other out-of-pocket expenses properly incurred by him in or about the performance of his duties hereunder, upon production by the Executive of all appropriate invoices evidencing such expenses in accordance with the policies of the Company in effect from time to time.</w:t>
      </w:r>
    </w:p>
    <w:p>
      <w:pPr>
        <w:spacing w:after="0" w:line="177" w:lineRule="exact"/>
        <w:rPr>
          <w:rFonts w:ascii="Arial" w:cs="Arial" w:eastAsia="Arial" w:hAnsi="Arial"/>
          <w:sz w:val="18"/>
          <w:szCs w:val="18"/>
          <w:b w:val="1"/>
          <w:bCs w:val="1"/>
          <w:color w:val="auto"/>
        </w:rPr>
      </w:pPr>
    </w:p>
    <w:p>
      <w:pPr>
        <w:ind w:left="460" w:hanging="454"/>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Car</w:t>
      </w:r>
    </w:p>
    <w:p>
      <w:pPr>
        <w:spacing w:after="0" w:line="229"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provide for the Executive a fully expensed company car or car allowance in accordance with Company Car Policy. This will not be lower than the current level set.</w:t>
      </w:r>
    </w:p>
    <w:p>
      <w:pPr>
        <w:spacing w:after="0" w:line="166" w:lineRule="exact"/>
        <w:rPr>
          <w:rFonts w:ascii="Arial" w:cs="Arial" w:eastAsia="Arial" w:hAnsi="Arial"/>
          <w:sz w:val="18"/>
          <w:szCs w:val="18"/>
          <w:b w:val="1"/>
          <w:bCs w:val="1"/>
          <w:color w:val="auto"/>
        </w:rPr>
      </w:pPr>
    </w:p>
    <w:p>
      <w:pPr>
        <w:ind w:left="460" w:hanging="454"/>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Holidays</w:t>
      </w:r>
    </w:p>
    <w:p>
      <w:pPr>
        <w:spacing w:after="0" w:line="229" w:lineRule="exact"/>
        <w:rPr>
          <w:rFonts w:ascii="Arial" w:cs="Arial" w:eastAsia="Arial" w:hAnsi="Arial"/>
          <w:sz w:val="18"/>
          <w:szCs w:val="18"/>
          <w:b w:val="1"/>
          <w:bCs w:val="1"/>
          <w:color w:val="auto"/>
        </w:rPr>
      </w:pPr>
    </w:p>
    <w:p>
      <w:pPr>
        <w:ind w:left="46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Executive shall in addition to the usual statutory holidays (according to the Company’s policy) be entitled to 24 days holiday in any calendar year. The holiday shall accrue on a pro rata basis throughout each calendar year. Such holidays are to be taken at such time or times as may be agreed with the Company and may not, without the consent of the Company, be carried forward into the next holiday year.</w:t>
      </w:r>
    </w:p>
    <w:p>
      <w:pPr>
        <w:spacing w:after="0" w:line="142" w:lineRule="exact"/>
        <w:rPr>
          <w:rFonts w:ascii="Arial" w:cs="Arial" w:eastAsia="Arial" w:hAnsi="Arial"/>
          <w:sz w:val="18"/>
          <w:szCs w:val="18"/>
          <w:b w:val="1"/>
          <w:bCs w:val="1"/>
          <w:color w:val="auto"/>
        </w:rPr>
      </w:pPr>
    </w:p>
    <w:p>
      <w:pPr>
        <w:ind w:left="460" w:hanging="454"/>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Secrets and Confidential Information</w:t>
      </w:r>
    </w:p>
    <w:p>
      <w:pPr>
        <w:spacing w:after="0" w:line="229" w:lineRule="exact"/>
        <w:rPr>
          <w:rFonts w:ascii="Arial" w:cs="Arial" w:eastAsia="Arial" w:hAnsi="Arial"/>
          <w:sz w:val="18"/>
          <w:szCs w:val="18"/>
          <w:b w:val="1"/>
          <w:bCs w:val="1"/>
          <w:color w:val="auto"/>
        </w:rPr>
      </w:pPr>
    </w:p>
    <w:p>
      <w:pPr>
        <w:ind w:left="920" w:right="60" w:hanging="44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12.1 The Executive shall not (except with the prior written consent of the Board) during the continuance of this Agreement or at any time thereafter, disclose the private affairs, secrets or confidential information of the Company or any Group Company relating to the affairs of the Company or any Group Company or any customer of the Company or any Group Company which he may learn while in the employment of the Company to any unauthorised person and shall not use for his own purpose any such information which he may acquire in relation to the business of the Company or any Group Company except that which may be in or become part of the public domain other than through any act or default of the Executive.</w:t>
      </w:r>
    </w:p>
    <w:p>
      <w:pPr>
        <w:spacing w:after="0" w:line="19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580" w:top="1408" w:right="319" w:bottom="1440" w:gutter="0" w:footer="0" w:header="0"/>
        </w:sectPr>
      </w:pPr>
    </w:p>
    <w:bookmarkStart w:id="88" w:name="page89"/>
    <w:bookmarkEnd w:id="88"/>
    <w:p>
      <w:pPr>
        <w:ind w:left="920" w:right="100" w:hanging="445"/>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t>12.2 The termination of this Agreement shall not operate to terminate the provisions of this clause which, after such termination, shall remain in full force and effect and binding on the Executive in so far as it relates to trade secrets of the Company or any Group Company.</w:t>
      </w:r>
    </w:p>
    <w:p>
      <w:pPr>
        <w:spacing w:after="0" w:line="120" w:lineRule="exact"/>
        <w:rPr>
          <w:sz w:val="20"/>
          <w:szCs w:val="20"/>
          <w:color w:val="auto"/>
        </w:rPr>
      </w:pPr>
    </w:p>
    <w:p>
      <w:pPr>
        <w:ind w:left="460" w:hanging="454"/>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p>
    <w:p>
      <w:pPr>
        <w:spacing w:after="0" w:line="229" w:lineRule="exact"/>
        <w:rPr>
          <w:rFonts w:ascii="Arial" w:cs="Arial" w:eastAsia="Arial" w:hAnsi="Arial"/>
          <w:sz w:val="18"/>
          <w:szCs w:val="18"/>
          <w:b w:val="1"/>
          <w:bCs w:val="1"/>
          <w:color w:val="auto"/>
        </w:rPr>
      </w:pPr>
    </w:p>
    <w:p>
      <w:pPr>
        <w:ind w:left="4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Executive shall promptly whenever required by the Company and in any event upon the termination of this Agreement (for whatsoever cause) deliver up to the Company or its authorised representatives all statistics, documents, records or papers which may be in his possession or under his control and relate in any way to the property, business or affairs of the Company or any Group Company and which is the property of the Group, including the Company car and keys; no copies shall be retained by him and he shall at the same time deliver up to the Company or its authorised representatives all other property of the Company or any Group Company in his possession or under his control.</w:t>
      </w:r>
    </w:p>
    <w:p>
      <w:pPr>
        <w:spacing w:after="0" w:line="154" w:lineRule="exact"/>
        <w:rPr>
          <w:rFonts w:ascii="Arial" w:cs="Arial" w:eastAsia="Arial" w:hAnsi="Arial"/>
          <w:sz w:val="18"/>
          <w:szCs w:val="18"/>
          <w:b w:val="1"/>
          <w:bCs w:val="1"/>
          <w:color w:val="auto"/>
        </w:rPr>
      </w:pPr>
    </w:p>
    <w:p>
      <w:pPr>
        <w:ind w:left="460" w:hanging="454"/>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920" w:right="360" w:hanging="445"/>
        <w:spacing w:after="0" w:line="342" w:lineRule="auto"/>
        <w:rPr>
          <w:sz w:val="20"/>
          <w:szCs w:val="20"/>
          <w:color w:val="auto"/>
        </w:rPr>
      </w:pPr>
      <w:r>
        <w:rPr>
          <w:rFonts w:ascii="Arial" w:cs="Arial" w:eastAsia="Arial" w:hAnsi="Arial"/>
          <w:sz w:val="16"/>
          <w:szCs w:val="16"/>
          <w:color w:val="auto"/>
        </w:rPr>
        <w:t>14.1 The Company may at any time terminate this Agreement forthwith without payment of any compensation damages or remuneration for subsequent periods payable by virtue of common law or any statute by serving notice in writing upon the Executive, if the Executive:-</w:t>
      </w:r>
    </w:p>
    <w:p>
      <w:pPr>
        <w:spacing w:after="0" w:line="124" w:lineRule="exact"/>
        <w:rPr>
          <w:sz w:val="20"/>
          <w:szCs w:val="20"/>
          <w:color w:val="auto"/>
        </w:rPr>
      </w:pPr>
    </w:p>
    <w:p>
      <w:pPr>
        <w:ind w:left="1580" w:right="140" w:hanging="539"/>
        <w:spacing w:after="0" w:line="277" w:lineRule="auto"/>
        <w:rPr>
          <w:sz w:val="20"/>
          <w:szCs w:val="20"/>
          <w:color w:val="auto"/>
        </w:rPr>
      </w:pPr>
      <w:r>
        <w:rPr>
          <w:rFonts w:ascii="Arial" w:cs="Arial" w:eastAsia="Arial" w:hAnsi="Arial"/>
          <w:sz w:val="18"/>
          <w:szCs w:val="18"/>
          <w:color w:val="auto"/>
        </w:rPr>
        <w:t>14.1.1 is a Director or officer of the Company or any Group Company and resigns as a Director or officer of the Company or any Group Company without the consent of the Company; or</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14.1.2 shall be adjudicated bankrupt or be disqualified or prohibited by law from being a director or officer; or</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14.1.3 shall be guilty of gross misconduct in the course of his employment; or</w:t>
      </w:r>
    </w:p>
    <w:p>
      <w:pPr>
        <w:spacing w:after="0" w:line="225" w:lineRule="exact"/>
        <w:rPr>
          <w:sz w:val="20"/>
          <w:szCs w:val="20"/>
          <w:color w:val="auto"/>
        </w:rPr>
      </w:pPr>
    </w:p>
    <w:p>
      <w:pPr>
        <w:ind w:left="1580" w:right="140" w:hanging="539"/>
        <w:spacing w:after="0" w:line="277" w:lineRule="auto"/>
        <w:rPr>
          <w:sz w:val="20"/>
          <w:szCs w:val="20"/>
          <w:color w:val="auto"/>
        </w:rPr>
      </w:pPr>
      <w:r>
        <w:rPr>
          <w:rFonts w:ascii="Arial" w:cs="Arial" w:eastAsia="Arial" w:hAnsi="Arial"/>
          <w:sz w:val="18"/>
          <w:szCs w:val="18"/>
          <w:color w:val="auto"/>
        </w:rPr>
        <w:t>14.1.4 is convicted of any criminal offence under UK or European law (other than a motoring offence for which no custodial sentence is made upon him);</w:t>
      </w:r>
    </w:p>
    <w:p>
      <w:pPr>
        <w:spacing w:after="0" w:line="170" w:lineRule="exact"/>
        <w:rPr>
          <w:sz w:val="20"/>
          <w:szCs w:val="20"/>
          <w:color w:val="auto"/>
        </w:rPr>
      </w:pPr>
    </w:p>
    <w:p>
      <w:pPr>
        <w:ind w:left="1580" w:right="40" w:hanging="539"/>
        <w:spacing w:after="0" w:line="277" w:lineRule="auto"/>
        <w:rPr>
          <w:sz w:val="20"/>
          <w:szCs w:val="20"/>
          <w:color w:val="auto"/>
        </w:rPr>
      </w:pPr>
      <w:r>
        <w:rPr>
          <w:rFonts w:ascii="Arial" w:cs="Arial" w:eastAsia="Arial" w:hAnsi="Arial"/>
          <w:sz w:val="18"/>
          <w:szCs w:val="18"/>
          <w:color w:val="auto"/>
        </w:rPr>
        <w:t>14.1.5 shall be guilty of conduct which affects or in the reasonable opinion of the Board is likely to affect prejudicially the interests of the the Group or himself;</w:t>
      </w:r>
    </w:p>
    <w:p>
      <w:pPr>
        <w:spacing w:after="0" w:line="170" w:lineRule="exact"/>
        <w:rPr>
          <w:sz w:val="20"/>
          <w:szCs w:val="20"/>
          <w:color w:val="auto"/>
        </w:rPr>
      </w:pPr>
    </w:p>
    <w:p>
      <w:pPr>
        <w:jc w:val="both"/>
        <w:ind w:left="1580" w:right="640" w:hanging="539"/>
        <w:spacing w:after="0" w:line="264" w:lineRule="auto"/>
        <w:rPr>
          <w:sz w:val="20"/>
          <w:szCs w:val="20"/>
          <w:color w:val="auto"/>
        </w:rPr>
      </w:pPr>
      <w:r>
        <w:rPr>
          <w:rFonts w:ascii="Arial" w:cs="Arial" w:eastAsia="Arial" w:hAnsi="Arial"/>
          <w:sz w:val="18"/>
          <w:szCs w:val="18"/>
          <w:color w:val="auto"/>
        </w:rPr>
        <w:t>14.1.6 in the reasonable opinion of the Board (after having received a written warning from the Chief Executive) fails or neglects efficiently and diligently to discharge his duties or is guilty of any serious or repeated breach of his obligations under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14.2  Any delay or forbearance by the Company in exercising any right of termination hereunder shall not constitute a waiver of such right.</w:t>
      </w:r>
    </w:p>
    <w:p>
      <w:pPr>
        <w:spacing w:after="0" w:line="237" w:lineRule="exact"/>
        <w:rPr>
          <w:sz w:val="20"/>
          <w:szCs w:val="20"/>
          <w:color w:val="auto"/>
        </w:rPr>
      </w:pPr>
    </w:p>
    <w:p>
      <w:pPr>
        <w:ind w:left="920" w:right="180" w:hanging="445"/>
        <w:spacing w:after="0" w:line="259" w:lineRule="auto"/>
        <w:rPr>
          <w:sz w:val="20"/>
          <w:szCs w:val="20"/>
          <w:color w:val="auto"/>
        </w:rPr>
      </w:pPr>
      <w:r>
        <w:rPr>
          <w:rFonts w:ascii="Arial" w:cs="Arial" w:eastAsia="Arial" w:hAnsi="Arial"/>
          <w:sz w:val="18"/>
          <w:szCs w:val="18"/>
          <w:color w:val="auto"/>
        </w:rPr>
        <w:t>14.3 Without prejudice to clause 3 after notice of termination has been given by either party pursuant to clause 2 or if the Executive seeks to or indicates an intention to terminate his employment, provided the Executive continues to be paid his base salary and enjoys his full contractual benefits until his employment terminates in accordance with the terms of this Agreement, the Company may in its absolute discretion for all or part of the notice period:-</w:t>
      </w:r>
    </w:p>
    <w:p>
      <w:pPr>
        <w:spacing w:after="0" w:line="18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580" w:top="1408" w:right="299" w:bottom="1440" w:gutter="0" w:footer="0" w:header="0"/>
        </w:sectPr>
      </w:pPr>
    </w:p>
    <w:bookmarkStart w:id="89" w:name="page90"/>
    <w:bookmarkEnd w:id="89"/>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14.3.1 exclude the Executive from the premises of the Company and/or any Group company;</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14.3.2 require him to carry out specified duties other than those referred to in clause 3 or carry out no duties;</w:t>
      </w:r>
    </w:p>
    <w:p>
      <w:pPr>
        <w:spacing w:after="0" w:line="225" w:lineRule="exact"/>
        <w:rPr>
          <w:sz w:val="20"/>
          <w:szCs w:val="20"/>
          <w:color w:val="auto"/>
        </w:rPr>
      </w:pPr>
    </w:p>
    <w:p>
      <w:pPr>
        <w:ind w:left="1920" w:right="300" w:hanging="539"/>
        <w:spacing w:after="0" w:line="277" w:lineRule="auto"/>
        <w:rPr>
          <w:sz w:val="20"/>
          <w:szCs w:val="20"/>
          <w:color w:val="auto"/>
        </w:rPr>
      </w:pPr>
      <w:r>
        <w:rPr>
          <w:rFonts w:ascii="Arial" w:cs="Arial" w:eastAsia="Arial" w:hAnsi="Arial"/>
          <w:sz w:val="18"/>
          <w:szCs w:val="18"/>
          <w:color w:val="auto"/>
        </w:rPr>
        <w:t>14.3.3 announce to employees, suppliers and customers that he has been given notice of termination or has resigned, by mutual written consent;</w:t>
      </w:r>
    </w:p>
    <w:p>
      <w:pPr>
        <w:spacing w:after="0" w:line="170" w:lineRule="exact"/>
        <w:rPr>
          <w:sz w:val="20"/>
          <w:szCs w:val="20"/>
          <w:color w:val="auto"/>
        </w:rPr>
      </w:pPr>
    </w:p>
    <w:p>
      <w:pPr>
        <w:ind w:left="1920" w:right="60" w:hanging="539"/>
        <w:spacing w:after="0" w:line="264" w:lineRule="auto"/>
        <w:rPr>
          <w:sz w:val="20"/>
          <w:szCs w:val="20"/>
          <w:color w:val="auto"/>
        </w:rPr>
      </w:pPr>
      <w:r>
        <w:rPr>
          <w:rFonts w:ascii="Arial" w:cs="Arial" w:eastAsia="Arial" w:hAnsi="Arial"/>
          <w:sz w:val="18"/>
          <w:szCs w:val="18"/>
          <w:color w:val="auto"/>
        </w:rPr>
        <w:t>14.3.4 instruct the Executive not to communicate orally or in writing with suppliers, customers, employees, agents or representatives of the Company or Group Company until his employment has terminated and thereafter to act in accordance with his post termination obligations.</w:t>
      </w:r>
    </w:p>
    <w:p>
      <w:pPr>
        <w:spacing w:after="0" w:line="177" w:lineRule="exact"/>
        <w:rPr>
          <w:sz w:val="20"/>
          <w:szCs w:val="20"/>
          <w:color w:val="auto"/>
        </w:rPr>
      </w:pPr>
    </w:p>
    <w:p>
      <w:pPr>
        <w:ind w:left="800" w:hanging="454"/>
        <w:spacing w:after="0"/>
        <w:tabs>
          <w:tab w:leader="none" w:pos="8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Sickness</w:t>
      </w:r>
    </w:p>
    <w:p>
      <w:pPr>
        <w:spacing w:after="0" w:line="229" w:lineRule="exact"/>
        <w:rPr>
          <w:rFonts w:ascii="Arial" w:cs="Arial" w:eastAsia="Arial" w:hAnsi="Arial"/>
          <w:sz w:val="18"/>
          <w:szCs w:val="18"/>
          <w:b w:val="1"/>
          <w:bCs w:val="1"/>
          <w:color w:val="auto"/>
        </w:rPr>
      </w:pPr>
    </w:p>
    <w:p>
      <w:pPr>
        <w:ind w:left="1260" w:right="180" w:hanging="44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15.1 If the Executive is at any time prevented by ill health from performing his duties under this Agreement he shall, if required, furnish the Board with evidence satisfactory to them of his incapacity. Payment during any period of absence will be in accordance with the Company and Statutory Sick Pay Policy.</w:t>
      </w:r>
    </w:p>
    <w:p>
      <w:pPr>
        <w:spacing w:after="0" w:line="181" w:lineRule="exact"/>
        <w:rPr>
          <w:rFonts w:ascii="Arial" w:cs="Arial" w:eastAsia="Arial" w:hAnsi="Arial"/>
          <w:sz w:val="18"/>
          <w:szCs w:val="18"/>
          <w:b w:val="1"/>
          <w:bCs w:val="1"/>
          <w:color w:val="auto"/>
        </w:rPr>
      </w:pPr>
    </w:p>
    <w:p>
      <w:pPr>
        <w:ind w:left="1260" w:right="200" w:hanging="446"/>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15.2 In the event that the Board reasonably considers that, by reason of physical or mental ill health, the Executive is unfit properly to carry out his duties under this Agreement the Executive may be suspended from carrying out those duties for so long as such ill health continues.</w:t>
      </w:r>
    </w:p>
    <w:p>
      <w:pPr>
        <w:spacing w:after="0" w:line="123" w:lineRule="exact"/>
        <w:rPr>
          <w:rFonts w:ascii="Arial" w:cs="Arial" w:eastAsia="Arial" w:hAnsi="Arial"/>
          <w:sz w:val="18"/>
          <w:szCs w:val="18"/>
          <w:b w:val="1"/>
          <w:bCs w:val="1"/>
          <w:color w:val="auto"/>
        </w:rPr>
      </w:pPr>
    </w:p>
    <w:p>
      <w:pPr>
        <w:ind w:left="1260" w:right="140" w:hanging="446"/>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15.3 In the event of ill health the Executive may be requested to provide such evidence of ill health as the Company may require. Should this request be made, the Executive shall not receive any part of his remuneration attributable to statutory sick pay unless he complies with the requirements for certification and the Company shall deduct from remuneration due to him any sums in respect of statutory sick pay which are paid to the Executive, or would have been so payable had he complied with the provisions of this Clause 15.3. In the case of prolonged or frequent absences the Company may request the Executive to co-operate in providing medical evidence or undergoing a medical examination arranged by the Company with a view to establishing his likely future fitness for work and if such evidence is not forthcoming or evidences the fact that the Executive will be unable to carry out in all material respects his duties as set out in the Agreement the Company may terminate this Agreement upon six months notice whether or not any of the periods mentioned in Clause 15.1 has been exceeded. The Executive will also undergo from time to time periodical medical examinations in accordance with Company policy. The provisions of this clause in no way effect the Executive’s rights under the permanent health assurance scheme.</w:t>
      </w:r>
    </w:p>
    <w:p>
      <w:pPr>
        <w:spacing w:after="0" w:line="165" w:lineRule="exact"/>
        <w:rPr>
          <w:rFonts w:ascii="Arial" w:cs="Arial" w:eastAsia="Arial" w:hAnsi="Arial"/>
          <w:sz w:val="18"/>
          <w:szCs w:val="18"/>
          <w:b w:val="1"/>
          <w:bCs w:val="1"/>
          <w:color w:val="auto"/>
        </w:rPr>
      </w:pPr>
    </w:p>
    <w:p>
      <w:pPr>
        <w:ind w:left="800" w:hanging="454"/>
        <w:spacing w:after="0"/>
        <w:tabs>
          <w:tab w:leader="none" w:pos="8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after Termination</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16.1  For the purpose of this Clause:-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jc w:val="right"/>
              <w:ind w:right="330"/>
              <w:spacing w:after="0"/>
              <w:rPr>
                <w:sz w:val="20"/>
                <w:szCs w:val="20"/>
                <w:color w:val="auto"/>
              </w:rPr>
            </w:pPr>
            <w:r>
              <w:rPr>
                <w:rFonts w:ascii="Arial" w:cs="Arial" w:eastAsia="Arial" w:hAnsi="Arial"/>
                <w:sz w:val="18"/>
                <w:szCs w:val="18"/>
                <w:color w:val="auto"/>
              </w:rPr>
              <w:t>16.1.1</w:t>
            </w:r>
          </w:p>
        </w:tc>
        <w:tc>
          <w:tcPr>
            <w:tcW w:w="2720" w:type="dxa"/>
            <w:vAlign w:val="bottom"/>
          </w:tcPr>
          <w:p>
            <w:pPr>
              <w:ind w:left="420"/>
              <w:spacing w:after="0"/>
              <w:rPr>
                <w:sz w:val="20"/>
                <w:szCs w:val="20"/>
                <w:color w:val="auto"/>
              </w:rPr>
            </w:pPr>
            <w:r>
              <w:rPr>
                <w:rFonts w:ascii="Arial" w:cs="Arial" w:eastAsia="Arial" w:hAnsi="Arial"/>
                <w:sz w:val="18"/>
                <w:szCs w:val="18"/>
                <w:color w:val="auto"/>
              </w:rPr>
              <w:t>“Restricted Company”</w:t>
            </w:r>
          </w:p>
        </w:tc>
        <w:tc>
          <w:tcPr>
            <w:tcW w:w="6400" w:type="dxa"/>
            <w:vAlign w:val="bottom"/>
          </w:tcPr>
          <w:p>
            <w:pPr>
              <w:ind w:left="680"/>
              <w:spacing w:after="0"/>
              <w:rPr>
                <w:sz w:val="20"/>
                <w:szCs w:val="20"/>
                <w:color w:val="auto"/>
              </w:rPr>
            </w:pPr>
            <w:r>
              <w:rPr>
                <w:rFonts w:ascii="Arial" w:cs="Arial" w:eastAsia="Arial" w:hAnsi="Arial"/>
                <w:sz w:val="18"/>
                <w:szCs w:val="18"/>
                <w:color w:val="auto"/>
                <w:w w:val="91"/>
              </w:rPr>
              <w:t>shall mean any company within the Group in which the Executive was actively</w:t>
            </w:r>
          </w:p>
        </w:tc>
      </w:tr>
      <w:tr>
        <w:trPr>
          <w:trHeight w:val="230"/>
        </w:trPr>
        <w:tc>
          <w:tcPr>
            <w:tcW w:w="2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400" w:type="dxa"/>
            <w:vAlign w:val="bottom"/>
          </w:tcPr>
          <w:p>
            <w:pPr>
              <w:ind w:left="680"/>
              <w:spacing w:after="0"/>
              <w:rPr>
                <w:sz w:val="20"/>
                <w:szCs w:val="20"/>
                <w:color w:val="auto"/>
              </w:rPr>
            </w:pPr>
            <w:r>
              <w:rPr>
                <w:rFonts w:ascii="Arial" w:cs="Arial" w:eastAsia="Arial" w:hAnsi="Arial"/>
                <w:sz w:val="18"/>
                <w:szCs w:val="18"/>
                <w:color w:val="auto"/>
              </w:rPr>
              <w:t>involved;</w:t>
            </w:r>
          </w:p>
        </w:tc>
      </w:tr>
      <w:tr>
        <w:trPr>
          <w:trHeight w:val="418"/>
        </w:trPr>
        <w:tc>
          <w:tcPr>
            <w:tcW w:w="2300" w:type="dxa"/>
            <w:vAlign w:val="bottom"/>
          </w:tcPr>
          <w:p>
            <w:pPr>
              <w:jc w:val="right"/>
              <w:ind w:right="330"/>
              <w:spacing w:after="0"/>
              <w:rPr>
                <w:sz w:val="20"/>
                <w:szCs w:val="20"/>
                <w:color w:val="auto"/>
              </w:rPr>
            </w:pPr>
            <w:r>
              <w:rPr>
                <w:rFonts w:ascii="Arial" w:cs="Arial" w:eastAsia="Arial" w:hAnsi="Arial"/>
                <w:sz w:val="18"/>
                <w:szCs w:val="18"/>
                <w:color w:val="auto"/>
              </w:rPr>
              <w:t>16.1.2</w:t>
            </w:r>
          </w:p>
        </w:tc>
        <w:tc>
          <w:tcPr>
            <w:tcW w:w="2720" w:type="dxa"/>
            <w:vAlign w:val="bottom"/>
          </w:tcPr>
          <w:p>
            <w:pPr>
              <w:ind w:left="420"/>
              <w:spacing w:after="0"/>
              <w:rPr>
                <w:sz w:val="20"/>
                <w:szCs w:val="20"/>
                <w:color w:val="auto"/>
              </w:rPr>
            </w:pPr>
            <w:r>
              <w:rPr>
                <w:rFonts w:ascii="Arial" w:cs="Arial" w:eastAsia="Arial" w:hAnsi="Arial"/>
                <w:sz w:val="18"/>
                <w:szCs w:val="18"/>
                <w:color w:val="auto"/>
              </w:rPr>
              <w:t>“Restricted Person”</w:t>
            </w:r>
          </w:p>
        </w:tc>
        <w:tc>
          <w:tcPr>
            <w:tcW w:w="6400" w:type="dxa"/>
            <w:vAlign w:val="bottom"/>
          </w:tcPr>
          <w:p>
            <w:pPr>
              <w:ind w:left="680"/>
              <w:spacing w:after="0"/>
              <w:rPr>
                <w:sz w:val="20"/>
                <w:szCs w:val="20"/>
                <w:color w:val="auto"/>
              </w:rPr>
            </w:pPr>
            <w:r>
              <w:rPr>
                <w:rFonts w:ascii="Arial" w:cs="Arial" w:eastAsia="Arial" w:hAnsi="Arial"/>
                <w:sz w:val="18"/>
                <w:szCs w:val="18"/>
                <w:color w:val="auto"/>
              </w:rPr>
              <w:t>shall mean any person who at the date of termination of the Executive’s</w:t>
            </w:r>
          </w:p>
        </w:tc>
      </w:tr>
      <w:tr>
        <w:trPr>
          <w:trHeight w:val="230"/>
        </w:trPr>
        <w:tc>
          <w:tcPr>
            <w:tcW w:w="2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400" w:type="dxa"/>
            <w:vAlign w:val="bottom"/>
          </w:tcPr>
          <w:p>
            <w:pPr>
              <w:ind w:left="680"/>
              <w:spacing w:after="0"/>
              <w:rPr>
                <w:sz w:val="20"/>
                <w:szCs w:val="20"/>
                <w:color w:val="auto"/>
              </w:rPr>
            </w:pPr>
            <w:r>
              <w:rPr>
                <w:rFonts w:ascii="Arial" w:cs="Arial" w:eastAsia="Arial" w:hAnsi="Arial"/>
                <w:sz w:val="18"/>
                <w:szCs w:val="18"/>
                <w:color w:val="auto"/>
              </w:rPr>
              <w:t>employment or at any time during the period of one year</w:t>
            </w:r>
          </w:p>
        </w:tc>
      </w:tr>
      <w:tr>
        <w:trPr>
          <w:trHeight w:val="405"/>
        </w:trPr>
        <w:tc>
          <w:tcPr>
            <w:tcW w:w="2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400" w:type="dxa"/>
            <w:vAlign w:val="bottom"/>
          </w:tcPr>
          <w:p>
            <w:pPr>
              <w:ind w:left="640"/>
              <w:spacing w:after="0"/>
              <w:rPr>
                <w:sz w:val="20"/>
                <w:szCs w:val="20"/>
                <w:color w:val="auto"/>
              </w:rPr>
            </w:pPr>
            <w:r>
              <w:rPr>
                <w:rFonts w:ascii="Arial" w:cs="Arial" w:eastAsia="Arial" w:hAnsi="Arial"/>
                <w:sz w:val="18"/>
                <w:szCs w:val="18"/>
                <w:color w:val="auto"/>
              </w:rPr>
              <w:t>7</w:t>
            </w:r>
          </w:p>
        </w:tc>
      </w:tr>
      <w:tr>
        <w:trPr>
          <w:trHeight w:val="226"/>
        </w:trPr>
        <w:tc>
          <w:tcPr>
            <w:tcW w:w="230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6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0" w:name="page91"/>
    <w:bookmarkEnd w:id="9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87"/>
              </w:rPr>
              <w:t>prior to such date is or, as the case may be, has been a customer of a Restricted</w:t>
            </w: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96"/>
              </w:rPr>
              <w:t>Company with whom the Executive has dealt with in respect of Restricted</w:t>
            </w:r>
          </w:p>
        </w:tc>
      </w:tr>
      <w:tr>
        <w:trPr>
          <w:trHeight w:val="230"/>
        </w:trPr>
        <w:tc>
          <w:tcPr>
            <w:tcW w:w="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Products and/or Restricted Services;</w:t>
            </w:r>
          </w:p>
        </w:tc>
      </w:tr>
      <w:tr>
        <w:trPr>
          <w:trHeight w:val="418"/>
        </w:trPr>
        <w:tc>
          <w:tcPr>
            <w:tcW w:w="860" w:type="dxa"/>
            <w:vAlign w:val="bottom"/>
          </w:tcPr>
          <w:p>
            <w:pPr>
              <w:jc w:val="right"/>
              <w:ind w:right="330"/>
              <w:spacing w:after="0"/>
              <w:rPr>
                <w:sz w:val="20"/>
                <w:szCs w:val="20"/>
                <w:color w:val="auto"/>
              </w:rPr>
            </w:pPr>
            <w:r>
              <w:rPr>
                <w:rFonts w:ascii="Arial" w:cs="Arial" w:eastAsia="Arial" w:hAnsi="Arial"/>
                <w:sz w:val="18"/>
                <w:szCs w:val="18"/>
                <w:color w:val="auto"/>
                <w:w w:val="83"/>
              </w:rPr>
              <w:t>16.1.3</w:t>
            </w:r>
          </w:p>
        </w:tc>
        <w:tc>
          <w:tcPr>
            <w:tcW w:w="2700" w:type="dxa"/>
            <w:vAlign w:val="bottom"/>
          </w:tcPr>
          <w:p>
            <w:pPr>
              <w:ind w:left="420"/>
              <w:spacing w:after="0"/>
              <w:rPr>
                <w:sz w:val="20"/>
                <w:szCs w:val="20"/>
                <w:color w:val="auto"/>
              </w:rPr>
            </w:pPr>
            <w:r>
              <w:rPr>
                <w:rFonts w:ascii="Arial" w:cs="Arial" w:eastAsia="Arial" w:hAnsi="Arial"/>
                <w:sz w:val="18"/>
                <w:szCs w:val="18"/>
                <w:color w:val="auto"/>
              </w:rPr>
              <w:t>“Restricted Products”</w:t>
            </w:r>
          </w:p>
        </w:tc>
        <w:tc>
          <w:tcPr>
            <w:tcW w:w="6380" w:type="dxa"/>
            <w:vAlign w:val="bottom"/>
          </w:tcPr>
          <w:p>
            <w:pPr>
              <w:ind w:left="700"/>
              <w:spacing w:after="0"/>
              <w:rPr>
                <w:sz w:val="20"/>
                <w:szCs w:val="20"/>
                <w:color w:val="auto"/>
              </w:rPr>
            </w:pPr>
            <w:r>
              <w:rPr>
                <w:rFonts w:ascii="Arial" w:cs="Arial" w:eastAsia="Arial" w:hAnsi="Arial"/>
                <w:sz w:val="18"/>
                <w:szCs w:val="18"/>
                <w:color w:val="auto"/>
                <w:w w:val="94"/>
              </w:rPr>
              <w:t>means all products with which the Executive was concerned in the ordinary</w:t>
            </w: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92"/>
              </w:rPr>
              <w:t>course of his duties as an employee in any Restricted Company or in relation</w:t>
            </w: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97"/>
              </w:rPr>
              <w:t>to which he possessed any confidential information and which have been</w:t>
            </w: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92"/>
              </w:rPr>
              <w:t>produced, marketed, sold or otherwise dealt in by the Restricted Company in</w:t>
            </w: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97"/>
              </w:rPr>
              <w:t>the ordinary course of its business and in respect of which the Restricted</w:t>
            </w: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91"/>
              </w:rPr>
              <w:t>Company has not discontinued such production marketing sale or dealings for</w:t>
            </w:r>
          </w:p>
        </w:tc>
      </w:tr>
      <w:tr>
        <w:trPr>
          <w:trHeight w:val="230"/>
        </w:trPr>
        <w:tc>
          <w:tcPr>
            <w:tcW w:w="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a period of 6 months prior to the date of termination of this Agreement;</w:t>
            </w:r>
          </w:p>
        </w:tc>
      </w:tr>
      <w:tr>
        <w:trPr>
          <w:trHeight w:val="418"/>
        </w:trPr>
        <w:tc>
          <w:tcPr>
            <w:tcW w:w="860" w:type="dxa"/>
            <w:vAlign w:val="bottom"/>
          </w:tcPr>
          <w:p>
            <w:pPr>
              <w:jc w:val="right"/>
              <w:ind w:right="330"/>
              <w:spacing w:after="0"/>
              <w:rPr>
                <w:sz w:val="20"/>
                <w:szCs w:val="20"/>
                <w:color w:val="auto"/>
              </w:rPr>
            </w:pPr>
            <w:r>
              <w:rPr>
                <w:rFonts w:ascii="Arial" w:cs="Arial" w:eastAsia="Arial" w:hAnsi="Arial"/>
                <w:sz w:val="18"/>
                <w:szCs w:val="18"/>
                <w:color w:val="auto"/>
                <w:w w:val="83"/>
              </w:rPr>
              <w:t>16.1.4</w:t>
            </w:r>
          </w:p>
        </w:tc>
        <w:tc>
          <w:tcPr>
            <w:tcW w:w="2700" w:type="dxa"/>
            <w:vAlign w:val="bottom"/>
          </w:tcPr>
          <w:p>
            <w:pPr>
              <w:ind w:left="420"/>
              <w:spacing w:after="0"/>
              <w:rPr>
                <w:sz w:val="20"/>
                <w:szCs w:val="20"/>
                <w:color w:val="auto"/>
              </w:rPr>
            </w:pPr>
            <w:r>
              <w:rPr>
                <w:rFonts w:ascii="Arial" w:cs="Arial" w:eastAsia="Arial" w:hAnsi="Arial"/>
                <w:sz w:val="18"/>
                <w:szCs w:val="18"/>
                <w:color w:val="auto"/>
              </w:rPr>
              <w:t>“Restricted Services”</w:t>
            </w:r>
          </w:p>
        </w:tc>
        <w:tc>
          <w:tcPr>
            <w:tcW w:w="6380" w:type="dxa"/>
            <w:vAlign w:val="bottom"/>
          </w:tcPr>
          <w:p>
            <w:pPr>
              <w:ind w:left="700"/>
              <w:spacing w:after="0"/>
              <w:rPr>
                <w:sz w:val="20"/>
                <w:szCs w:val="20"/>
                <w:color w:val="auto"/>
              </w:rPr>
            </w:pPr>
            <w:r>
              <w:rPr>
                <w:rFonts w:ascii="Arial" w:cs="Arial" w:eastAsia="Arial" w:hAnsi="Arial"/>
                <w:sz w:val="18"/>
                <w:szCs w:val="18"/>
                <w:color w:val="auto"/>
                <w:w w:val="91"/>
              </w:rPr>
              <w:t>means those services with which the Executive was concerned in the ordinary</w:t>
            </w: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96"/>
              </w:rPr>
              <w:t>course of his duties as employee or in relation to which he possessed any</w:t>
            </w:r>
          </w:p>
        </w:tc>
      </w:tr>
      <w:tr>
        <w:trPr>
          <w:trHeight w:val="216"/>
        </w:trPr>
        <w:tc>
          <w:tcPr>
            <w:tcW w:w="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98"/>
              </w:rPr>
              <w:t>confidential information and which have been provided by the Restricted</w:t>
            </w:r>
          </w:p>
        </w:tc>
      </w:tr>
      <w:tr>
        <w:trPr>
          <w:trHeight w:val="230"/>
        </w:trPr>
        <w:tc>
          <w:tcPr>
            <w:tcW w:w="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w w:val="95"/>
              </w:rPr>
              <w:t>Company in the ordinary course of its business and in respect of which the</w:t>
            </w:r>
          </w:p>
        </w:tc>
      </w:tr>
    </w:tbl>
    <w:p>
      <w:pPr>
        <w:ind w:left="4900" w:right="240"/>
        <w:spacing w:after="0" w:line="290" w:lineRule="auto"/>
        <w:rPr>
          <w:sz w:val="20"/>
          <w:szCs w:val="20"/>
          <w:color w:val="auto"/>
        </w:rPr>
      </w:pPr>
      <w:r>
        <w:rPr>
          <w:rFonts w:ascii="Arial" w:cs="Arial" w:eastAsia="Arial" w:hAnsi="Arial"/>
          <w:sz w:val="17"/>
          <w:szCs w:val="17"/>
          <w:color w:val="auto"/>
        </w:rPr>
        <w:t>Restricted Company has not discontinued such provision for a period of six months prior to the date of termination of his Agreement.</w:t>
      </w:r>
    </w:p>
    <w:p>
      <w:pPr>
        <w:spacing w:after="0" w:line="162" w:lineRule="exact"/>
        <w:rPr>
          <w:sz w:val="20"/>
          <w:szCs w:val="20"/>
          <w:color w:val="auto"/>
        </w:rPr>
      </w:pPr>
    </w:p>
    <w:p>
      <w:pPr>
        <w:ind w:left="460" w:hanging="445"/>
        <w:spacing w:after="0" w:line="273" w:lineRule="auto"/>
        <w:rPr>
          <w:sz w:val="20"/>
          <w:szCs w:val="20"/>
          <w:color w:val="auto"/>
        </w:rPr>
      </w:pPr>
      <w:r>
        <w:rPr>
          <w:rFonts w:ascii="Arial" w:cs="Arial" w:eastAsia="Arial" w:hAnsi="Arial"/>
          <w:sz w:val="17"/>
          <w:szCs w:val="17"/>
          <w:color w:val="auto"/>
        </w:rPr>
        <w:t>16.2 The Executive in the course of his employment and directorship is likely to obtain knowledge of trade secrets and other confidential information of the Restricted Companies from time to time and will have dealings with the customers and suppliers of Restricted Companies and in order to protect such trade secrets and other confidential information and the goodwill of Restricted Companies the Executive hereby covenants that he will not during the period of his employment with a Restricted Company and for a period of 12 months from the date of termination of the Executive’s employment (the “Termination Date”)(other than in the case of Clause 16.2.8 and 16.2.9 below which shall apply indefinitely) and within the United Kingdom either directly or indirectly:-</w:t>
      </w:r>
    </w:p>
    <w:p>
      <w:pPr>
        <w:spacing w:after="0" w:line="178" w:lineRule="exact"/>
        <w:rPr>
          <w:sz w:val="20"/>
          <w:szCs w:val="20"/>
          <w:color w:val="auto"/>
        </w:rPr>
      </w:pPr>
    </w:p>
    <w:p>
      <w:pPr>
        <w:ind w:left="1120" w:right="480" w:hanging="539"/>
        <w:spacing w:after="0" w:line="277" w:lineRule="auto"/>
        <w:rPr>
          <w:sz w:val="20"/>
          <w:szCs w:val="20"/>
          <w:color w:val="auto"/>
        </w:rPr>
      </w:pPr>
      <w:r>
        <w:rPr>
          <w:rFonts w:ascii="Arial" w:cs="Arial" w:eastAsia="Arial" w:hAnsi="Arial"/>
          <w:sz w:val="18"/>
          <w:szCs w:val="18"/>
          <w:color w:val="auto"/>
        </w:rPr>
        <w:t>16.2.1 be engaged, interested or concerned (whether as a shareholder, director, partner, consultant, proprietor, agent or otherwise) in carrying on any business competitive with the Restrictive Products or Restrictive Services;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16.2.2 canvass or solicit business, orders or custom for Restrictive Products or Restrictive Services from any Restricted Person;</w:t>
      </w:r>
    </w:p>
    <w:p>
      <w:pPr>
        <w:spacing w:after="0" w:line="23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16.2.3 have any commercial dealings in respect of any Restricted Products or Restricted Services with any Restricted Person;</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1040" w:top="1440" w:right="279" w:bottom="1440" w:gutter="0" w:footer="0" w:header="0"/>
        </w:sectPr>
      </w:pPr>
    </w:p>
    <w:bookmarkStart w:id="91" w:name="page92"/>
    <w:bookmarkEnd w:id="91"/>
    <w:p>
      <w:pPr>
        <w:ind w:left="1580" w:right="360" w:hanging="539"/>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t>16.2.4 solicit or entice away or endeavour to entice away from a Restricted Company any person who had been at any time within the period of one year immediately preceding the termination of the Executive’s employment a director or senior employee of a Restricted Company with whom the Executive had dealt with;</w:t>
      </w:r>
    </w:p>
    <w:p>
      <w:pPr>
        <w:spacing w:after="0" w:line="181" w:lineRule="exact"/>
        <w:rPr>
          <w:sz w:val="20"/>
          <w:szCs w:val="20"/>
          <w:color w:val="auto"/>
        </w:rPr>
      </w:pPr>
    </w:p>
    <w:p>
      <w:pPr>
        <w:ind w:left="1580" w:right="40" w:hanging="539"/>
        <w:spacing w:after="0" w:line="277" w:lineRule="auto"/>
        <w:rPr>
          <w:sz w:val="20"/>
          <w:szCs w:val="20"/>
          <w:color w:val="auto"/>
        </w:rPr>
      </w:pPr>
      <w:r>
        <w:rPr>
          <w:rFonts w:ascii="Arial" w:cs="Arial" w:eastAsia="Arial" w:hAnsi="Arial"/>
          <w:sz w:val="18"/>
          <w:szCs w:val="18"/>
          <w:color w:val="auto"/>
        </w:rPr>
        <w:t>16.2.5 encourage or induce any person who is contracted to provide services to a Restricted Company to cease so to provide such services in breach of any contract he may have with a Restricted Company;</w:t>
      </w:r>
    </w:p>
    <w:p>
      <w:pPr>
        <w:spacing w:after="0" w:line="170" w:lineRule="exact"/>
        <w:rPr>
          <w:sz w:val="20"/>
          <w:szCs w:val="20"/>
          <w:color w:val="auto"/>
        </w:rPr>
      </w:pPr>
    </w:p>
    <w:p>
      <w:pPr>
        <w:ind w:left="1580" w:right="300" w:hanging="539"/>
        <w:spacing w:after="0" w:line="277" w:lineRule="auto"/>
        <w:rPr>
          <w:sz w:val="20"/>
          <w:szCs w:val="20"/>
          <w:color w:val="auto"/>
        </w:rPr>
      </w:pPr>
      <w:r>
        <w:rPr>
          <w:rFonts w:ascii="Arial" w:cs="Arial" w:eastAsia="Arial" w:hAnsi="Arial"/>
          <w:sz w:val="18"/>
          <w:szCs w:val="18"/>
          <w:color w:val="auto"/>
        </w:rPr>
        <w:t>16.2.6 employ in any capacity or offer employment in any capacity to or enter into or offer to enter into partnership with any person in relation to whom Clause 16.2.4 is applicable;</w:t>
      </w:r>
    </w:p>
    <w:p>
      <w:pPr>
        <w:spacing w:after="0" w:line="170" w:lineRule="exact"/>
        <w:rPr>
          <w:sz w:val="20"/>
          <w:szCs w:val="20"/>
          <w:color w:val="auto"/>
        </w:rPr>
      </w:pPr>
    </w:p>
    <w:p>
      <w:pPr>
        <w:ind w:left="1580" w:hanging="539"/>
        <w:spacing w:after="0" w:line="308" w:lineRule="auto"/>
        <w:rPr>
          <w:sz w:val="20"/>
          <w:szCs w:val="20"/>
          <w:color w:val="auto"/>
        </w:rPr>
      </w:pPr>
      <w:r>
        <w:rPr>
          <w:rFonts w:ascii="Arial" w:cs="Arial" w:eastAsia="Arial" w:hAnsi="Arial"/>
          <w:sz w:val="17"/>
          <w:szCs w:val="17"/>
          <w:color w:val="auto"/>
        </w:rPr>
        <w:t>16.2.7 entice or endeavour to entice away from a Restricted Company any Restricted Person or induce or attempt to induce any supplier of a Restricted Company to cease to supply, or to restrict or vary the terms of supply, to a Restricted Company;</w:t>
      </w:r>
    </w:p>
    <w:p>
      <w:pPr>
        <w:spacing w:after="0" w:line="147" w:lineRule="exact"/>
        <w:rPr>
          <w:sz w:val="20"/>
          <w:szCs w:val="20"/>
          <w:color w:val="auto"/>
        </w:rPr>
      </w:pPr>
    </w:p>
    <w:p>
      <w:pPr>
        <w:ind w:left="1580" w:right="20" w:hanging="539"/>
        <w:spacing w:after="0" w:line="264" w:lineRule="auto"/>
        <w:rPr>
          <w:sz w:val="20"/>
          <w:szCs w:val="20"/>
          <w:color w:val="auto"/>
        </w:rPr>
      </w:pPr>
      <w:r>
        <w:rPr>
          <w:rFonts w:ascii="Arial" w:cs="Arial" w:eastAsia="Arial" w:hAnsi="Arial"/>
          <w:sz w:val="18"/>
          <w:szCs w:val="18"/>
          <w:color w:val="auto"/>
        </w:rPr>
        <w:t>16.2.8 at any time following the cessation of his employment with a Restricted Company represent himself or permit himself to be held out as being in any way as continuing to be connected with or interested (except as shareholder if that is the case) in the business of such company;</w:t>
      </w:r>
    </w:p>
    <w:p>
      <w:pPr>
        <w:spacing w:after="0" w:line="181" w:lineRule="exact"/>
        <w:rPr>
          <w:sz w:val="20"/>
          <w:szCs w:val="20"/>
          <w:color w:val="auto"/>
        </w:rPr>
      </w:pPr>
    </w:p>
    <w:p>
      <w:pPr>
        <w:ind w:left="1580" w:right="160" w:hanging="539"/>
        <w:spacing w:after="0" w:line="264" w:lineRule="auto"/>
        <w:rPr>
          <w:sz w:val="20"/>
          <w:szCs w:val="20"/>
          <w:color w:val="auto"/>
        </w:rPr>
      </w:pPr>
      <w:r>
        <w:rPr>
          <w:rFonts w:ascii="Arial" w:cs="Arial" w:eastAsia="Arial" w:hAnsi="Arial"/>
          <w:sz w:val="18"/>
          <w:szCs w:val="18"/>
          <w:color w:val="auto"/>
        </w:rPr>
        <w:t>16.2.9 except so far as may be required by law, at any time use or disclose to any person any private affairs, secrets or confidential information which he has acquired in the course of or as a result of his employment by a Restricted Company or his ownership of shares in the capital of a Restricted Company.</w:t>
      </w:r>
    </w:p>
    <w:p>
      <w:pPr>
        <w:spacing w:after="0" w:line="181" w:lineRule="exact"/>
        <w:rPr>
          <w:sz w:val="20"/>
          <w:szCs w:val="20"/>
          <w:color w:val="auto"/>
        </w:rPr>
      </w:pPr>
    </w:p>
    <w:p>
      <w:pPr>
        <w:ind w:left="920" w:right="120" w:hanging="445"/>
        <w:spacing w:after="0" w:line="277" w:lineRule="auto"/>
        <w:rPr>
          <w:sz w:val="20"/>
          <w:szCs w:val="20"/>
          <w:color w:val="auto"/>
        </w:rPr>
      </w:pPr>
      <w:r>
        <w:rPr>
          <w:rFonts w:ascii="Arial" w:cs="Arial" w:eastAsia="Arial" w:hAnsi="Arial"/>
          <w:sz w:val="18"/>
          <w:szCs w:val="18"/>
          <w:color w:val="auto"/>
        </w:rPr>
        <w:t>16.3 The Executive shall not induce, procure or authorise any other person firm corporation or organisation to do or procure to be done anything which if done by the Executive would be a breach of any of the provisions of Clause 16.2</w:t>
      </w:r>
    </w:p>
    <w:p>
      <w:pPr>
        <w:spacing w:after="0" w:line="170" w:lineRule="exact"/>
        <w:rPr>
          <w:sz w:val="20"/>
          <w:szCs w:val="20"/>
          <w:color w:val="auto"/>
        </w:rPr>
      </w:pPr>
    </w:p>
    <w:p>
      <w:pPr>
        <w:ind w:left="920" w:hanging="445"/>
        <w:spacing w:after="0" w:line="286" w:lineRule="auto"/>
        <w:rPr>
          <w:sz w:val="20"/>
          <w:szCs w:val="20"/>
          <w:color w:val="auto"/>
        </w:rPr>
      </w:pPr>
      <w:r>
        <w:rPr>
          <w:rFonts w:ascii="Arial" w:cs="Arial" w:eastAsia="Arial" w:hAnsi="Arial"/>
          <w:sz w:val="17"/>
          <w:szCs w:val="17"/>
          <w:color w:val="auto"/>
        </w:rPr>
        <w:t>16.4 If the Company exercises it right to suspend the Executives duties and powers under Clause 14.3 during any period after notice of termination of employment has been given by the Company or the Executive, the period after the Termination Date for which the restrictions in Clause 16.2 apply shall be reduced accordingly by the period of time that the Executive spends on garden leave.</w:t>
      </w:r>
    </w:p>
    <w:p>
      <w:pPr>
        <w:spacing w:after="0" w:line="166" w:lineRule="exact"/>
        <w:rPr>
          <w:sz w:val="20"/>
          <w:szCs w:val="20"/>
          <w:color w:val="auto"/>
        </w:rPr>
      </w:pPr>
    </w:p>
    <w:p>
      <w:pPr>
        <w:ind w:left="920" w:right="140" w:hanging="445"/>
        <w:spacing w:after="0" w:line="259" w:lineRule="auto"/>
        <w:rPr>
          <w:sz w:val="20"/>
          <w:szCs w:val="20"/>
          <w:color w:val="auto"/>
        </w:rPr>
      </w:pPr>
      <w:r>
        <w:rPr>
          <w:rFonts w:ascii="Arial" w:cs="Arial" w:eastAsia="Arial" w:hAnsi="Arial"/>
          <w:sz w:val="18"/>
          <w:szCs w:val="18"/>
          <w:color w:val="auto"/>
        </w:rPr>
        <w:t>16.4 Each of the restrictions contained in Clauses 16.2.1, 16.2.2, 16.2.3, 16.2.4, 16.2.5, 16.2.6, 16.2.7, 16.2.8 and Clause 16.3 shall be construed as a separate restriction and is considered reasonable by the parties but in the event that any such restriction shall be found to be void but would be valid if some part thereof were deleted such restriction shall apply with such deletion as may be necessary to make it valid and effective.</w:t>
      </w:r>
    </w:p>
    <w:p>
      <w:pPr>
        <w:spacing w:after="0" w:line="183" w:lineRule="exact"/>
        <w:rPr>
          <w:sz w:val="20"/>
          <w:szCs w:val="20"/>
          <w:color w:val="auto"/>
        </w:rPr>
      </w:pPr>
    </w:p>
    <w:p>
      <w:pPr>
        <w:ind w:left="460" w:hanging="454"/>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Directorship</w:t>
      </w:r>
    </w:p>
    <w:p>
      <w:pPr>
        <w:spacing w:after="0" w:line="229" w:lineRule="exact"/>
        <w:rPr>
          <w:rFonts w:ascii="Arial" w:cs="Arial" w:eastAsia="Arial" w:hAnsi="Arial"/>
          <w:sz w:val="18"/>
          <w:szCs w:val="18"/>
          <w:b w:val="1"/>
          <w:bCs w:val="1"/>
          <w:color w:val="auto"/>
        </w:rPr>
      </w:pPr>
    </w:p>
    <w:p>
      <w:pPr>
        <w:ind w:left="920" w:right="60" w:hanging="446"/>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17.1 In the event of the Executive holding office as a Director of the Company or any Group Company at the date of his giving or being given notice terminating his employment within the Group (for any reason whatsoever) he shall forthwith, if so required by the Board, resign such Directorship without any compensation whatever, (without prejudice to any right of compensation under this Agreement) but, subject to</w:t>
      </w:r>
    </w:p>
    <w:p>
      <w:pPr>
        <w:spacing w:after="0" w:line="14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1408" w:right="259" w:bottom="1440" w:gutter="0" w:footer="0" w:header="0"/>
        </w:sectPr>
      </w:pPr>
    </w:p>
    <w:bookmarkStart w:id="92" w:name="page93"/>
    <w:bookmarkEnd w:id="9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t>Clause 2, shall remain an employee of the Company until the expiry of the period of notice.</w:t>
      </w:r>
    </w:p>
    <w:p>
      <w:pPr>
        <w:spacing w:after="0" w:line="221" w:lineRule="exact"/>
        <w:rPr>
          <w:sz w:val="20"/>
          <w:szCs w:val="20"/>
          <w:color w:val="auto"/>
        </w:rPr>
      </w:pPr>
    </w:p>
    <w:p>
      <w:pPr>
        <w:ind w:left="460" w:hanging="454"/>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Sale of Undertaking or Reconstruction</w:t>
      </w:r>
    </w:p>
    <w:p>
      <w:pPr>
        <w:spacing w:after="0" w:line="229" w:lineRule="exact"/>
        <w:rPr>
          <w:rFonts w:ascii="Arial" w:cs="Arial" w:eastAsia="Arial" w:hAnsi="Arial"/>
          <w:sz w:val="18"/>
          <w:szCs w:val="18"/>
          <w:b w:val="1"/>
          <w:bCs w:val="1"/>
          <w:color w:val="auto"/>
        </w:rPr>
      </w:pPr>
    </w:p>
    <w:p>
      <w:pPr>
        <w:ind w:left="920" w:hanging="44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18.1 If at any time during the continuance of this Agreement the Company sells all, or a substantial part of, its undertaking and assets to any person, firm or company and the Company is able to procure the employment of the Executive by such other person, firm or company on terms not less favourable than the terms of this Agreement remaining unexpired at the date of the Agreement for such sale then the Company shall be entitled (notwithstanding the provisions of clause 2 hereof) to determine this Agreement forthwith on giving notice in writing to the Executive.</w:t>
      </w:r>
    </w:p>
    <w:p>
      <w:pPr>
        <w:spacing w:after="0" w:line="188" w:lineRule="exact"/>
        <w:rPr>
          <w:rFonts w:ascii="Arial" w:cs="Arial" w:eastAsia="Arial" w:hAnsi="Arial"/>
          <w:sz w:val="18"/>
          <w:szCs w:val="18"/>
          <w:b w:val="1"/>
          <w:bCs w:val="1"/>
          <w:color w:val="auto"/>
        </w:rPr>
      </w:pPr>
    </w:p>
    <w:p>
      <w:pPr>
        <w:ind w:left="920" w:right="80" w:hanging="446"/>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18.2 In the event of this Agreement being terminated by reason of liquidation of the Company or the transfer of all or a substantial part of the Company’s business or assets for the purpose of amalgamation or reconstruction and the Executive being offered employment with such reconstructed or amalgamated company or group of companies on terms not less favourable than the terms of this Agreement, then (notwithstanding anything to the contrary contained in this Agreement) the Executive shall have no claim against the Company in respect of such determination of this Agreement, other than normal notice and redundancy compensation.</w:t>
      </w:r>
    </w:p>
    <w:p>
      <w:pPr>
        <w:spacing w:after="0" w:line="168" w:lineRule="exact"/>
        <w:rPr>
          <w:rFonts w:ascii="Arial" w:cs="Arial" w:eastAsia="Arial" w:hAnsi="Arial"/>
          <w:sz w:val="18"/>
          <w:szCs w:val="18"/>
          <w:b w:val="1"/>
          <w:bCs w:val="1"/>
          <w:color w:val="auto"/>
        </w:rPr>
      </w:pPr>
    </w:p>
    <w:p>
      <w:pPr>
        <w:ind w:left="460" w:hanging="454"/>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Any Notice under this Agreement shall be given in writing by either party to the other and may be delivered or sent by first-class recorded post addressed, in the case of the Company, to its registered office and in the case of the Executive, to his address last known to the Company. Any such notice shall, in the case of delivery, be deemed to have been served at the time of delivery.</w:t>
      </w:r>
    </w:p>
    <w:p>
      <w:pPr>
        <w:spacing w:after="0" w:line="177" w:lineRule="exact"/>
        <w:rPr>
          <w:rFonts w:ascii="Arial" w:cs="Arial" w:eastAsia="Arial" w:hAnsi="Arial"/>
          <w:sz w:val="18"/>
          <w:szCs w:val="18"/>
          <w:b w:val="1"/>
          <w:bCs w:val="1"/>
          <w:color w:val="auto"/>
        </w:rPr>
      </w:pPr>
    </w:p>
    <w:p>
      <w:pPr>
        <w:ind w:left="460" w:hanging="454"/>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Schedule 1</w:t>
      </w:r>
    </w:p>
    <w:p>
      <w:pPr>
        <w:spacing w:after="0" w:line="229" w:lineRule="exact"/>
        <w:rPr>
          <w:rFonts w:ascii="Arial" w:cs="Arial" w:eastAsia="Arial" w:hAnsi="Arial"/>
          <w:sz w:val="18"/>
          <w:szCs w:val="18"/>
          <w:b w:val="1"/>
          <w:bCs w:val="1"/>
          <w:color w:val="auto"/>
        </w:rPr>
      </w:pPr>
    </w:p>
    <w:p>
      <w:pPr>
        <w:ind w:left="46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provisions set out in Schedule 1 to this Agreement shall apply to this Agreement for the purposes of the Employment Rights Act 1996 but may from time to time be varied by mutual agreement or from time to time be replaced. Any such written amendments or replacements shall be evidenced by the initials of the Executive and a Director or other Officer duly authorised on behalf of the Company.</w:t>
      </w:r>
    </w:p>
    <w:p>
      <w:pPr>
        <w:spacing w:after="0" w:line="161" w:lineRule="exact"/>
        <w:rPr>
          <w:rFonts w:ascii="Arial" w:cs="Arial" w:eastAsia="Arial" w:hAnsi="Arial"/>
          <w:sz w:val="18"/>
          <w:szCs w:val="18"/>
          <w:b w:val="1"/>
          <w:bCs w:val="1"/>
          <w:color w:val="auto"/>
        </w:rPr>
      </w:pPr>
    </w:p>
    <w:p>
      <w:pPr>
        <w:ind w:left="460" w:hanging="454"/>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w:t>
      </w:r>
    </w:p>
    <w:p>
      <w:pPr>
        <w:spacing w:after="0" w:line="229"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Executive acknowledges and warrants that there are no agreements or arrangements whether written, oral or implied between the Company or any other Group Company, and the Executive relating to the employment of the Executive other than those expressly set out in this Agreement, which expressly supersede all previous arrangements between the Company or any other Group Company and the Executive as to the employment of the Executive and that he is not entering into this Agreement in reliance upon any representation not expressly set out in this Agreement.</w:t>
      </w:r>
    </w:p>
    <w:p>
      <w:pPr>
        <w:spacing w:after="0" w:line="150" w:lineRule="exact"/>
        <w:rPr>
          <w:rFonts w:ascii="Arial" w:cs="Arial" w:eastAsia="Arial" w:hAnsi="Arial"/>
          <w:sz w:val="18"/>
          <w:szCs w:val="18"/>
          <w:b w:val="1"/>
          <w:bCs w:val="1"/>
          <w:color w:val="auto"/>
        </w:rPr>
      </w:pPr>
    </w:p>
    <w:p>
      <w:pPr>
        <w:ind w:left="460" w:hanging="454"/>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w:t>
      </w:r>
    </w:p>
    <w:p>
      <w:pPr>
        <w:spacing w:after="0" w:line="229" w:lineRule="exact"/>
        <w:rPr>
          <w:rFonts w:ascii="Arial" w:cs="Arial" w:eastAsia="Arial" w:hAnsi="Arial"/>
          <w:sz w:val="18"/>
          <w:szCs w:val="18"/>
          <w:b w:val="1"/>
          <w:bCs w:val="1"/>
          <w:color w:val="auto"/>
        </w:rPr>
      </w:pPr>
    </w:p>
    <w:p>
      <w:pPr>
        <w:ind w:left="46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expiration or determination of this Agreement however it arises shall not operate to affect such of the provisions of this Agreement as are expressed to operate or have effect after its determination or expiration hereto and shall be without prejudice to any other accrued rights or remedies of the parties.</w:t>
      </w:r>
    </w:p>
    <w:p>
      <w:pPr>
        <w:spacing w:after="0" w:line="18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1408" w:right="239" w:bottom="1440" w:gutter="0" w:footer="0" w:header="0"/>
        </w:sectPr>
      </w:pPr>
    </w:p>
    <w:bookmarkStart w:id="93" w:name="page94"/>
    <w:bookmarkEnd w:id="93"/>
    <w:p>
      <w:pPr>
        <w:ind w:left="454" w:hanging="454"/>
        <w:spacing w:after="0"/>
        <w:tabs>
          <w:tab w:leader="none" w:pos="45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t>Governing Law</w:t>
      </w:r>
    </w:p>
    <w:p>
      <w:pPr>
        <w:spacing w:after="0" w:line="229" w:lineRule="exact"/>
        <w:rPr>
          <w:rFonts w:ascii="Arial" w:cs="Arial" w:eastAsia="Arial" w:hAnsi="Arial"/>
          <w:sz w:val="18"/>
          <w:szCs w:val="18"/>
          <w:b w:val="1"/>
          <w:bCs w:val="1"/>
          <w:color w:val="auto"/>
        </w:rPr>
      </w:pPr>
    </w:p>
    <w:p>
      <w:pPr>
        <w:ind w:left="454"/>
        <w:spacing w:after="0"/>
        <w:rPr>
          <w:rFonts w:ascii="Arial" w:cs="Arial" w:eastAsia="Arial" w:hAnsi="Arial"/>
          <w:sz w:val="18"/>
          <w:szCs w:val="18"/>
          <w:b w:val="1"/>
          <w:bCs w:val="1"/>
          <w:color w:val="auto"/>
        </w:rPr>
      </w:pPr>
      <w:r>
        <w:rPr>
          <w:rFonts w:ascii="Arial" w:cs="Arial" w:eastAsia="Arial" w:hAnsi="Arial"/>
          <w:sz w:val="18"/>
          <w:szCs w:val="18"/>
          <w:color w:val="auto"/>
        </w:rPr>
        <w:t>This contract is governed by and construed in accordance with English law.</w:t>
      </w:r>
    </w:p>
    <w:p>
      <w:pPr>
        <w:spacing w:after="0" w:line="221" w:lineRule="exact"/>
        <w:rPr>
          <w:rFonts w:ascii="Arial" w:cs="Arial" w:eastAsia="Arial" w:hAnsi="Arial"/>
          <w:sz w:val="18"/>
          <w:szCs w:val="18"/>
          <w:b w:val="1"/>
          <w:bCs w:val="1"/>
          <w:color w:val="auto"/>
        </w:rPr>
      </w:pPr>
    </w:p>
    <w:p>
      <w:pPr>
        <w:ind w:left="454" w:hanging="454"/>
        <w:spacing w:after="0"/>
        <w:tabs>
          <w:tab w:leader="none" w:pos="45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229" w:lineRule="exact"/>
        <w:rPr>
          <w:rFonts w:ascii="Arial" w:cs="Arial" w:eastAsia="Arial" w:hAnsi="Arial"/>
          <w:sz w:val="18"/>
          <w:szCs w:val="18"/>
          <w:b w:val="1"/>
          <w:bCs w:val="1"/>
          <w:color w:val="auto"/>
        </w:rPr>
      </w:pPr>
    </w:p>
    <w:p>
      <w:pPr>
        <w:ind w:left="45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Except for enforcement obligations of the Group, a person who is not a party to this agreement may not enforce any of its terms under the Contracts (Rights of Third Parties) Act 1999.</w:t>
      </w:r>
    </w:p>
    <w:p>
      <w:pPr>
        <w:spacing w:after="0" w:line="170" w:lineRule="exact"/>
        <w:rPr>
          <w:sz w:val="20"/>
          <w:szCs w:val="20"/>
          <w:color w:val="auto"/>
        </w:rPr>
      </w:pPr>
    </w:p>
    <w:p>
      <w:pPr>
        <w:jc w:val="center"/>
        <w:ind w:right="-373"/>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54"/>
          </w:cols>
          <w:pgMar w:left="586" w:top="1404" w:right="959" w:bottom="1440" w:gutter="0" w:footer="0" w:header="0"/>
        </w:sectPr>
      </w:pPr>
    </w:p>
    <w:bookmarkStart w:id="94" w:name="page95"/>
    <w:bookmarkEnd w:id="94"/>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SCHEDULE 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Requirements of the Employment Rights Act 1996</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 far as not already taken into account:-</w:t>
      </w:r>
    </w:p>
    <w:p>
      <w:pPr>
        <w:spacing w:after="0" w:line="225" w:lineRule="exact"/>
        <w:rPr>
          <w:sz w:val="20"/>
          <w:szCs w:val="20"/>
          <w:color w:val="auto"/>
        </w:rPr>
      </w:pPr>
    </w:p>
    <w:p>
      <w:pPr>
        <w:ind w:left="460" w:hanging="45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holidays will be on full pay but the Executive will be entitled to any accrued holiday pay on the termination of employment.</w:t>
      </w:r>
    </w:p>
    <w:p>
      <w:pPr>
        <w:spacing w:after="0" w:line="225" w:lineRule="exact"/>
        <w:rPr>
          <w:rFonts w:ascii="Arial" w:cs="Arial" w:eastAsia="Arial" w:hAnsi="Arial"/>
          <w:sz w:val="18"/>
          <w:szCs w:val="18"/>
          <w:color w:val="auto"/>
        </w:rPr>
      </w:pPr>
    </w:p>
    <w:p>
      <w:pPr>
        <w:ind w:left="460" w:hanging="454"/>
        <w:spacing w:after="0" w:line="30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Executive’s normal working hours are such hours as are consistent with his position as specified in Clause 1. The Executive will, without additional remuneration, from time to time work such further hours (including at weekends) as are reasonably necessary in order for him properly to carry out his duties under this Agreement. [The Executive agrees that Regulations 4(1) and (2), 6(1), (2) and (7), 10(1), 11(1) and (2) and 12(1) of the Working times Regulations 1998 (48 hour week, night work, rest periods etc) do not apply to the Executive’s employment.]</w:t>
      </w:r>
    </w:p>
    <w:p>
      <w:pPr>
        <w:spacing w:after="0" w:line="154" w:lineRule="exact"/>
        <w:rPr>
          <w:rFonts w:ascii="Arial" w:cs="Arial" w:eastAsia="Arial" w:hAnsi="Arial"/>
          <w:sz w:val="16"/>
          <w:szCs w:val="16"/>
          <w:color w:val="auto"/>
        </w:rPr>
      </w:pPr>
    </w:p>
    <w:p>
      <w:pPr>
        <w:jc w:val="both"/>
        <w:ind w:left="460" w:right="20" w:hanging="454"/>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of the Executive wishing to seek redress of any grievance relating to his employment he should lay his grievance before the Board in writing, who will afford the Executive the opportunity of a full and fair hearing before the Board or a committee of the Board whose decision on such grievance shall be final and binding.</w:t>
      </w:r>
    </w:p>
    <w:p>
      <w:pPr>
        <w:spacing w:after="0" w:line="181" w:lineRule="exact"/>
        <w:rPr>
          <w:rFonts w:ascii="Arial" w:cs="Arial" w:eastAsia="Arial" w:hAnsi="Arial"/>
          <w:sz w:val="18"/>
          <w:szCs w:val="18"/>
          <w:color w:val="auto"/>
        </w:rPr>
      </w:pPr>
    </w:p>
    <w:p>
      <w:pPr>
        <w:ind w:left="460" w:hanging="45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are no specific disciplinary rules and procedures relating to this employment agreement, other than generic Gartner policies.</w:t>
      </w:r>
    </w:p>
    <w:p>
      <w:pPr>
        <w:spacing w:after="0" w:line="225" w:lineRule="exact"/>
        <w:rPr>
          <w:rFonts w:ascii="Arial" w:cs="Arial" w:eastAsia="Arial" w:hAnsi="Arial"/>
          <w:sz w:val="18"/>
          <w:szCs w:val="18"/>
          <w:color w:val="auto"/>
        </w:rPr>
      </w:pPr>
    </w:p>
    <w:p>
      <w:pPr>
        <w:ind w:left="460" w:right="320" w:hanging="454"/>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provisions of any booklet, information sheet or notice published from time to time and setting out the rights and duties of all or specified categories of Group employees shall apply to this Schedule as if here set out verbatim, save insofar as any such provisions conflict with this Schedule or the Agreement of which it forms part.</w:t>
      </w:r>
    </w:p>
    <w:p>
      <w:pPr>
        <w:spacing w:after="0" w:line="181" w:lineRule="exact"/>
        <w:rPr>
          <w:rFonts w:ascii="Arial" w:cs="Arial" w:eastAsia="Arial" w:hAnsi="Arial"/>
          <w:sz w:val="18"/>
          <w:szCs w:val="18"/>
          <w:color w:val="auto"/>
        </w:rPr>
      </w:pPr>
    </w:p>
    <w:p>
      <w:pPr>
        <w:ind w:left="460" w:hanging="45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the Executive’s job is as stated in Clause 1 of this Agreement.</w:t>
      </w:r>
    </w:p>
    <w:p>
      <w:pPr>
        <w:spacing w:after="0" w:line="225" w:lineRule="exact"/>
        <w:rPr>
          <w:rFonts w:ascii="Arial" w:cs="Arial" w:eastAsia="Arial" w:hAnsi="Arial"/>
          <w:sz w:val="18"/>
          <w:szCs w:val="18"/>
          <w:color w:val="auto"/>
        </w:rPr>
      </w:pPr>
    </w:p>
    <w:p>
      <w:pPr>
        <w:ind w:left="460" w:hanging="45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are no collective agreements in force in relation to the Executive’s employment.</w:t>
      </w:r>
    </w:p>
    <w:p>
      <w:pPr>
        <w:spacing w:after="0" w:line="225" w:lineRule="exact"/>
        <w:rPr>
          <w:rFonts w:ascii="Arial" w:cs="Arial" w:eastAsia="Arial" w:hAnsi="Arial"/>
          <w:sz w:val="18"/>
          <w:szCs w:val="18"/>
          <w:color w:val="auto"/>
        </w:rPr>
      </w:pPr>
    </w:p>
    <w:p>
      <w:pPr>
        <w:ind w:left="460" w:hanging="454"/>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contracting-out certificate is in force with regard to the employment of the Executive.</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580" w:top="1440" w:right="379" w:bottom="1440" w:gutter="0" w:footer="0" w:header="0"/>
        </w:sectPr>
      </w:pPr>
    </w:p>
    <w:bookmarkStart w:id="95" w:name="page96"/>
    <w:bookmarkEnd w:id="95"/>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63436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634365" cy="1631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AS WITNESS the hands of the parties or their duly authorised representatives on the date shown on the first page.</w:t>
      </w:r>
    </w:p>
    <w:p>
      <w:pPr>
        <w:sectPr>
          <w:pgSz w:w="11900" w:h="16838" w:orient="portrait"/>
          <w:cols w:equalWidth="0" w:num="1">
            <w:col w:w="9879"/>
          </w:cols>
          <w:pgMar w:left="580" w:top="1440"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SIGNED by Alan Miller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-121920</wp:posOffset>
            </wp:positionV>
            <wp:extent cx="2298065" cy="5918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98065" cy="5918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540" w:space="720"/>
            <w:col w:w="5619"/>
          </w:cols>
          <w:pgMar w:left="580" w:top="1440" w:right="1440"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152400</wp:posOffset>
            </wp:positionV>
            <wp:extent cx="909320" cy="1046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09320" cy="1046480"/>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SIGNED by Clive Taylor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540" w:space="720"/>
            <w:col w:w="5619"/>
          </w:cols>
          <w:pgMar w:left="580" w:top="144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ectPr>
          <w:pgSz w:w="11900" w:h="16838" w:orient="portrait"/>
          <w:cols w:equalWidth="0" w:num="1">
            <w:col w:w="9879"/>
          </w:cols>
          <w:pgMar w:left="580" w:top="1440" w:right="1440" w:bottom="1440" w:gutter="0" w:footer="0" w:header="0"/>
          <w:type w:val="continuous"/>
        </w:sectPr>
      </w:pPr>
    </w:p>
    <w:p>
      <w:pPr>
        <w:spacing w:after="0" w:line="18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879"/>
          </w:cols>
          <w:pgMar w:left="580" w:top="1440" w:right="1440"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the Registrant</w:t>
      </w:r>
    </w:p>
    <w:p>
      <w:pPr>
        <w:spacing w:after="0" w:line="396" w:lineRule="exact"/>
        <w:rPr>
          <w:sz w:val="20"/>
          <w:szCs w:val="20"/>
          <w:color w:val="auto"/>
        </w:rPr>
      </w:pPr>
    </w:p>
    <w:p>
      <w:pPr>
        <w:spacing w:after="0"/>
        <w:tabs>
          <w:tab w:leader="none" w:pos="7220" w:val="left"/>
        </w:tabs>
        <w:rPr>
          <w:sz w:val="20"/>
          <w:szCs w:val="20"/>
          <w:color w:val="auto"/>
        </w:rPr>
      </w:pPr>
      <w:r>
        <w:rPr>
          <w:rFonts w:ascii="Arial" w:cs="Arial" w:eastAsia="Arial" w:hAnsi="Arial"/>
          <w:sz w:val="14"/>
          <w:szCs w:val="14"/>
          <w:b w:val="1"/>
          <w:bCs w:val="1"/>
          <w:color w:val="auto"/>
        </w:rPr>
        <w:t>Subsidiaries</w:t>
      </w:r>
      <w:r>
        <w:rPr>
          <w:sz w:val="20"/>
          <w:szCs w:val="20"/>
          <w:color w:val="auto"/>
        </w:rPr>
        <w:tab/>
      </w:r>
      <w:r>
        <w:rPr>
          <w:rFonts w:ascii="Arial" w:cs="Arial" w:eastAsia="Arial" w:hAnsi="Arial"/>
          <w:sz w:val="14"/>
          <w:szCs w:val="14"/>
          <w:b w:val="1"/>
          <w:bCs w:val="1"/>
          <w:color w:val="auto"/>
        </w:rPr>
        <w:t>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20" w:hanging="112"/>
        <w:spacing w:after="0"/>
        <w:tabs>
          <w:tab w:leader="none" w:pos="1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Computer &amp; Communications Information Group, Inc. (dba Datapro</w:t>
      </w:r>
    </w:p>
    <w:p>
      <w:pPr>
        <w:sectPr>
          <w:pgSz w:w="11900" w:h="16838" w:orient="portrait"/>
          <w:cols w:equalWidth="0" w:num="1">
            <w:col w:w="11420"/>
          </w:cols>
          <w:pgMar w:left="240" w:top="931" w:right="239" w:bottom="1440" w:gutter="0" w:footer="0" w:header="0"/>
        </w:sectPr>
      </w:pPr>
    </w:p>
    <w:p>
      <w:pPr>
        <w:spacing w:after="0" w:line="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Information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Computer Consultancy Group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Computer Financial Consultants,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Computer Financial Consultants, Limited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Computer Financial Consultants (Management)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Dataquest Australia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Dataquest,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Decision Drivers,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G.G.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G.G. Credit,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G.G. Properties,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G.G. West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Advisory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Australasia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Austria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Belgium BVBA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(Cambridge)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Canada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Credit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Danmark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do Brasil S/C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Enterprises,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Espana, S.L.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Europe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Financial Services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France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FSC,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Fund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Fund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Group Argentina,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Group Taiwan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Group (Thailand)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Global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Holdings Ireland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Gartner India Research &amp; Advisory Services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Investments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Investments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Italia,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Japan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(Korea),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Mexico S. D. DE R. .L.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Nederland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Norge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Sverige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Switzerland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Gartner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Green Falcon,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Griggs-Anderson,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People3,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SI Venture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SI Venture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The IT Management Programme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The Research Board,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The Warner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Vision Events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Wentworth Research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New Jersey,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Nova Scotia, Canada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Barbados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ectPr>
          <w:pgSz w:w="11900" w:h="16838" w:orient="portrait"/>
          <w:cols w:equalWidth="0" w:num="2">
            <w:col w:w="6520" w:space="720"/>
            <w:col w:w="4180"/>
          </w:cols>
          <w:pgMar w:left="240" w:top="931" w:right="2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Gartner, Inc.:</w:t>
      </w:r>
    </w:p>
    <w:p>
      <w:pPr>
        <w:spacing w:after="0" w:line="17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consent to the incorporation by reference in the registration statement (No. 333-76711) on Form S-3 and the registration statements (No. 33-69976, No. 33-85926, No. 33-092486, No. 333-35169, No. 333-42587, No. 333-77013, No. 333-7015, No. 333-76711, No. 333-30546, No. 333-91256, No. 333-97557, No. 333-104753 and No. 333-12076) on Form S-8 of Gartner, Inc. of our reports dated March 16, 2005, with respect to the consolidated balance sheets of Gartner, Inc. as of December 31, 2004 and 2003 and the related consolidated statements of operations, stockholders’ equity (deficit) and comprehensive income (loss), and cash flows for each of the years in the two-year period ended December 31, 2004, the three-month period ended December 31, 2002, and the year ended September 30, 2002, management’s assessment of the effectiveness of internal control over financial reporting as of December 31, 2004 and the effectiveness of internal control over financial reporting as of December 31, 2004, which reports appear in the December 31, 2004 annual report on Form 10-K of Gartner,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2005</w:t>
      </w:r>
    </w:p>
    <w:p>
      <w:pPr>
        <w:sectPr>
          <w:pgSz w:w="11900" w:h="16838" w:orient="portrait"/>
          <w:cols w:equalWidth="0" w:num="1">
            <w:col w:w="11420"/>
          </w:cols>
          <w:pgMar w:left="240" w:top="93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Eugene A. Hall, certify that:</w:t>
      </w:r>
    </w:p>
    <w:p>
      <w:pPr>
        <w:spacing w:after="0" w:line="185" w:lineRule="exact"/>
        <w:rPr>
          <w:sz w:val="20"/>
          <w:szCs w:val="20"/>
          <w:color w:val="auto"/>
        </w:rPr>
      </w:pPr>
    </w:p>
    <w:p>
      <w:pPr>
        <w:ind w:left="480" w:hanging="247"/>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Gartner, Inc.;</w:t>
      </w:r>
    </w:p>
    <w:p>
      <w:pPr>
        <w:spacing w:after="0" w:line="198"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60" w:firstLine="233"/>
        <w:spacing w:after="0" w:line="264" w:lineRule="auto"/>
        <w:tabs>
          <w:tab w:leader="none" w:pos="4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20" w:right="580" w:hanging="437"/>
        <w:spacing w:after="0" w:line="342"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60" w:firstLine="233"/>
        <w:spacing w:after="0" w:line="277" w:lineRule="auto"/>
        <w:tabs>
          <w:tab w:leader="none" w:pos="4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120" w:right="800" w:hanging="437"/>
        <w:spacing w:after="0" w:line="342"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4662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Eugene A. Hall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2005</w:t>
      </w:r>
    </w:p>
    <w:p>
      <w:pPr>
        <w:sectPr>
          <w:pgSz w:w="11900" w:h="16838" w:orient="portrait"/>
          <w:cols w:equalWidth="0" w:num="1">
            <w:col w:w="11420"/>
          </w:cols>
          <w:pgMar w:left="240" w:top="93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Lafond, certify that:</w:t>
      </w:r>
    </w:p>
    <w:p>
      <w:pPr>
        <w:spacing w:after="0" w:line="185" w:lineRule="exact"/>
        <w:rPr>
          <w:sz w:val="20"/>
          <w:szCs w:val="20"/>
          <w:color w:val="auto"/>
        </w:rPr>
      </w:pPr>
    </w:p>
    <w:p>
      <w:pPr>
        <w:ind w:left="480" w:hanging="247"/>
        <w:spacing w:after="0"/>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Gartner, Inc.;</w:t>
      </w:r>
    </w:p>
    <w:p>
      <w:pPr>
        <w:spacing w:after="0" w:line="198"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60" w:firstLine="233"/>
        <w:spacing w:after="0" w:line="264" w:lineRule="auto"/>
        <w:tabs>
          <w:tab w:leader="none" w:pos="4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20" w:right="580" w:hanging="437"/>
        <w:spacing w:after="0" w:line="342" w:lineRule="auto"/>
        <w:tabs>
          <w:tab w:leader="none" w:pos="11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60" w:firstLine="233"/>
        <w:spacing w:after="0" w:line="277" w:lineRule="auto"/>
        <w:tabs>
          <w:tab w:leader="none" w:pos="4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120" w:right="800" w:hanging="437"/>
        <w:spacing w:after="0" w:line="342" w:lineRule="auto"/>
        <w:tabs>
          <w:tab w:leader="none" w:pos="11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Lafond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4662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Christopher Lafond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2005</w:t>
      </w:r>
    </w:p>
    <w:p>
      <w:pPr>
        <w:sectPr>
          <w:pgSz w:w="11900" w:h="16838" w:orient="portrait"/>
          <w:cols w:equalWidth="0" w:num="1">
            <w:col w:w="11420"/>
          </w:cols>
          <w:pgMar w:left="240" w:top="93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Annual Report of Gartner, Inc. (the “Company”) on Form 10-K for the twelve month period ended December 31, 2004, as filed with the Securities and Exchange Commission on the date hereof (the “Report”), as Chief Executive Officer of the Company and Chief Financial Officer of the Company, each hereby certifies, pursuant to 18 U.S.C. § 1350, as adopted pursuant to Section 906 of the Sarbanes-Oxley Act of 2002, that, to my knowledge:</w:t>
      </w:r>
    </w:p>
    <w:p>
      <w:pPr>
        <w:spacing w:after="0" w:line="147" w:lineRule="exact"/>
        <w:rPr>
          <w:sz w:val="20"/>
          <w:szCs w:val="20"/>
          <w:color w:val="auto"/>
        </w:rPr>
      </w:pPr>
    </w:p>
    <w:p>
      <w:pPr>
        <w:ind w:left="800" w:hanging="454"/>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80" w:firstLine="346"/>
        <w:spacing w:after="0" w:line="528" w:lineRule="auto"/>
        <w:tabs>
          <w:tab w:leader="none" w:pos="7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4662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Eugene A. Hall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Christopher Lafond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4662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Lafond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2005</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Gartner, Inc. and will be retained by Gartner, Inc.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decimal"/>
      <w:start w:val="2"/>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4"/>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4"/>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ª"/>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lvl w:ilvl="1">
      <w:lvlJc w:val="left"/>
      <w:lvlText w:val="(%2)"/>
      <w:numFmt w:val="decimal"/>
      <w:start w:val="2"/>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upperLetter"/>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4"/>
    </w:lvl>
  </w:abstractNum>
  <w:abstractNum w:abstractNumId="33">
    <w:nsid w:val="57E4CCAF"/>
    <w:multiLevelType w:val="hybridMultilevel"/>
    <w:lvl w:ilvl="0">
      <w:lvlJc w:val="left"/>
      <w:lvlText w:val="%1."/>
      <w:numFmt w:val="decimal"/>
      <w:start w:val="10"/>
    </w:lvl>
  </w:abstractNum>
  <w:abstractNum w:abstractNumId="34">
    <w:nsid w:val="7A6D8D3C"/>
    <w:multiLevelType w:val="hybridMultilevel"/>
    <w:lvl w:ilvl="0">
      <w:lvlJc w:val="left"/>
      <w:lvlText w:val="%1."/>
      <w:numFmt w:val="decimal"/>
      <w:start w:val="12"/>
    </w:lvl>
  </w:abstractNum>
  <w:abstractNum w:abstractNumId="35">
    <w:nsid w:val="4B588F54"/>
    <w:multiLevelType w:val="hybridMultilevel"/>
    <w:lvl w:ilvl="0">
      <w:lvlJc w:val="left"/>
      <w:lvlText w:val="%1."/>
      <w:numFmt w:val="decimal"/>
      <w:start w:val="15"/>
    </w:lvl>
  </w:abstractNum>
  <w:abstractNum w:abstractNumId="36">
    <w:nsid w:val="542289EC"/>
    <w:multiLevelType w:val="hybridMultilevel"/>
    <w:lvl w:ilvl="0">
      <w:lvlJc w:val="left"/>
      <w:lvlText w:val="%1."/>
      <w:numFmt w:val="decimal"/>
      <w:start w:val="16"/>
    </w:lvl>
  </w:abstractNum>
  <w:abstractNum w:abstractNumId="37">
    <w:nsid w:val="6DE91B18"/>
    <w:multiLevelType w:val="hybridMultilevel"/>
    <w:lvl w:ilvl="0">
      <w:lvlJc w:val="left"/>
      <w:lvlText w:val="%1."/>
      <w:numFmt w:val="decimal"/>
      <w:start w:val="17"/>
    </w:lvl>
  </w:abstractNum>
  <w:abstractNum w:abstractNumId="38">
    <w:nsid w:val="38437FDB"/>
    <w:multiLevelType w:val="hybridMultilevel"/>
    <w:lvl w:ilvl="0">
      <w:lvlJc w:val="left"/>
      <w:lvlText w:val="%1."/>
      <w:numFmt w:val="decimal"/>
      <w:start w:val="2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decimal"/>
      <w:start w:val="1"/>
    </w:lvl>
    <w:lvl w:ilvl="1">
      <w:lvlJc w:val="left"/>
      <w:lvlText w:val="(%2)"/>
      <w:numFmt w:val="decimal"/>
      <w:start w:val="2"/>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upperLetter"/>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4"/>
    </w:lvl>
  </w:abstractNum>
  <w:abstractNum w:abstractNumId="45">
    <w:nsid w:val="1BA026FA"/>
    <w:multiLevelType w:val="hybridMultilevel"/>
    <w:lvl w:ilvl="0">
      <w:lvlJc w:val="left"/>
      <w:lvlText w:val="%1."/>
      <w:numFmt w:val="decimal"/>
      <w:start w:val="7"/>
    </w:lvl>
  </w:abstractNum>
  <w:abstractNum w:abstractNumId="46">
    <w:nsid w:val="79A1DEAA"/>
    <w:multiLevelType w:val="hybridMultilevel"/>
    <w:lvl w:ilvl="0">
      <w:lvlJc w:val="left"/>
      <w:lvlText w:val="%1."/>
      <w:numFmt w:val="decimal"/>
      <w:start w:val="13"/>
    </w:lvl>
  </w:abstractNum>
  <w:abstractNum w:abstractNumId="47">
    <w:nsid w:val="75C6C33A"/>
    <w:multiLevelType w:val="hybridMultilevel"/>
    <w:lvl w:ilvl="0">
      <w:lvlJc w:val="left"/>
      <w:lvlText w:val="%1."/>
      <w:numFmt w:val="decimal"/>
      <w:start w:val="15"/>
    </w:lvl>
  </w:abstractNum>
  <w:abstractNum w:abstractNumId="48">
    <w:nsid w:val="12E685FB"/>
    <w:multiLevelType w:val="hybridMultilevel"/>
    <w:lvl w:ilvl="0">
      <w:lvlJc w:val="left"/>
      <w:lvlText w:val="%1."/>
      <w:numFmt w:val="decimal"/>
      <w:start w:val="17"/>
    </w:lvl>
  </w:abstractNum>
  <w:abstractNum w:abstractNumId="49">
    <w:nsid w:val="70C6A529"/>
    <w:multiLevelType w:val="hybridMultilevel"/>
    <w:lvl w:ilvl="0">
      <w:lvlJc w:val="left"/>
      <w:lvlText w:val="%1."/>
      <w:numFmt w:val="decimal"/>
      <w:start w:val="18"/>
    </w:lvl>
  </w:abstractNum>
  <w:abstractNum w:abstractNumId="50">
    <w:nsid w:val="520EEDD1"/>
    <w:multiLevelType w:val="hybridMultilevel"/>
    <w:lvl w:ilvl="0">
      <w:lvlJc w:val="left"/>
      <w:lvlText w:val="%1."/>
      <w:numFmt w:val="decimal"/>
      <w:start w:val="23"/>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2019-12-12T10:56:45Z</dcterms:created>
  <dcterms:modified xsi:type="dcterms:W3CDTF">2019-12-12T10:56:45Z</dcterms:modified>
</cp:coreProperties>
</file>