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1"/>
        <w:gridCol w:w="3063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Rupani Altaf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56 TOP GALLANT RD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P.O. BOX 10212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STAMFORD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CT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06902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1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GARTNER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IT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3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1"/>
              <w:gridCol w:w="1030"/>
              <w:gridCol w:w="441"/>
              <w:gridCol w:w="1031"/>
            </w:tblGrid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3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EVP, Chief Information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10/15/2026</w:t>
            </w:r>
          </w:p>
        </w:tc>
        <w:tc>
          <w:tcPr>
            <w:tcW w:w="306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3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89"/>
        <w:gridCol w:w="904"/>
        <w:gridCol w:w="773"/>
        <w:gridCol w:w="600"/>
        <w:gridCol w:w="349"/>
        <w:gridCol w:w="805"/>
        <w:gridCol w:w="456"/>
        <w:gridCol w:w="840"/>
        <w:gridCol w:w="1165"/>
        <w:gridCol w:w="999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8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0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8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10/15/2026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165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1,364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10/15/2026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4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207.31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1,304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84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302"/>
        <w:gridCol w:w="499"/>
        <w:gridCol w:w="906"/>
        <w:gridCol w:w="801"/>
        <w:gridCol w:w="891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84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2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3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10/15/2026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165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165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165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shares acquired upon the release of RSUs, which convert into common stock on a one-for-one basis. These RSUs vest in four substantially equal annual installments commencing on October 15, 2024. This represents the third installment.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Represents shares withheld for the payment of applicable income and payroll withholding taxes.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Jennifer Ahn for Altaf Rupani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10/19/2026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98915" TargetMode="External"/><Relationship Id="rId5" Type="http://schemas.openxmlformats.org/officeDocument/2006/relationships/hyperlink" Target="http://www.sec.gov/cgi-bin/browse-edgar?action=getcompany&amp;CIK=000074925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642</Words>
  <Characters>3460</Characters>
  <CharactersWithSpaces>4013</CharactersWithSpaces>
  <Paragraphs>117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