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HALL EUGENE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03"/>
        <w:gridCol w:w="454"/>
        <w:gridCol w:w="755"/>
        <w:gridCol w:w="1280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188.2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1,188,228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acquired under Gartner, Inc.'s 2011 Employee Stock Purchase Plan (as amended and restated effective May 1, 2024) in a transaction exempt from Section 16(b) pursuant to Rule 16b-3(c).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Eugene A. Hall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Kevin Tang and Jennifer Ahn, signing singly and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jointly,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U.S. Securities and Exchange Commission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"SEC") a Form ID, including amendments thereto, and any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obtain codes, passwords and passphrases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enabling the undersigned to make electronic filings with the SEC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 required by the Securities Exchange Act of 1934, as amended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"Exchange Act"),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beneficial owner and an Officer and/or Director of Gartner,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Inc., a Delaware corporation (the "Company"), Forms ID,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ID, 3, 4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SEC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 might or could do if personally present,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substitution and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ID, 3, 4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executed as of this 22nd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Eugene A. Hall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Eugene A. Hall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8849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1122</Words>
  <Characters>5922</Characters>
  <CharactersWithSpaces>6926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