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Amendment No. 1</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4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360" w:hanging="352"/>
        <w:spacing w:after="0"/>
        <w:tabs>
          <w:tab w:leader="none" w:pos="36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1-14443</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w:t>
      </w:r>
      <w:r>
        <w:rPr>
          <w:rFonts w:ascii="Arial" w:cs="Arial" w:eastAsia="Arial" w:hAnsi="Arial"/>
          <w:sz w:val="29"/>
          <w:szCs w:val="29"/>
          <w:b w:val="1"/>
          <w:bCs w:val="1"/>
          <w:color w:val="auto"/>
        </w:rPr>
        <w:t>ARTNER</w:t>
      </w:r>
      <w:r>
        <w:rPr>
          <w:rFonts w:ascii="Arial" w:cs="Arial" w:eastAsia="Arial" w:hAnsi="Arial"/>
          <w:sz w:val="43"/>
          <w:szCs w:val="43"/>
          <w:b w:val="1"/>
          <w:bCs w:val="1"/>
          <w:color w:val="auto"/>
        </w:rPr>
        <w:t>, I</w:t>
      </w:r>
      <w:r>
        <w:rPr>
          <w:rFonts w:ascii="Arial" w:cs="Arial" w:eastAsia="Arial" w:hAnsi="Arial"/>
          <w:sz w:val="29"/>
          <w:szCs w:val="29"/>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2" w:lineRule="exact"/>
        <w:rPr>
          <w:sz w:val="24"/>
          <w:szCs w:val="24"/>
          <w:color w:val="auto"/>
        </w:rPr>
      </w:pPr>
    </w:p>
    <w:tbl>
      <w:tblPr>
        <w:tblLayout w:type="fixed"/>
        <w:tblInd w:w="2180" w:type="dxa"/>
        <w:tblCellMar>
          <w:top w:w="0" w:type="dxa"/>
          <w:left w:w="0" w:type="dxa"/>
          <w:bottom w:w="0" w:type="dxa"/>
          <w:right w:w="0" w:type="dxa"/>
        </w:tblCellMar>
      </w:tblPr>
      <w:tr>
        <w:trPr>
          <w:trHeight w:val="216"/>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92"/>
              </w:rPr>
              <w:t>Delaware</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89"/>
              </w:rPr>
              <w:t>04-3099750</w:t>
            </w:r>
          </w:p>
        </w:tc>
      </w:tr>
      <w:tr>
        <w:trPr>
          <w:trHeight w:val="216"/>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93"/>
              </w:rPr>
              <w:t>(State or other jurisdiction of</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30"/>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93"/>
              </w:rPr>
              <w:t>incorporation or organization)</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94"/>
              </w:rPr>
              <w:t>Identification Number)</w:t>
            </w:r>
          </w:p>
        </w:tc>
      </w:tr>
      <w:tr>
        <w:trPr>
          <w:trHeight w:val="418"/>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89"/>
              </w:rPr>
              <w:t>P.O. Box 10212</w:t>
            </w:r>
          </w:p>
        </w:tc>
        <w:tc>
          <w:tcPr>
            <w:tcW w:w="1820" w:type="dxa"/>
            <w:vAlign w:val="bottom"/>
          </w:tcPr>
          <w:p>
            <w:pPr>
              <w:jc w:val="center"/>
              <w:ind w:left="70"/>
              <w:spacing w:after="0"/>
              <w:rPr>
                <w:sz w:val="20"/>
                <w:szCs w:val="20"/>
                <w:color w:val="auto"/>
              </w:rPr>
            </w:pPr>
            <w:r>
              <w:rPr>
                <w:rFonts w:ascii="Arial" w:cs="Arial" w:eastAsia="Arial" w:hAnsi="Arial"/>
                <w:sz w:val="18"/>
                <w:szCs w:val="18"/>
                <w:color w:val="auto"/>
                <w:w w:val="89"/>
              </w:rPr>
              <w:t>06902-7700</w:t>
            </w:r>
          </w:p>
        </w:tc>
      </w:tr>
      <w:tr>
        <w:trPr>
          <w:trHeight w:val="216"/>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90"/>
              </w:rPr>
              <w:t>56 Top Gallant Road</w:t>
            </w:r>
          </w:p>
        </w:tc>
        <w:tc>
          <w:tcPr>
            <w:tcW w:w="182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216"/>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91"/>
              </w:rPr>
              <w:t>Stamford, CT</w:t>
            </w:r>
          </w:p>
        </w:tc>
        <w:tc>
          <w:tcPr>
            <w:tcW w:w="1820" w:type="dxa"/>
            <w:vAlign w:val="bottom"/>
          </w:tcPr>
          <w:p>
            <w:pPr>
              <w:spacing w:after="0"/>
              <w:rPr>
                <w:sz w:val="18"/>
                <w:szCs w:val="18"/>
                <w:color w:val="auto"/>
              </w:rPr>
            </w:pPr>
          </w:p>
        </w:tc>
      </w:tr>
      <w:tr>
        <w:trPr>
          <w:trHeight w:val="230"/>
        </w:trPr>
        <w:tc>
          <w:tcPr>
            <w:tcW w:w="6140" w:type="dxa"/>
            <w:vAlign w:val="bottom"/>
          </w:tcPr>
          <w:p>
            <w:pPr>
              <w:jc w:val="center"/>
              <w:ind w:right="3190"/>
              <w:spacing w:after="0"/>
              <w:rPr>
                <w:sz w:val="20"/>
                <w:szCs w:val="20"/>
                <w:color w:val="auto"/>
              </w:rPr>
            </w:pPr>
            <w:r>
              <w:rPr>
                <w:rFonts w:ascii="Arial" w:cs="Arial" w:eastAsia="Arial" w:hAnsi="Arial"/>
                <w:sz w:val="18"/>
                <w:szCs w:val="18"/>
                <w:color w:val="auto"/>
                <w:w w:val="92"/>
              </w:rPr>
              <w:t>(Address of principal executive offices)</w:t>
            </w:r>
          </w:p>
        </w:tc>
        <w:tc>
          <w:tcPr>
            <w:tcW w:w="1820" w:type="dxa"/>
            <w:vAlign w:val="bottom"/>
          </w:tcPr>
          <w:p>
            <w:pPr>
              <w:spacing w:after="0"/>
              <w:rPr>
                <w:sz w:val="20"/>
                <w:szCs w:val="20"/>
                <w:color w:val="auto"/>
              </w:rPr>
            </w:pPr>
          </w:p>
        </w:tc>
      </w:tr>
      <w:tr>
        <w:trPr>
          <w:trHeight w:val="351"/>
        </w:trPr>
        <w:tc>
          <w:tcPr>
            <w:tcW w:w="6140" w:type="dxa"/>
            <w:vAlign w:val="bottom"/>
          </w:tcPr>
          <w:p>
            <w:pPr>
              <w:ind w:left="1080"/>
              <w:spacing w:after="0"/>
              <w:rPr>
                <w:sz w:val="20"/>
                <w:szCs w:val="20"/>
                <w:color w:val="auto"/>
              </w:rPr>
            </w:pPr>
            <w:r>
              <w:rPr>
                <w:rFonts w:ascii="Arial" w:cs="Arial" w:eastAsia="Arial" w:hAnsi="Arial"/>
                <w:sz w:val="18"/>
                <w:szCs w:val="18"/>
                <w:color w:val="auto"/>
                <w:w w:val="92"/>
              </w:rPr>
              <w:t>Registrant’s telephone number, including area code: (203) 316-1111</w:t>
            </w:r>
          </w:p>
        </w:tc>
        <w:tc>
          <w:tcPr>
            <w:tcW w:w="1820" w:type="dxa"/>
            <w:vAlign w:val="bottom"/>
          </w:tcPr>
          <w:p>
            <w:pPr>
              <w:spacing w:after="0"/>
              <w:rPr>
                <w:sz w:val="24"/>
                <w:szCs w:val="24"/>
                <w:color w:val="auto"/>
              </w:rPr>
            </w:pP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7" w:right="2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ind w:right="1320" w:hanging="89"/>
        <w:spacing w:after="0" w:line="277" w:lineRule="auto"/>
        <w:rPr>
          <w:sz w:val="20"/>
          <w:szCs w:val="20"/>
          <w:color w:val="auto"/>
        </w:rPr>
      </w:pPr>
      <w:r>
        <w:rPr>
          <w:rFonts w:ascii="Arial" w:cs="Arial" w:eastAsia="Arial" w:hAnsi="Arial"/>
          <w:sz w:val="18"/>
          <w:szCs w:val="18"/>
          <w:color w:val="auto"/>
        </w:rPr>
        <w:t>Non-accelerated filer o</w:t>
      </w:r>
      <w:r>
        <w:rPr>
          <w:sz w:val="20"/>
          <w:szCs w:val="20"/>
          <w:color w:val="auto"/>
        </w:rPr>
        <w:t xml:space="preserve"> </w:t>
      </w:r>
      <w:r>
        <w:rPr>
          <w:rFonts w:ascii="Arial" w:cs="Arial" w:eastAsia="Arial" w:hAnsi="Arial"/>
          <w:sz w:val="18"/>
          <w:szCs w:val="18"/>
          <w:color w:val="auto"/>
        </w:rPr>
        <w:t>Smaller reporting company o (Do not check if a smaller reporting company)</w:t>
      </w:r>
    </w:p>
    <w:p>
      <w:pPr>
        <w:spacing w:after="0" w:line="138" w:lineRule="exact"/>
        <w:rPr>
          <w:sz w:val="24"/>
          <w:szCs w:val="24"/>
          <w:color w:val="auto"/>
        </w:rPr>
      </w:pPr>
    </w:p>
    <w:p>
      <w:pPr>
        <w:sectPr>
          <w:pgSz w:w="11900" w:h="16838" w:orient="portrait"/>
          <w:cols w:equalWidth="0" w:num="3">
            <w:col w:w="2160" w:space="720"/>
            <w:col w:w="1880" w:space="720"/>
            <w:col w:w="5940"/>
          </w:cols>
          <w:pgMar w:left="240" w:top="697"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April 24, 2013, 93,751,149 shares of the registrant’s common shares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1 on Form 10-Q/A is being filed solely for the purpose of correcting a typographical error relating to the number of quota-bearing sales associates on page 22 of our Quarterly Report on Form 10-Q for the fiscal quarter ended March 31, 2013, which was filed with the Securities &amp; Exchange Commission on May 2, 2013 (the “Original Form 10-Q”). The number of quota-bearing sales associates as of March 31, 2013 was 1,461. The number that was included in the Original Form 10-Q was incorrect.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Original Form 10-Q that are not amended by this Form 10-Q/A remain in effect as of the date of the Original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32"/>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under Rule 13a — 14(a)/15d — 14(a).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under Rule 13a — 14(a)/15d — 14(a).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under 18 U.S.C. 1350.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Gartner, Inc.</w:t>
            </w: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Date: May 2, 2013</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 Lafond</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Christopher J. Lafond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Eugene A. Hall, certify that:</w:t>
      </w:r>
    </w:p>
    <w:p>
      <w:pPr>
        <w:spacing w:after="0" w:line="144"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Gartner, Inc.;</w:t>
      </w:r>
    </w:p>
    <w:p>
      <w:pPr>
        <w:spacing w:after="0" w:line="157" w:lineRule="exact"/>
        <w:rPr>
          <w:rFonts w:ascii="Arial" w:cs="Arial" w:eastAsia="Arial" w:hAnsi="Arial"/>
          <w:sz w:val="18"/>
          <w:szCs w:val="18"/>
          <w:color w:val="auto"/>
        </w:rPr>
      </w:pPr>
    </w:p>
    <w:p>
      <w:pPr>
        <w:ind w:right="20" w:firstLine="656"/>
        <w:spacing w:after="0" w:line="342" w:lineRule="auto"/>
        <w:tabs>
          <w:tab w:leader="none" w:pos="904"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firstLine="656"/>
        <w:spacing w:after="0" w:line="277"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jc w:val="both"/>
        <w:ind w:firstLine="656"/>
        <w:spacing w:after="0" w:line="264" w:lineRule="auto"/>
        <w:tabs>
          <w:tab w:leader="none" w:pos="9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14" w:lineRule="exact"/>
        <w:rPr>
          <w:sz w:val="20"/>
          <w:szCs w:val="20"/>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firstLine="656"/>
        <w:spacing w:after="0" w:line="27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89" w:lineRule="exact"/>
        <w:rPr>
          <w:sz w:val="20"/>
          <w:szCs w:val="20"/>
          <w:color w:val="auto"/>
        </w:rPr>
      </w:pPr>
    </w:p>
    <w:p>
      <w:pPr>
        <w:ind w:left="130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Eugene A. 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41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J. Lafond, certify that:</w:t>
      </w:r>
    </w:p>
    <w:p>
      <w:pPr>
        <w:spacing w:after="0" w:line="158" w:lineRule="exact"/>
        <w:rPr>
          <w:sz w:val="20"/>
          <w:szCs w:val="20"/>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Gartner, Inc.;</w:t>
      </w:r>
    </w:p>
    <w:p>
      <w:pPr>
        <w:spacing w:after="0" w:line="157" w:lineRule="exact"/>
        <w:rPr>
          <w:rFonts w:ascii="Arial" w:cs="Arial" w:eastAsia="Arial" w:hAnsi="Arial"/>
          <w:sz w:val="18"/>
          <w:szCs w:val="18"/>
          <w:color w:val="auto"/>
        </w:rPr>
      </w:pPr>
    </w:p>
    <w:p>
      <w:pPr>
        <w:ind w:right="20" w:firstLine="656"/>
        <w:spacing w:after="0" w:line="342" w:lineRule="auto"/>
        <w:tabs>
          <w:tab w:leader="none" w:pos="904"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firstLine="656"/>
        <w:spacing w:after="0" w:line="277" w:lineRule="auto"/>
        <w:tabs>
          <w:tab w:leader="none" w:pos="90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jc w:val="both"/>
        <w:ind w:firstLine="656"/>
        <w:spacing w:after="0" w:line="264" w:lineRule="auto"/>
        <w:tabs>
          <w:tab w:leader="none" w:pos="9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14" w:lineRule="exact"/>
        <w:rPr>
          <w:sz w:val="20"/>
          <w:szCs w:val="20"/>
          <w:color w:val="auto"/>
        </w:rPr>
      </w:pPr>
    </w:p>
    <w:p>
      <w:pPr>
        <w:jc w:val="both"/>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sz w:val="20"/>
          <w:szCs w:val="20"/>
          <w:color w:val="auto"/>
        </w:rPr>
      </w:pPr>
    </w:p>
    <w:p>
      <w:pPr>
        <w:ind w:firstLine="656"/>
        <w:spacing w:after="0" w:line="277" w:lineRule="auto"/>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3" w:lineRule="exact"/>
        <w:rPr>
          <w:sz w:val="20"/>
          <w:szCs w:val="20"/>
          <w:color w:val="auto"/>
        </w:rPr>
      </w:pPr>
    </w:p>
    <w:p>
      <w:pPr>
        <w:ind w:left="130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Christopher J. Lafond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J. Lafond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41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AS ADOPTED PURSUANT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connection with the Quarterly Report of Gartner, Inc. (the “Company”) on Form 10-Q for the quarter ended March 31, 2013, as filed with the Securities and Exchange Commission on the date hereof (the “Report”), as Chief Executive Officer of the Company and Chief Financial Officer of the Company, each hereby certifies, pursuant to 18 U.S.C. § 1350, as adopted pursuant to Section 906 of the Sarbanes-Oxley Act of 2002, that, to my knowledge:</w:t>
      </w:r>
    </w:p>
    <w:p>
      <w:pPr>
        <w:spacing w:after="0" w:line="79"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Eugene A. 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09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2,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Christopher J. Lafond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J. Lafond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09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2, 2013</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Gartner, Inc. and will be retained by Gartner,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2019-12-05T21:59:29Z</dcterms:created>
  <dcterms:modified xsi:type="dcterms:W3CDTF">2019-12-05T21:59:29Z</dcterms:modified>
</cp:coreProperties>
</file>