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September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1-14443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Gartner,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309" w:type="dxa"/>
        <w:jc w:val="center"/>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78"/>
        <w:gridCol w:w="586"/>
        <w:gridCol w:w="586"/>
        <w:gridCol w:w="837"/>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04-3099750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 Box 10212</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06902-7700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 Top Gallant Road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Stamford,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(203) 964-0096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$.0005 par value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14"/>
        <w:gridCol w:w="716"/>
        <w:gridCol w:w="719"/>
        <w:gridCol w:w="160"/>
        <w:gridCol w:w="160"/>
        <w:gridCol w:w="160"/>
        <w:gridCol w:w="160"/>
        <w:gridCol w:w="160"/>
        <w:gridCol w:w="160"/>
        <w:gridCol w:w="857"/>
        <w:gridCol w:w="857"/>
        <w:gridCol w:w="860"/>
        <w:gridCol w:w="160"/>
        <w:gridCol w:w="160"/>
        <w:gridCol w:w="160"/>
        <w:gridCol w:w="160"/>
        <w:gridCol w:w="160"/>
        <w:gridCol w:w="160"/>
        <w:gridCol w:w="940"/>
        <w:gridCol w:w="940"/>
        <w:gridCol w:w="943"/>
        <w:gridCol w:w="160"/>
        <w:gridCol w:w="160"/>
        <w:gridCol w:w="160"/>
        <w:gridCol w:w="15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October 31, 2025, 72,077,145 shares of the registrant’s common shares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3508"/>
        <w:gridCol w:w="3055"/>
        <w:gridCol w:w="3070"/>
        <w:gridCol w:w="167"/>
        <w:gridCol w:w="167"/>
        <w:gridCol w:w="238"/>
      </w:tblGrid>
      <w:tr>
        <w:trPr/>
        <w:tc>
          <w:tcPr>
            <w:tcW w:w="3508"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0">
              <w:r>
                <w:rPr>
                  <w:rStyle w:val="InternetLink"/>
                  <w:rFonts w:ascii="Times New Roman;serif" w:hAnsi="Times New Roman;serif"/>
                  <w:b/>
                  <w:color w:val="0000FF"/>
                  <w:sz w:val="20"/>
                  <w:u w:val="single"/>
                </w:rPr>
                <w:t>PART I. FINANCIAL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3">
              <w:r>
                <w:rPr>
                  <w:rStyle w:val="InternetLink"/>
                  <w:rFonts w:ascii="Times New Roman;serif" w:hAnsi="Times New Roman;serif"/>
                  <w:b w:val="false"/>
                  <w:color w:val="0000FF"/>
                  <w:sz w:val="20"/>
                  <w:u w:val="single"/>
                </w:rPr>
                <w:t>ITEM 1. 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6">
              <w:r>
                <w:rPr>
                  <w:rStyle w:val="InternetLink"/>
                  <w:rFonts w:ascii="Times New Roman;serif" w:hAnsi="Times New Roman;serif"/>
                  <w:b w:val="false"/>
                  <w:color w:val="0000FF"/>
                  <w:sz w:val="20"/>
                  <w:u w:val="single"/>
                </w:rPr>
                <w:t>Condensed Consolidated Balance Sheets at September 30, 2025 and December 31,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6">
              <w:r>
                <w:rPr>
                  <w:rStyle w:val="InternetLink"/>
                  <w:rFonts w:ascii="Times New Roman;serif" w:hAnsi="Times New Roman;serif"/>
                  <w:b w:val="false"/>
                  <w:color w:val="0000FF"/>
                  <w:sz w:val="20"/>
                  <w:u w:val="single"/>
                </w:rPr>
                <w:t>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22">
              <w:r>
                <w:rPr>
                  <w:rStyle w:val="InternetLink"/>
                  <w:rFonts w:ascii="Times New Roman;serif" w:hAnsi="Times New Roman;serif"/>
                  <w:b w:val="false"/>
                  <w:color w:val="0000FF"/>
                  <w:sz w:val="20"/>
                  <w:u w:val="single"/>
                </w:rPr>
                <w:t>Condensed Consolidated Statements of Operations for the Three and Nine Months Ended September 30, 2025 and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22">
              <w:r>
                <w:rPr>
                  <w:rStyle w:val="InternetLink"/>
                  <w:rFonts w:ascii="Times New Roman;serif" w:hAnsi="Times New Roman;serif"/>
                  <w:b w:val="false"/>
                  <w:color w:val="0000FF"/>
                  <w:sz w:val="20"/>
                  <w:u w:val="singl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28">
              <w:r>
                <w:rPr>
                  <w:rStyle w:val="InternetLink"/>
                  <w:rFonts w:ascii="Times New Roman;serif" w:hAnsi="Times New Roman;serif"/>
                  <w:b w:val="false"/>
                  <w:color w:val="0000FF"/>
                  <w:sz w:val="20"/>
                  <w:u w:val="single"/>
                </w:rPr>
                <w:t>Condensed Consolidated Statements of Comprehensive Income for the Three and Nine Months Ended September 30, 2025 and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28">
              <w:r>
                <w:rPr>
                  <w:rStyle w:val="InternetLink"/>
                  <w:rFonts w:ascii="Times New Roman;serif" w:hAnsi="Times New Roman;serif"/>
                  <w:b w:val="false"/>
                  <w:color w:val="0000FF"/>
                  <w:sz w:val="20"/>
                  <w:u w:val="singl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31">
              <w:r>
                <w:rPr>
                  <w:rStyle w:val="InternetLink"/>
                  <w:rFonts w:ascii="Times New Roman;serif" w:hAnsi="Times New Roman;serif"/>
                  <w:b w:val="false"/>
                  <w:color w:val="0000FF"/>
                  <w:sz w:val="20"/>
                  <w:u w:val="single"/>
                </w:rPr>
                <w:t>Condensed Consolidated Statements of Changes in Stockholders’ Equity for the Three and Nine Months Ended September 30, 2025 and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31">
              <w:r>
                <w:rPr>
                  <w:rStyle w:val="InternetLink"/>
                  <w:rFonts w:ascii="Times New Roman;serif" w:hAnsi="Times New Roman;serif"/>
                  <w:b w:val="false"/>
                  <w:color w:val="0000FF"/>
                  <w:sz w:val="20"/>
                  <w:u w:val="singl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34">
              <w:r>
                <w:rPr>
                  <w:rStyle w:val="InternetLink"/>
                  <w:rFonts w:ascii="Times New Roman;serif" w:hAnsi="Times New Roman;serif"/>
                  <w:b w:val="false"/>
                  <w:color w:val="0000FF"/>
                  <w:sz w:val="20"/>
                  <w:u w:val="single"/>
                </w:rPr>
                <w:t>Condensed Consolidated Statements of Cash Flows for the Nine Months Ended September 30, 2025 and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34">
              <w:r>
                <w:rPr>
                  <w:rStyle w:val="InternetLink"/>
                  <w:rFonts w:ascii="Times New Roman;serif" w:hAnsi="Times New Roman;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37">
              <w:r>
                <w:rPr>
                  <w:rStyle w:val="InternetLink"/>
                  <w:rFonts w:ascii="Times New Roman;serif" w:hAnsi="Times New Roman;serif"/>
                  <w:b w:val="false"/>
                  <w:color w:val="0000FF"/>
                  <w:sz w:val="20"/>
                  <w:u w:val="single"/>
                </w:rPr>
                <w:t>Notes to Condensed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37">
              <w:r>
                <w:rPr>
                  <w:rStyle w:val="InternetLink"/>
                  <w:rFonts w:ascii="Times New Roman;serif" w:hAnsi="Times New Roman;serif"/>
                  <w:b w:val="false"/>
                  <w:color w:val="0000FF"/>
                  <w:sz w:val="20"/>
                  <w:u w:val="single"/>
                </w:rPr>
                <w:t>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0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03">
              <w:r>
                <w:rPr>
                  <w:rStyle w:val="InternetLink"/>
                  <w:rFonts w:ascii="Times New Roman;serif" w:hAnsi="Times New Roman;serif"/>
                  <w:b w:val="false"/>
                  <w:color w:val="0000FF"/>
                  <w:sz w:val="20"/>
                  <w:u w:val="single"/>
                </w:rPr>
                <w:t>28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33">
              <w:r>
                <w:rPr>
                  <w:rStyle w:val="InternetLink"/>
                  <w:rFonts w:ascii="Times New Roman;serif" w:hAnsi="Times New Roman;serif"/>
                  <w:b w:val="false"/>
                  <w:color w:val="0000FF"/>
                  <w:sz w:val="20"/>
                  <w:u w:val="single"/>
                </w:rPr>
                <w:t>ITEM 3. 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33">
              <w:r>
                <w:rPr>
                  <w:rStyle w:val="InternetLink"/>
                  <w:rFonts w:ascii="Times New Roman;serif" w:hAnsi="Times New Roman;serif"/>
                  <w:b w:val="false"/>
                  <w:color w:val="0000FF"/>
                  <w:sz w:val="20"/>
                  <w:u w:val="single"/>
                </w:rPr>
                <w:t>41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36">
              <w:r>
                <w:rPr>
                  <w:rStyle w:val="InternetLink"/>
                  <w:rFonts w:ascii="Times New Roman;serif" w:hAnsi="Times New Roman;serif"/>
                  <w:b w:val="false"/>
                  <w:color w:val="0000FF"/>
                  <w:sz w:val="20"/>
                  <w:u w:val="single"/>
                </w:rPr>
                <w:t>ITEM 4. 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36">
              <w:r>
                <w:rPr>
                  <w:rStyle w:val="InternetLink"/>
                  <w:rFonts w:ascii="Times New Roman;serif" w:hAnsi="Times New Roman;serif"/>
                  <w:b w:val="false"/>
                  <w:color w:val="0000FF"/>
                  <w:sz w:val="20"/>
                  <w:u w:val="single"/>
                </w:rPr>
                <w:t>42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II. OTHER INFORMATION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42">
              <w:r>
                <w:rPr>
                  <w:rStyle w:val="InternetLink"/>
                  <w:rFonts w:ascii="Times New Roman;serif" w:hAnsi="Times New Roman;serif"/>
                  <w:b w:val="false"/>
                  <w:color w:val="0000FF"/>
                  <w:sz w:val="20"/>
                  <w:u w:val="single"/>
                </w:rPr>
                <w:t>ITEM 1.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42">
              <w:r>
                <w:rPr>
                  <w:rStyle w:val="InternetLink"/>
                  <w:rFonts w:ascii="Times New Roman;serif" w:hAnsi="Times New Roman;serif"/>
                  <w:b w:val="false"/>
                  <w:color w:val="0000FF"/>
                  <w:sz w:val="20"/>
                  <w:u w:val="single"/>
                </w:rPr>
                <w:t>43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45">
              <w:r>
                <w:rPr>
                  <w:rStyle w:val="InternetLink"/>
                  <w:rFonts w:ascii="Times New Roman;serif" w:hAnsi="Times New Roman;serif"/>
                  <w:b w:val="false"/>
                  <w:color w:val="0000FF"/>
                  <w:sz w:val="20"/>
                  <w:u w:val="single"/>
                </w:rPr>
                <w:t>ITEM 1A. 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45">
              <w:r>
                <w:rPr>
                  <w:rStyle w:val="InternetLink"/>
                  <w:rFonts w:ascii="Times New Roman;serif" w:hAnsi="Times New Roman;serif"/>
                  <w:b w:val="false"/>
                  <w:color w:val="0000FF"/>
                  <w:sz w:val="20"/>
                  <w:u w:val="single"/>
                </w:rPr>
                <w:t>43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48">
              <w:r>
                <w:rPr>
                  <w:rStyle w:val="InternetLink"/>
                  <w:rFonts w:ascii="Times New Roman;serif" w:hAnsi="Times New Roman;serif"/>
                  <w:b w:val="false"/>
                  <w:color w:val="0000FF"/>
                  <w:sz w:val="20"/>
                  <w:u w:val="single"/>
                </w:rPr>
                <w:t>ITEM 2. 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48">
              <w:r>
                <w:rPr>
                  <w:rStyle w:val="InternetLink"/>
                  <w:rFonts w:ascii="Times New Roman;serif" w:hAnsi="Times New Roman;serif"/>
                  <w:b w:val="false"/>
                  <w:color w:val="0000FF"/>
                  <w:sz w:val="20"/>
                  <w:u w:val="single"/>
                </w:rPr>
                <w:t>43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51">
              <w:r>
                <w:rPr>
                  <w:rStyle w:val="InternetLink"/>
                  <w:rFonts w:ascii="Times New Roman;serif" w:hAnsi="Times New Roman;serif"/>
                  <w:b w:val="false"/>
                  <w:color w:val="0000FF"/>
                  <w:sz w:val="20"/>
                  <w:u w:val="single"/>
                </w:rPr>
                <w:t>ITEM 5.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51">
              <w:r>
                <w:rPr>
                  <w:rStyle w:val="InternetLink"/>
                  <w:rFonts w:ascii="Times New Roman;serif" w:hAnsi="Times New Roman;serif"/>
                  <w:b w:val="false"/>
                  <w:color w:val="0000FF"/>
                  <w:sz w:val="20"/>
                  <w:u w:val="single"/>
                </w:rPr>
                <w:t>43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e5a17f3924c65ac6a8b5e9f497c9a_154">
              <w:r>
                <w:rPr>
                  <w:rStyle w:val="InternetLink"/>
                  <w:rFonts w:ascii="Times New Roman;serif" w:hAnsi="Times New Roman;serif"/>
                  <w:b w:val="false"/>
                  <w:color w:val="0000FF"/>
                  <w:sz w:val="20"/>
                  <w:u w:val="single"/>
                </w:rPr>
                <w:t>ITEM 6. 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e5a17f3924c65ac6a8b5e9f497c9a_154">
              <w:r>
                <w:rPr>
                  <w:rStyle w:val="InternetLink"/>
                  <w:rFonts w:ascii="Times New Roman;serif" w:hAnsi="Times New Roman;serif"/>
                  <w:b w:val="false"/>
                  <w:color w:val="0000FF"/>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2670"/>
        <w:gridCol w:w="2282"/>
        <w:gridCol w:w="2282"/>
        <w:gridCol w:w="211"/>
        <w:gridCol w:w="981"/>
        <w:gridCol w:w="109"/>
        <w:gridCol w:w="109"/>
        <w:gridCol w:w="109"/>
        <w:gridCol w:w="109"/>
        <w:gridCol w:w="211"/>
        <w:gridCol w:w="976"/>
        <w:gridCol w:w="156"/>
      </w:tblGrid>
      <w:tr>
        <w:trPr/>
        <w:tc>
          <w:tcPr>
            <w:tcW w:w="267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Fees receivable, net of allowances of $5,000 and $8,500, respectively</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8,534,671 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3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net of deferred financing fees </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Stockholders’ Equity </w:t>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none issued or outstanding</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$0.0005 par value, 250,000,000 shares authorized; 163,602,067 shares issued for both periods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90,689,017 and 86,222,214 common shares, respectively</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Stockholders’ Equity </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8,534,671 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9915" w:type="dxa"/>
        <w:jc w:val="center"/>
        <w:tblInd w:w="0" w:type="dxa"/>
        <w:tblLayout w:type="fixed"/>
        <w:tblCellMar>
          <w:top w:w="28" w:type="dxa"/>
          <w:left w:w="28" w:type="dxa"/>
          <w:bottom w:w="28" w:type="dxa"/>
          <w:right w:w="28" w:type="dxa"/>
        </w:tblCellMar>
      </w:tblPr>
      <w:tblGrid>
        <w:gridCol w:w="1342"/>
        <w:gridCol w:w="1174"/>
        <w:gridCol w:w="118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3,713,800 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GARTNER, INC</w:t>
      </w:r>
      <w:r>
        <w:rPr>
          <w:rFonts w:ascii="Times New Roman;serif" w:hAnsi="Times New Roman;serif"/>
          <w:b w:val="false"/>
          <w:color w:val="000000"/>
          <w:sz w:val="20"/>
        </w:rPr>
        <w:t xml:space="preserve">. </w:t>
      </w:r>
      <w:r>
        <w:rPr>
          <w:rFonts w:ascii="Times New Roman;serif" w:hAnsi="Times New Roman;serif"/>
          <w:b/>
          <w:color w:val="000000"/>
          <w:sz w:val="20"/>
        </w:rPr>
        <w:t>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065" w:type="dxa"/>
        <w:jc w:val="center"/>
        <w:tblInd w:w="0" w:type="dxa"/>
        <w:tblLayout w:type="fixed"/>
        <w:tblCellMar>
          <w:top w:w="28" w:type="dxa"/>
          <w:left w:w="28" w:type="dxa"/>
          <w:bottom w:w="28" w:type="dxa"/>
          <w:right w:w="28" w:type="dxa"/>
        </w:tblCellMar>
      </w:tblPr>
      <w:tblGrid>
        <w:gridCol w:w="1651"/>
        <w:gridCol w:w="1447"/>
        <w:gridCol w:w="146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net change in deferred gain or loss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plans – net change in deferred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left"/>
        <w:rPr/>
      </w:pPr>
      <w:r>
        <w:rPr/>
      </w:r>
    </w:p>
    <w:p>
      <w:pPr>
        <w:pStyle w:val="TextBody"/>
        <w:bidi w:val="0"/>
        <w:spacing w:before="0" w:after="0"/>
        <w:jc w:val="both"/>
        <w:rPr/>
      </w:pPr>
      <w:r>
        <w:rPr/>
      </w:r>
    </w:p>
    <w:tbl>
      <w:tblPr>
        <w:tblW w:w="1054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2" w:type="dxa"/>
            <w:gridSpan w:val="3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Three and Nine Months Ended September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tbl>
      <w:tblPr>
        <w:tblW w:w="1054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and Nine Months Ended September 30, 2024</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9384" w:type="dxa"/>
        <w:jc w:val="center"/>
        <w:tblInd w:w="0" w:type="dxa"/>
        <w:tblLayout w:type="fixed"/>
        <w:tblCellMar>
          <w:top w:w="28" w:type="dxa"/>
          <w:left w:w="28" w:type="dxa"/>
          <w:bottom w:w="28" w:type="dxa"/>
          <w:right w:w="28" w:type="dxa"/>
        </w:tblCellMar>
      </w:tblPr>
      <w:tblGrid>
        <w:gridCol w:w="2325"/>
        <w:gridCol w:w="2040"/>
        <w:gridCol w:w="2055"/>
        <w:gridCol w:w="211"/>
        <w:gridCol w:w="976"/>
        <w:gridCol w:w="109"/>
        <w:gridCol w:w="109"/>
        <w:gridCol w:w="109"/>
        <w:gridCol w:w="109"/>
        <w:gridCol w:w="211"/>
        <w:gridCol w:w="976"/>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6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6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lease related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 of deferred financing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de-designated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divestitures: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equipment and 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business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beginning of period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 — Business and Basis of Presentation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Business.</w:t>
      </w:r>
      <w:r>
        <w:rPr>
          <w:color w:val="000000"/>
        </w:rPr>
        <w:t xml:space="preserve"> </w:t>
      </w:r>
      <w:r>
        <w:rPr>
          <w:rFonts w:ascii="Times New Roman;serif" w:hAnsi="Times New Roman;serif"/>
          <w:b w:val="false"/>
          <w:color w:val="000000"/>
          <w:sz w:val="20"/>
          <w:shd w:fill="FFFFFF" w:val="clear"/>
        </w:rPr>
        <w:t>Gartner, Inc. (NYSE: IT)</w:t>
      </w:r>
      <w:r>
        <w:rPr>
          <w:color w:val="000000"/>
        </w:rPr>
        <w:t xml:space="preserve"> </w:t>
      </w:r>
      <w:r>
        <w:rPr>
          <w:rFonts w:ascii="Times New Roman;serif" w:hAnsi="Times New Roman;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Segments</w:t>
      </w:r>
      <w:r>
        <w:rPr>
          <w:rFonts w:ascii="Times New Roman;serif" w:hAnsi="Times New Roman;serif"/>
          <w:b w:val="false"/>
          <w:color w:val="000000"/>
          <w:sz w:val="20"/>
        </w:rPr>
        <w:t xml:space="preserve">. Gartner delivers its products and services globally through three reportable segments: Business and Technology Insights (or “Insights”), Conferences and Consulting. Revenues and other financial information for the Company’s segments are discussed in Note 6 — Segment Information. In the second quarter of 2025, the Company renamed its segment previously referred to as Research to Business and Technology Insights to reflect the nature of the value the Company provides to clients. In the third quarter of 2025, the Company changed the structure of its internal organization and concluded that Gartner Digital Markets (or “Digital Markets”) is an operating segment but does not meet the criteria of a reportable segment. Accordingly, Digital Markets results are now included in “Other” where segment information is provided. Digital Markets was previously included in the Company's Insights segment. Prior periods have been recast to conform to current period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Basis of presentation</w:t>
      </w:r>
      <w:r>
        <w:rPr>
          <w:rFonts w:ascii="Times New Roman;serif" w:hAnsi="Times New Roman;serif"/>
          <w:b w:val="false"/>
          <w:color w:val="000000"/>
          <w:sz w:val="20"/>
        </w:rPr>
        <w:t>. The accompanying interim Condensed Consolidated Financial Statements have been prepared in accordance with generally accepted 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and nine months ended September 30, 2025 may not be indicative of the results of operations for the remainder of 2025 or beyond. When used in these notes, the terms “Gartner,” the “Company,” “we,” “us,” or “our” refer to Gartner, Inc. and its consolidated subsidiaries.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Principles of consolidation</w:t>
      </w:r>
      <w:r>
        <w:rPr>
          <w:rFonts w:ascii="Times New Roman;serif" w:hAnsi="Times New Roman;serif"/>
          <w:b w:val="false"/>
          <w:color w:val="000000"/>
          <w:sz w:val="20"/>
        </w:rPr>
        <w:t>. The accompanying interim Condensed Consolidated Financial Statements include the accounts of the Company and its wholly-owned subsidiaries. All intercompany transactions and balances have been eliminated.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Use of estimates</w:t>
      </w:r>
      <w:r>
        <w:rPr>
          <w:rFonts w:ascii="Times New Roman;serif" w:hAnsi="Times New Roman;serif"/>
          <w:b w:val="false"/>
          <w:color w:val="000000"/>
          <w:sz w:val="20"/>
        </w:rPr>
        <w:t>. The preparation of the accompanying interim Condensed Consolidated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Cash and cash equivalents and restricted cash.</w:t>
      </w:r>
      <w:r>
        <w:rPr>
          <w:color w:val="000000"/>
        </w:rPr>
        <w:t xml:space="preserve"> </w:t>
      </w:r>
      <w:r>
        <w:rPr>
          <w:rFonts w:ascii="Times New Roman;serif" w:hAnsi="Times New Roman;serif"/>
          <w:b w:val="false"/>
          <w:color w:val="000000"/>
          <w:sz w:val="20"/>
        </w:rPr>
        <w:t>During the nine months ended September 30, 2024, the Company paid $0.6 million of restricted cash for deferred consideration related to a 2022 acquisition.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Revenue recognition. </w:t>
      </w:r>
      <w:r>
        <w:rPr>
          <w:rFonts w:ascii="Times New Roman;serif" w:hAnsi="Times New Roman;serif"/>
          <w:b w:val="false"/>
          <w:color w:val="000000"/>
          <w:sz w:val="20"/>
        </w:rPr>
        <w:t xml:space="preserve">Revenue is recognized in accordance with the requirements of FASB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3 — Revenue and Related Matters provides additional information regarding the Company’s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Gain on event cancellation insurance claims.</w:t>
      </w:r>
      <w:r>
        <w:rPr>
          <w:color w:val="000000"/>
        </w:rPr>
        <w:t xml:space="preserve"> </w:t>
      </w:r>
      <w:r>
        <w:rPr>
          <w:rFonts w:ascii="Times New Roman;serif" w:hAnsi="Times New Roman;serif"/>
          <w:b w:val="false"/>
          <w:color w:val="000000"/>
          <w:sz w:val="20"/>
        </w:rPr>
        <w:t>On July 25, 2024 the Company entered into a settlement agreement to resolve litigation concerning the Company's event cancellation insurance for 2020 and 2021. The settlement resolved all remaining 2020 and 2021 event cancellation insurance claims for $300.0 million, which the Company received in August 2024. The Company does not record any gain on insurance claims in excess of expenses incurred until the receipt of the insurance proceeds is deemed to be realizable.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Adoption of new accounting standard</w:t>
      </w:r>
      <w:r>
        <w:rPr>
          <w:rFonts w:ascii="Times New Roman;serif" w:hAnsi="Times New Roman;serif"/>
          <w:b w:val="false"/>
          <w:color w:val="000000"/>
          <w:sz w:val="20"/>
        </w:rPr>
        <w:t>. The Company adopted the accounting standard described below during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 xml:space="preserve">Segment Reporting: Improvements in Reportable Segment Disclosures </w:t>
      </w:r>
      <w:r>
        <w:rPr>
          <w:rFonts w:ascii="Times New Roman;serif" w:hAnsi="Times New Roman;serif"/>
          <w:b w:val="false"/>
          <w:color w:val="000000"/>
          <w:sz w:val="20"/>
        </w:rPr>
        <w:t>(“ASU 2023-07”). The amendments in the ASU are expected to improve disclosures about a public entity’s reportable segments and addresses requests from investors and other allocators of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are required to report segment information in accordance with the new guidance starting in annual periods beginning after December 15, 2023, and interim periods within fiscal years beginning after December 15, 2024. The Company adopted ASU 2023-07 effective with the 2024 10-K and the adoption only impacted its disclosures with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Accounting standards issued but not yet adopted. </w:t>
      </w:r>
      <w:r>
        <w:rPr>
          <w:rFonts w:ascii="Times New Roman;serif" w:hAnsi="Times New Roman;serif"/>
          <w:b w:val="false"/>
          <w:color w:val="000000"/>
          <w:sz w:val="20"/>
        </w:rPr>
        <w:t>The FASB has issued accounting standards that have not yet become effective as of September 30, 2025 and may impact the Company’s Consolidated Financial Statements or related disclosures in future periods. The standards and their potential impacts are discussed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(“ASU 2023-09”). The amendments in 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Statement</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 Expense Disaggregation Disclosures </w:t>
      </w:r>
      <w:r>
        <w:rPr>
          <w:rFonts w:ascii="Times New Roman;serif" w:hAnsi="Times New Roman;serif"/>
          <w:b w:val="false"/>
          <w:color w:val="000000"/>
          <w:sz w:val="20"/>
        </w:rPr>
        <w:t>(“ASU 2024-03”). The amendments in this ASU are expected to improve the disclosures about a public business entity’s expenses and address 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periods with fiscal years beginning after December 15, 2026, and interim periods in fiscal years beginning after December 15, 2027. The Company expects this ASU to only impact its disclosures with no impacts to the Company's results of operations, cash flows, or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Credit Losses</w:t>
      </w:r>
      <w:r>
        <w:rPr>
          <w:color w:val="000000"/>
        </w:rPr>
        <w:t xml:space="preserve">— </w:t>
      </w:r>
      <w:r>
        <w:rPr>
          <w:rFonts w:ascii="Times New Roman;serif" w:hAnsi="Times New Roman;serif"/>
          <w:b w:val="false"/>
          <w:color w:val="000000"/>
          <w:sz w:val="20"/>
        </w:rPr>
        <w:t xml:space="preserve">In July 2025, the FASB issued </w:t>
      </w:r>
      <w:r>
        <w:rPr>
          <w:rFonts w:ascii="Times New Roman;serif" w:hAnsi="Times New Roman;serif"/>
          <w:b w:val="false"/>
          <w:i/>
          <w:color w:val="000000"/>
          <w:sz w:val="20"/>
        </w:rPr>
        <w:t>ASU 2025-05, Financial Instruments – Credit Losses (Topic 326)</w:t>
      </w:r>
      <w:r>
        <w:rPr>
          <w:rFonts w:ascii="Times New Roman;serif" w:hAnsi="Times New Roman;serif"/>
          <w:b w:val="false"/>
          <w:color w:val="000000"/>
          <w:sz w:val="20"/>
        </w:rPr>
        <w:t>. The amendments in this ASU introduce a practical expedient for all entities related to applying Subtopic 326-20 to current accounts receivable and current contact assets arising from transactions accounted for under Topic 606. In developing reasonable and supportable forecasts as part of estimating expected credit losses, all entities may elect a practical expedient that assumes that current conditions as of the balance sheet date do not change for the remaining life of the asset. The amendments are expected to provide decision-useful information to investors and other financial statement users while reducing the time and effort necessary to analyze and estimate credit losses for current accounts receivable and current contract assets.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expects this ASU will not have a material impact to the Company's results of operations, cash flows, or financial condition.</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2 —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most recent annual impairment test of goodwill was a quantitative analysis conducted during the quarter ended September 30, 2025 that indicated an impairment of the Company’s Digital Markets reporting unit. During the three months ended September 30, 2025, ongoing weakness in the market as well as changes in the Company’s internal organization structure prompted a revision to the long-term earnings forecast for the Digital Markets business. During the three months ended September 30, 2025, a goodwill impairment loss of $150.0 million was recognized in the Digital Markets reporting unit. The fair value of that reporting unit was estimated using a combination of the expected present value of future cash flows and market approach.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changes to the carrying amount of goodwill by segment during the nine months ended September 30, 2025 (in thousands).</w:t>
      </w:r>
    </w:p>
    <w:tbl>
      <w:tblPr>
        <w:tblW w:w="10205" w:type="dxa"/>
        <w:jc w:val="left"/>
        <w:tblInd w:w="0" w:type="dxa"/>
        <w:tblLayout w:type="fixed"/>
        <w:tblCellMar>
          <w:top w:w="28" w:type="dxa"/>
          <w:left w:w="28" w:type="dxa"/>
          <w:bottom w:w="28" w:type="dxa"/>
          <w:right w:w="28" w:type="dxa"/>
        </w:tblCellMar>
      </w:tblPr>
      <w:tblGrid>
        <w:gridCol w:w="1052"/>
        <w:gridCol w:w="899"/>
        <w:gridCol w:w="906"/>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894"/>
        <w:gridCol w:w="109"/>
        <w:gridCol w:w="109"/>
        <w:gridCol w:w="109"/>
        <w:gridCol w:w="109"/>
        <w:gridCol w:w="211"/>
        <w:gridCol w:w="976"/>
        <w:gridCol w:w="156"/>
      </w:tblGrid>
      <w:tr>
        <w:trPr/>
        <w:tc>
          <w:tcPr>
            <w:tcW w:w="10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impact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 (1)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2,789,923 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recognized an impairment loss of $150.0 million during the three and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reconciliations of the carrying amounts of the Company’s finite-lived intangible assets as of the dates indicated (in thousands).</w:t>
      </w:r>
    </w:p>
    <w:tbl>
      <w:tblPr>
        <w:tblW w:w="7719" w:type="dxa"/>
        <w:jc w:val="left"/>
        <w:tblInd w:w="0" w:type="dxa"/>
        <w:tblLayout w:type="fixed"/>
        <w:tblCellMar>
          <w:top w:w="28" w:type="dxa"/>
          <w:left w:w="28" w:type="dxa"/>
          <w:bottom w:w="28" w:type="dxa"/>
          <w:right w:w="28" w:type="dxa"/>
        </w:tblCellMar>
      </w:tblPr>
      <w:tblGrid>
        <w:gridCol w:w="1109"/>
        <w:gridCol w:w="974"/>
        <w:gridCol w:w="977"/>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fully amortized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impact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1"/>
        <w:gridCol w:w="976"/>
        <w:gridCol w:w="109"/>
        <w:gridCol w:w="109"/>
        <w:gridCol w:w="109"/>
        <w:gridCol w:w="109"/>
        <w:gridCol w:w="109"/>
        <w:gridCol w:w="109"/>
        <w:gridCol w:w="211"/>
        <w:gridCol w:w="721"/>
        <w:gridCol w:w="109"/>
        <w:gridCol w:w="109"/>
        <w:gridCol w:w="109"/>
        <w:gridCol w:w="109"/>
        <w:gridCol w:w="211"/>
        <w:gridCol w:w="97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Finite-lived intangible assets are amortized using the straight-line method over the following periods: Customer relationships—6 to 13 years and Other—11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finite-lived intangible assets was $20.2 million and $22.2 million during the three months ended September 30, 2025 and 2024, and $62.3 million and $68.1 million during the nine months ended September 30, 2025 and 2024, respectively. The estimated future amortization expense by year for finite-lived intangible assets is presented in the table below (in thousands).</w:t>
      </w:r>
    </w:p>
    <w:p>
      <w:pPr>
        <w:pStyle w:val="TextBody"/>
        <w:bidi w:val="0"/>
        <w:spacing w:before="0" w:after="0"/>
        <w:jc w:val="both"/>
        <w:rPr/>
      </w:pPr>
      <w:r>
        <w:rPr/>
      </w:r>
    </w:p>
    <w:tbl>
      <w:tblPr>
        <w:tblW w:w="3816" w:type="dxa"/>
        <w:jc w:val="left"/>
        <w:tblInd w:w="0" w:type="dxa"/>
        <w:tblLayout w:type="fixed"/>
        <w:tblCellMar>
          <w:top w:w="28" w:type="dxa"/>
          <w:left w:w="28" w:type="dxa"/>
          <w:bottom w:w="28" w:type="dxa"/>
          <w:right w:w="28" w:type="dxa"/>
        </w:tblCellMar>
      </w:tblPr>
      <w:tblGrid>
        <w:gridCol w:w="950"/>
        <w:gridCol w:w="835"/>
        <w:gridCol w:w="840"/>
        <w:gridCol w:w="211"/>
        <w:gridCol w:w="82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three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Revenue and Related Matters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Disaggregated Revenue</w:t>
      </w:r>
      <w:r>
        <w:rPr>
          <w:color w:val="000000"/>
        </w:rPr>
        <w:t xml:space="preserve"> — </w:t>
      </w:r>
      <w:r>
        <w:rPr>
          <w:rFonts w:ascii="Times New Roman;serif" w:hAnsi="Times New Roman;serif"/>
          <w:b w:val="false"/>
          <w:color w:val="000000"/>
          <w:sz w:val="20"/>
        </w:rPr>
        <w:t xml:space="preserve">The Company’s disaggregated revenue by reportable segment is presented in the tables below for the periods indicated (in thousands).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By Primary Geographic Market</w:t>
      </w:r>
      <w:r>
        <w:rPr>
          <w:color w:val="000000"/>
          <w:u w:val="single"/>
        </w:rPr>
        <w:t xml:space="preserve"> </w:t>
      </w:r>
      <w:r>
        <w:rPr>
          <w:rFonts w:ascii="Times New Roman;serif" w:hAnsi="Times New Roman;serif"/>
          <w:b w:val="false"/>
          <w:color w:val="000000"/>
          <w:sz w:val="20"/>
          <w:u w:val="single"/>
        </w:rPr>
        <w:t>(1)</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tbl>
      <w:tblPr>
        <w:tblW w:w="9674" w:type="dxa"/>
        <w:jc w:val="left"/>
        <w:tblInd w:w="0" w:type="dxa"/>
        <w:tblLayout w:type="fixed"/>
        <w:tblCellMar>
          <w:top w:w="28" w:type="dxa"/>
          <w:left w:w="28" w:type="dxa"/>
          <w:bottom w:w="28" w:type="dxa"/>
          <w:right w:w="28" w:type="dxa"/>
        </w:tblCellMar>
      </w:tblPr>
      <w:tblGrid>
        <w:gridCol w:w="1304"/>
        <w:gridCol w:w="1146"/>
        <w:gridCol w:w="1149"/>
        <w:gridCol w:w="211"/>
        <w:gridCol w:w="976"/>
        <w:gridCol w:w="109"/>
        <w:gridCol w:w="211"/>
        <w:gridCol w:w="826"/>
        <w:gridCol w:w="109"/>
        <w:gridCol w:w="211"/>
        <w:gridCol w:w="826"/>
        <w:gridCol w:w="109"/>
        <w:gridCol w:w="211"/>
        <w:gridCol w:w="826"/>
        <w:gridCol w:w="109"/>
        <w:gridCol w:w="211"/>
        <w:gridCol w:w="97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and Canada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(1)Revenue is reported based on where the sale is fulfilled.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 is generated primarily through direct sales to clients by domestic and international sales forces and a network of independent international sales agents.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By Timing of Revenue Recognition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tbl>
      <w:tblPr>
        <w:tblW w:w="9564" w:type="dxa"/>
        <w:jc w:val="left"/>
        <w:tblInd w:w="0" w:type="dxa"/>
        <w:tblLayout w:type="fixed"/>
        <w:tblCellMar>
          <w:top w:w="28" w:type="dxa"/>
          <w:left w:w="28" w:type="dxa"/>
          <w:bottom w:w="28" w:type="dxa"/>
          <w:right w:w="28" w:type="dxa"/>
        </w:tblCellMar>
      </w:tblPr>
      <w:tblGrid>
        <w:gridCol w:w="1304"/>
        <w:gridCol w:w="1146"/>
        <w:gridCol w:w="1149"/>
        <w:gridCol w:w="211"/>
        <w:gridCol w:w="976"/>
        <w:gridCol w:w="109"/>
        <w:gridCol w:w="231"/>
        <w:gridCol w:w="790"/>
        <w:gridCol w:w="120"/>
        <w:gridCol w:w="211"/>
        <w:gridCol w:w="826"/>
        <w:gridCol w:w="109"/>
        <w:gridCol w:w="211"/>
        <w:gridCol w:w="721"/>
        <w:gridCol w:w="109"/>
        <w:gridCol w:w="211"/>
        <w:gridCol w:w="97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55" w:type="dxa"/>
        <w:jc w:val="left"/>
        <w:tblInd w:w="0" w:type="dxa"/>
        <w:tblLayout w:type="fixed"/>
        <w:tblCellMar>
          <w:top w:w="28" w:type="dxa"/>
          <w:left w:w="28" w:type="dxa"/>
          <w:bottom w:w="28" w:type="dxa"/>
          <w:right w:w="28" w:type="dxa"/>
        </w:tblCellMar>
      </w:tblPr>
      <w:tblGrid>
        <w:gridCol w:w="1261"/>
        <w:gridCol w:w="1108"/>
        <w:gridCol w:w="1111"/>
        <w:gridCol w:w="211"/>
        <w:gridCol w:w="976"/>
        <w:gridCol w:w="109"/>
        <w:gridCol w:w="211"/>
        <w:gridCol w:w="826"/>
        <w:gridCol w:w="109"/>
        <w:gridCol w:w="211"/>
        <w:gridCol w:w="826"/>
        <w:gridCol w:w="109"/>
        <w:gridCol w:w="211"/>
        <w:gridCol w:w="826"/>
        <w:gridCol w:w="109"/>
        <w:gridCol w:w="211"/>
        <w:gridCol w:w="97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(1)Insights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revenues in this category are recognized in connection with performance obligations that are satisfied at the point in time that the contractual deliverables are provided to the customer.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Performance Obligations</w:t>
      </w:r>
      <w:r>
        <w:rPr>
          <w:color w:val="000000"/>
        </w:rPr>
        <w:t xml:space="preserve"> — </w:t>
      </w:r>
      <w:r>
        <w:rPr>
          <w:rFonts w:ascii="Times New Roman;serif" w:hAnsi="Times New Roman;serif"/>
          <w:b w:val="false"/>
          <w:color w:val="000000"/>
          <w:sz w:val="20"/>
        </w:rPr>
        <w:t>For customer contracts that are greater than one year in duration, the aggregate amount of the transaction price allocated to performance obligations that were unsatisfied (or partially unsatisfied) as of September 30, 2025 was approximately $6.1 billion. The Company expects to recognize $1.1 billion, $3.3 billion and $1.7 billion of this revenue (most of which pertains to Insights) during the remainder of 2025, the year ending December 31, 2026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Insights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Customer Contract Assets and Liabilities</w:t>
      </w:r>
      <w:r>
        <w:rPr>
          <w:color w:val="000000"/>
        </w:rPr>
        <w:t xml:space="preserve"> — </w:t>
      </w:r>
      <w:r>
        <w:rPr>
          <w:rFonts w:ascii="Times New Roman;serif" w:hAnsi="Times New Roman;serif"/>
          <w:b w:val="false"/>
          <w:color w:val="000000"/>
          <w:sz w:val="20"/>
        </w:rPr>
        <w:t>The timing of the recognition of revenue and the amount and timing of the Company’s billings and cash 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tbl>
      <w:tblPr>
        <w:tblW w:w="8911" w:type="dxa"/>
        <w:jc w:val="center"/>
        <w:tblInd w:w="0" w:type="dxa"/>
        <w:tblLayout w:type="fixed"/>
        <w:tblCellMar>
          <w:top w:w="28" w:type="dxa"/>
          <w:left w:w="28" w:type="dxa"/>
          <w:bottom w:w="28" w:type="dxa"/>
          <w:right w:w="28" w:type="dxa"/>
        </w:tblCellMar>
      </w:tblPr>
      <w:tblGrid>
        <w:gridCol w:w="2143"/>
        <w:gridCol w:w="1888"/>
        <w:gridCol w:w="1908"/>
        <w:gridCol w:w="212"/>
        <w:gridCol w:w="983"/>
        <w:gridCol w:w="109"/>
        <w:gridCol w:w="109"/>
        <w:gridCol w:w="109"/>
        <w:gridCol w:w="109"/>
        <w:gridCol w:w="211"/>
        <w:gridCol w:w="976"/>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gross (1)</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recorded in Prepaid expenses and other current assets (2)</w:t>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Contract liabilities:</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(current liability) (3)</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revenues recorded in Other liabilities (3)</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2,790,316 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(1)Fees receivable represent an unconditional right to payment from the Company’s customers and include both billed and unbilled amounts.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(2)Contract assets represent recognized revenue for which the Company does not have an unconditional right to payment as of the balance sheet date because the project may be subject to a progress billing milestone or some other billing restrictions.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(3)Deferred revenues represent amounts (i) for which the Company has received an upfront customer payment or (ii) that pertain to recognized fees receivable. Both situations occur before the completion of the Company’s performance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recognized revenue of $1.1 billion during both the three months ended September 30, 2025 and 2024, and $2.2 billion and $2.1 billion during the nine months ended September 30, 2025 and 2024, respectively, that was attributable to deferred revenues that were recorded at the beginning of each such period. Those amounts primarily consisted of Insights revenues that were recognized ratably as control of the goods or services passed to the customer during the reporting periods. During each of the </w:t>
      </w:r>
      <w:r>
        <w:rPr>
          <w:rFonts w:ascii="Times New Roman;serif" w:hAnsi="Times New Roman;serif"/>
          <w:b w:val="false"/>
          <w:color w:val="000000"/>
          <w:sz w:val="20"/>
          <w:shd w:fill="FFFFFF" w:val="clear"/>
        </w:rPr>
        <w:t>three and</w:t>
      </w:r>
      <w:r>
        <w:rPr>
          <w:color w:val="000000"/>
        </w:rPr>
        <w:t xml:space="preserve"> </w:t>
      </w:r>
      <w:r>
        <w:rPr>
          <w:rFonts w:ascii="Times New Roman;serif" w:hAnsi="Times New Roman;serif"/>
          <w:b w:val="false"/>
          <w:color w:val="000000"/>
          <w:sz w:val="20"/>
        </w:rPr>
        <w:t xml:space="preserve">nine months ended September 30, 2025 and 2024, the Company did not record any material impairments related to its contract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4 — Computation of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calculation of basic and diluted income per share for the periods indicated (in thousands, except per share data).</w:t>
      </w:r>
    </w:p>
    <w:tbl>
      <w:tblPr>
        <w:tblW w:w="10205" w:type="dxa"/>
        <w:jc w:val="left"/>
        <w:tblInd w:w="0" w:type="dxa"/>
        <w:tblLayout w:type="fixed"/>
        <w:tblCellMar>
          <w:top w:w="28" w:type="dxa"/>
          <w:left w:w="28" w:type="dxa"/>
          <w:bottom w:w="28" w:type="dxa"/>
          <w:right w:w="28" w:type="dxa"/>
        </w:tblCellMar>
      </w:tblPr>
      <w:tblGrid>
        <w:gridCol w:w="1648"/>
        <w:gridCol w:w="1357"/>
        <w:gridCol w:w="1366"/>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for calculating basic and diluted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common shares used in the calculation of basic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77,880</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awards associated with stock-based compensation plans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used in the calculation of 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78,444</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000000"/>
          <w:sz w:val="22"/>
        </w:rPr>
        <w:t>(1)</w:t>
      </w:r>
      <w:r>
        <w:rPr>
          <w:rFonts w:ascii="Times New Roman;serif" w:hAnsi="Times New Roman;serif"/>
          <w:b w:val="false"/>
          <w:color w:val="000000"/>
          <w:sz w:val="20"/>
        </w:rPr>
        <w:t xml:space="preserve">Certain outstanding awards associated with stock-based compensation plans were not included in the computation of diluted income per share because the effect would have been anti-dilutive. These anti-dilutive outstanding awards associated with stock-based compensation plans was 0.7 million and 0.3 million for the three and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September 30, 2025, respectively, and approximately 0.1 million for both the three and nine months ended September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Stock-Based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September 30, 2025, the Company had 5.2 million shares of its common stock, par value $0.0005 per share, (the “Common Stock”) available for stock-based compensation awards under the Gartner, Inc. Long-Term Incentive Plan as amended and restated in June 2023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summarize the Company’s stock-based compensation expense by award type and expense category line item during the periods indicated (in millions).</w:t>
      </w:r>
    </w:p>
    <w:tbl>
      <w:tblPr>
        <w:tblW w:w="7227" w:type="dxa"/>
        <w:jc w:val="left"/>
        <w:tblInd w:w="0" w:type="dxa"/>
        <w:tblLayout w:type="fixed"/>
        <w:tblCellMar>
          <w:top w:w="28" w:type="dxa"/>
          <w:left w:w="28" w:type="dxa"/>
          <w:bottom w:w="28" w:type="dxa"/>
          <w:right w:w="28" w:type="dxa"/>
        </w:tblCellMar>
      </w:tblPr>
      <w:tblGrid>
        <w:gridCol w:w="845"/>
        <w:gridCol w:w="744"/>
        <w:gridCol w:w="751"/>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1275"/>
        <w:gridCol w:w="1120"/>
        <w:gridCol w:w="112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 category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000000"/>
          <w:sz w:val="22"/>
        </w:rPr>
        <w:t>(1)</w:t>
      </w:r>
      <w:r>
        <w:rPr>
          <w:rFonts w:ascii="Times New Roman;serif" w:hAnsi="Times New Roman;serif"/>
          <w:b w:val="false"/>
          <w:color w:val="000000"/>
          <w:sz w:val="20"/>
        </w:rPr>
        <w:t>Includes costs of $11.0 million and $12.9 million during the three months ended September 30, 2025 and 2024, respectively, and $58.0 million and $61.9 million during the nine months ended September 30, 2025 and 2024, respectively, for awards to retirement-eligible employees. Those awards are expensed on an accelerated basis.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6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products and services are delivered through three reportable segments – Business and Technology Insights, or “Insights”, Conferences and Consulting, as described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Insights</w:t>
      </w:r>
      <w:r>
        <w:rPr>
          <w:color w:val="000000"/>
        </w:rPr>
        <w:t xml:space="preserve"> </w:t>
      </w:r>
      <w:r>
        <w:rPr>
          <w:rFonts w:ascii="Times New Roman;serif" w:hAnsi="Times New Roman;serif"/>
          <w:b w:val="false"/>
          <w:color w:val="000000"/>
          <w:sz w:val="20"/>
        </w:rPr>
        <w:t>equips executives and their teams from every function and across all industries with actionable, objective business and technology insights,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insights and guidance.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insights. Through custom analysis and on-the-ground support we enable optimized technology investments and stronger performance on our clients’ mission critical priorities.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its chief operating decision maker (CODM). The CODM evaluates segment performance and allocates resources based on gross contribution.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Goodwill impairment and Gain from sale of divested operation. Certain bonus and fringe benefit costs included in consolidated Cost of services and product development are not allocated to segment expense. The CODM uses gross contribution to allocate resources (including financial resources and employees) for each segment primarily in the Company's annual budgeting process. The CODM then monitors budgeted versus actual results regularly to assess segment operating performance, identify business trends, and modify resource allocations as needed.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present information about the Company’s reportable segments for the periods indicated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7"/>
        <w:gridCol w:w="1334"/>
        <w:gridCol w:w="1337"/>
        <w:gridCol w:w="211"/>
        <w:gridCol w:w="976"/>
        <w:gridCol w:w="109"/>
        <w:gridCol w:w="231"/>
        <w:gridCol w:w="790"/>
        <w:gridCol w:w="120"/>
        <w:gridCol w:w="211"/>
        <w:gridCol w:w="826"/>
        <w:gridCol w:w="109"/>
        <w:gridCol w:w="211"/>
        <w:gridCol w:w="721"/>
        <w:gridCol w:w="109"/>
        <w:gridCol w:w="211"/>
        <w:gridCol w:w="976"/>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impairment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67"/>
        <w:gridCol w:w="1334"/>
        <w:gridCol w:w="1337"/>
        <w:gridCol w:w="211"/>
        <w:gridCol w:w="976"/>
        <w:gridCol w:w="109"/>
        <w:gridCol w:w="231"/>
        <w:gridCol w:w="790"/>
        <w:gridCol w:w="120"/>
        <w:gridCol w:w="211"/>
        <w:gridCol w:w="826"/>
        <w:gridCol w:w="109"/>
        <w:gridCol w:w="211"/>
        <w:gridCol w:w="721"/>
        <w:gridCol w:w="109"/>
        <w:gridCol w:w="211"/>
        <w:gridCol w:w="976"/>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526,872 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33"/>
        <w:gridCol w:w="1296"/>
        <w:gridCol w:w="1300"/>
        <w:gridCol w:w="211"/>
        <w:gridCol w:w="976"/>
        <w:gridCol w:w="109"/>
        <w:gridCol w:w="211"/>
        <w:gridCol w:w="826"/>
        <w:gridCol w:w="109"/>
        <w:gridCol w:w="211"/>
        <w:gridCol w:w="826"/>
        <w:gridCol w:w="109"/>
        <w:gridCol w:w="211"/>
        <w:gridCol w:w="826"/>
        <w:gridCol w:w="109"/>
        <w:gridCol w:w="211"/>
        <w:gridCol w:w="976"/>
        <w:gridCol w:w="155"/>
      </w:tblGrid>
      <w:tr>
        <w:trPr/>
        <w:tc>
          <w:tcPr>
            <w:tcW w:w="153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4,744,656 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3,279,841 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654,283 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3"/>
        <w:gridCol w:w="1296"/>
        <w:gridCol w:w="1300"/>
        <w:gridCol w:w="211"/>
        <w:gridCol w:w="976"/>
        <w:gridCol w:w="109"/>
        <w:gridCol w:w="211"/>
        <w:gridCol w:w="826"/>
        <w:gridCol w:w="109"/>
        <w:gridCol w:w="211"/>
        <w:gridCol w:w="826"/>
        <w:gridCol w:w="109"/>
        <w:gridCol w:w="211"/>
        <w:gridCol w:w="826"/>
        <w:gridCol w:w="109"/>
        <w:gridCol w:w="211"/>
        <w:gridCol w:w="976"/>
        <w:gridCol w:w="155"/>
      </w:tblGrid>
      <w:tr>
        <w:trPr/>
        <w:tc>
          <w:tcPr>
            <w:tcW w:w="153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3,132,495 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2,113,633 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1,085,726 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includes our Digital Markets operating segment.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consists primarily of travel and entertainment and workplace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7 — Debt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total outstanding borrowings are summarized in the table below (in thousands).</w:t>
      </w:r>
    </w:p>
    <w:tbl>
      <w:tblPr>
        <w:tblW w:w="7558" w:type="dxa"/>
        <w:jc w:val="left"/>
        <w:tblInd w:w="0" w:type="dxa"/>
        <w:tblLayout w:type="fixed"/>
        <w:tblCellMar>
          <w:top w:w="28" w:type="dxa"/>
          <w:left w:w="28" w:type="dxa"/>
          <w:bottom w:w="28" w:type="dxa"/>
          <w:right w:w="28" w:type="dxa"/>
        </w:tblCellMar>
      </w:tblPr>
      <w:tblGrid>
        <w:gridCol w:w="1543"/>
        <w:gridCol w:w="1356"/>
        <w:gridCol w:w="1360"/>
        <w:gridCol w:w="109"/>
        <w:gridCol w:w="109"/>
        <w:gridCol w:w="109"/>
        <w:gridCol w:w="212"/>
        <w:gridCol w:w="983"/>
        <w:gridCol w:w="109"/>
        <w:gridCol w:w="109"/>
        <w:gridCol w:w="109"/>
        <w:gridCol w:w="109"/>
        <w:gridCol w:w="211"/>
        <w:gridCol w:w="97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Credit Agreement - Revolving facility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4.50% Senior Notes due 2028 (“2028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3.625% Senior Notes due 2029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3.75% Senior Notes due 2030 (“2030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outstanding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deferred financing fees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sheet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contractual annualized interest rate as of September 30, 2025 on the 2024 Credit Agreement was 5.538%, which consisted of Term Secured Overnight Financing Rate (“SOFR”) of 4.188% plus a margin of 1.350%.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had approximately $0.7 billion of available borrowing capacity on the 2024 Credit Agreement revolver (not including the expansion feature) as of September 30,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(3)Consists of a State of Connecticut economic development loan originated in 2019 with a 10-year maturity and bears interest at a fixed rate of 1.75%. This loan may be repaid at any time by the Company without penalty.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weighted average annual effective rate on the Company’s outstanding debt for the three and nine months ended September 30, 2025, including the effects of its interest rate swaps discussed below, was 4.77% and 4.84%,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(5)Deferred financing fees are being amortized to Interest expense, net over the term of the related debt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2024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the Company entered into a Credit Agreement (the “2024 Credit Agreement”) among the Company, as borrower, the lenders party thereto and JPMorgan Chase Bank, N.A., as administrative agent (the “Administrative Agent”).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 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The Company was in compliance with all financial covenants as of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September 30, 2025, the applicable all-in margin on the revolving facility was 1.35% (including the credit spread adjustment). The commitment fee payable on the unused portion of the facility is equal to between 0.125% and 0.25% based on utilization of the facility. The Company has also agreed to pay customary letter of credit fees.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2029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2029 Notes were issued at an issue price of 100.0% and bear interest at a rate of 3.625% per annum. Interest on the 2029 Notes is payable on June 15 and December 15 of each year, beginning on December 15, 2021. The 2029 Notes will mature on June 15, 2029.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of the 2029 Notes at any time on or after June 15, 2024 for cash at the redemption prices set forth in the 2029 Notes Indenture, plus accrued and unpaid interest to, but excluding, the redemption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in connection with the closing of the 2024 Credit Agreement and as a result of the termination of the 2020 Credit Agreement, the Company’s subsidiaries that guaranteed the Company’s 2029 Notes were released from their guarantee obligations with respect to the Notes, in accordance with the terms of the indenture pursuant to which the 2029 Notes was issued.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2030 Notes were issued at an issue price of 100.0% and bear interest at a rate of 3.75% per annum. Interest on the 2030 Notes is payable on April 1 and October 1 of each year, beginning on April 1, 2021. The 2030 Notes will mature on October 1,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in connection with the closing of the 2024 Credit Agreement and as a result of the termination of the 2020 Credit Agreement, the Company’s subsidiaries that guaranteed the Company’s 2030 Notes were released from their guarantee obligations with respect to the Notes, in accordance with the terms of the indenture pursuant to which the 2030 Notes was issued.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2028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2028 Notes were issued at an issue price of 100.0% and bear interest at a rate of 4.50% per annum. Interest on the 2028 Notes is payable on January 1 and July 1 of each year, beginning on January 1, 2021. The 2028 Notes will mature on July 1,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of the 2028 Notes at any time on or after July 1, 2023 for cash at the redemption prices set forth in the 2028 Note Indenture, plus accrued and unpaid interest to, but excluding, the redemption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in connection with the closing of the 2024 Credit Agreement and as a result of the termination of the 2020 Credit Agreement, the Company’s subsidiaries that guaranteed the Company’s 2028 Notes were released from their guarantee obligations with respect to the Notes, in accordance with the terms of the indenture pursuant to which the 2028 Notes was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Swap</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September 30, 2025, the Company had one fixed-for-floating interest rate swap contract with a notional value of $350.0 million. Under the contract, the Company paid a base fixed rate of 2.98% and in return received a floating Term SOFR base rate on 30-day notional borrowings. The swap contract matured in September 2025.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8 —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2015, the Company’s Board of Directors (the “Board”) authorized a share repurchase program to repurchase up to $1.2 billion of the Company’s common stock. The Board authorized incremental share repurchases of up to an aggregate additional $5.8 billion of the Company’s common stock from February 2021 to September 2025, including $1.0 billion authorized in September 2025. As of September 30, 2025, $1.3 billion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share repurchase activity is presented in the table below for the periods indicated.</w:t>
      </w:r>
    </w:p>
    <w:tbl>
      <w:tblPr>
        <w:tblW w:w="10205" w:type="dxa"/>
        <w:jc w:val="left"/>
        <w:tblInd w:w="0" w:type="dxa"/>
        <w:tblLayout w:type="fixed"/>
        <w:tblCellMar>
          <w:top w:w="28" w:type="dxa"/>
          <w:left w:w="28" w:type="dxa"/>
          <w:bottom w:w="28" w:type="dxa"/>
          <w:right w:w="28" w:type="dxa"/>
        </w:tblCellMar>
      </w:tblPr>
      <w:tblGrid>
        <w:gridCol w:w="1475"/>
        <w:gridCol w:w="1296"/>
        <w:gridCol w:w="1301"/>
        <w:gridCol w:w="109"/>
        <w:gridCol w:w="109"/>
        <w:gridCol w:w="109"/>
        <w:gridCol w:w="211"/>
        <w:gridCol w:w="976"/>
        <w:gridCol w:w="109"/>
        <w:gridCol w:w="109"/>
        <w:gridCol w:w="109"/>
        <w:gridCol w:w="109"/>
        <w:gridCol w:w="211"/>
        <w:gridCol w:w="721"/>
        <w:gridCol w:w="109"/>
        <w:gridCol w:w="109"/>
        <w:gridCol w:w="109"/>
        <w:gridCol w:w="109"/>
        <w:gridCol w:w="211"/>
        <w:gridCol w:w="976"/>
        <w:gridCol w:w="109"/>
        <w:gridCol w:w="109"/>
        <w:gridCol w:w="109"/>
        <w:gridCol w:w="109"/>
        <w:gridCol w:w="211"/>
        <w:gridCol w:w="826"/>
        <w:gridCol w:w="155"/>
      </w:tblGrid>
      <w:tr>
        <w:trPr/>
        <w:tc>
          <w:tcPr>
            <w:tcW w:w="147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repurchased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repurchased shares (in thousands)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average purchase price for repurchased shares was $265.38 and $466.99 for the three months ended September 30, 2025 and 2024, respectively, and $300.69 and $450.92 for the nine months ended September 30, 2025 and 2024, respectively. The repurchased shares during the three and nine months ended September 30, 2025 and 2024 included purchases for both open market purchases and stock-based compensation award settlements.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cash paid for repurchased shares during the three and nine months ended September 30, 2025 excluded $0.1 million of open market purchases with trade dates in September 2025 that settled in October 2025 and excise tax accrued. The cash paid for repurchased shares during the nine months ended September 30, 2025 included $10.0 million of open market purchases with trade dates in December 2024 that settled in January 2025. The cash paid for repurchased shares during the three months ended September 30, 2025 included $6.0 million of open market purchases with trade dates in June 2025 that settled in July 2025. The cash paid for repurchased shares during the three months ended September 30, 2024 included $5.0 million of open market purchases with trade dates in June 2024 that settled in July 2024.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 net (“AOCL”)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changes in AOCL by component and the related amounts reclassified out of AOCL to income during the periods indicated (net of tax, in thousands) (1).</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September 30, 2025</w:t>
      </w:r>
    </w:p>
    <w:tbl>
      <w:tblPr>
        <w:tblW w:w="10205" w:type="dxa"/>
        <w:jc w:val="left"/>
        <w:tblInd w:w="0" w:type="dxa"/>
        <w:tblLayout w:type="fixed"/>
        <w:tblCellMar>
          <w:top w:w="28" w:type="dxa"/>
          <w:left w:w="28" w:type="dxa"/>
          <w:bottom w:w="28" w:type="dxa"/>
          <w:right w:w="28" w:type="dxa"/>
        </w:tblCellMar>
      </w:tblPr>
      <w:tblGrid>
        <w:gridCol w:w="1658"/>
        <w:gridCol w:w="1319"/>
        <w:gridCol w:w="1308"/>
        <w:gridCol w:w="109"/>
        <w:gridCol w:w="109"/>
        <w:gridCol w:w="109"/>
        <w:gridCol w:w="238"/>
        <w:gridCol w:w="766"/>
        <w:gridCol w:w="122"/>
        <w:gridCol w:w="109"/>
        <w:gridCol w:w="109"/>
        <w:gridCol w:w="109"/>
        <w:gridCol w:w="252"/>
        <w:gridCol w:w="813"/>
        <w:gridCol w:w="130"/>
        <w:gridCol w:w="109"/>
        <w:gridCol w:w="109"/>
        <w:gridCol w:w="109"/>
        <w:gridCol w:w="227"/>
        <w:gridCol w:w="795"/>
        <w:gridCol w:w="119"/>
        <w:gridCol w:w="109"/>
        <w:gridCol w:w="109"/>
        <w:gridCol w:w="109"/>
        <w:gridCol w:w="211"/>
        <w:gridCol w:w="781"/>
        <w:gridCol w:w="158"/>
      </w:tblGrid>
      <w:tr>
        <w:trPr/>
        <w:tc>
          <w:tcPr>
            <w:tcW w:w="16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br/>
              <w:t xml:space="preserve">Swaps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September 30, 2024</w:t>
      </w:r>
    </w:p>
    <w:tbl>
      <w:tblPr>
        <w:tblW w:w="10205" w:type="dxa"/>
        <w:jc w:val="left"/>
        <w:tblInd w:w="0" w:type="dxa"/>
        <w:tblLayout w:type="fixed"/>
        <w:tblCellMar>
          <w:top w:w="28" w:type="dxa"/>
          <w:left w:w="28" w:type="dxa"/>
          <w:bottom w:w="28" w:type="dxa"/>
          <w:right w:w="28" w:type="dxa"/>
        </w:tblCellMar>
      </w:tblPr>
      <w:tblGrid>
        <w:gridCol w:w="1653"/>
        <w:gridCol w:w="1310"/>
        <w:gridCol w:w="1299"/>
        <w:gridCol w:w="109"/>
        <w:gridCol w:w="109"/>
        <w:gridCol w:w="109"/>
        <w:gridCol w:w="220"/>
        <w:gridCol w:w="817"/>
        <w:gridCol w:w="113"/>
        <w:gridCol w:w="109"/>
        <w:gridCol w:w="109"/>
        <w:gridCol w:w="109"/>
        <w:gridCol w:w="252"/>
        <w:gridCol w:w="811"/>
        <w:gridCol w:w="129"/>
        <w:gridCol w:w="109"/>
        <w:gridCol w:w="109"/>
        <w:gridCol w:w="109"/>
        <w:gridCol w:w="227"/>
        <w:gridCol w:w="795"/>
        <w:gridCol w:w="119"/>
        <w:gridCol w:w="109"/>
        <w:gridCol w:w="109"/>
        <w:gridCol w:w="109"/>
        <w:gridCol w:w="211"/>
        <w:gridCol w:w="780"/>
        <w:gridCol w:w="161"/>
      </w:tblGrid>
      <w:tr>
        <w:trPr/>
        <w:tc>
          <w:tcPr>
            <w:tcW w:w="165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br/>
              <w:t xml:space="preserve">Swaps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(55,633)</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2"/>
        <w:gridCol w:w="1320"/>
        <w:gridCol w:w="1323"/>
        <w:gridCol w:w="109"/>
        <w:gridCol w:w="109"/>
        <w:gridCol w:w="109"/>
        <w:gridCol w:w="238"/>
        <w:gridCol w:w="766"/>
        <w:gridCol w:w="122"/>
        <w:gridCol w:w="109"/>
        <w:gridCol w:w="109"/>
        <w:gridCol w:w="109"/>
        <w:gridCol w:w="252"/>
        <w:gridCol w:w="813"/>
        <w:gridCol w:w="130"/>
        <w:gridCol w:w="109"/>
        <w:gridCol w:w="109"/>
        <w:gridCol w:w="109"/>
        <w:gridCol w:w="227"/>
        <w:gridCol w:w="795"/>
        <w:gridCol w:w="119"/>
        <w:gridCol w:w="109"/>
        <w:gridCol w:w="109"/>
        <w:gridCol w:w="109"/>
        <w:gridCol w:w="211"/>
        <w:gridCol w:w="781"/>
        <w:gridCol w:w="158"/>
      </w:tblGrid>
      <w:tr>
        <w:trPr/>
        <w:tc>
          <w:tcPr>
            <w:tcW w:w="164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br/>
              <w:t>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6"/>
        <w:gridCol w:w="1312"/>
        <w:gridCol w:w="1315"/>
        <w:gridCol w:w="109"/>
        <w:gridCol w:w="109"/>
        <w:gridCol w:w="109"/>
        <w:gridCol w:w="220"/>
        <w:gridCol w:w="817"/>
        <w:gridCol w:w="113"/>
        <w:gridCol w:w="109"/>
        <w:gridCol w:w="109"/>
        <w:gridCol w:w="109"/>
        <w:gridCol w:w="252"/>
        <w:gridCol w:w="811"/>
        <w:gridCol w:w="129"/>
        <w:gridCol w:w="109"/>
        <w:gridCol w:w="109"/>
        <w:gridCol w:w="109"/>
        <w:gridCol w:w="227"/>
        <w:gridCol w:w="795"/>
        <w:gridCol w:w="119"/>
        <w:gridCol w:w="109"/>
        <w:gridCol w:w="109"/>
        <w:gridCol w:w="109"/>
        <w:gridCol w:w="211"/>
        <w:gridCol w:w="780"/>
        <w:gridCol w:w="160"/>
      </w:tblGrid>
      <w:tr>
        <w:trPr/>
        <w:tc>
          <w:tcPr>
            <w:tcW w:w="163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br/>
              <w:t>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in parentheses represent debits (deferred losses).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(2)$4.3 million and $4.8 million of the reclassifications related to interest rate swaps (cash flow hedges) were recorded in Interest expense, net, for the three months ended September 30, 2025 and 2024, respectively. $13.2 million and $14.4 million of the reclassifications related to interest rate swaps (cash flow hedges) were recorded in Interest expense, net, for the nine months ended September 30, 2025 and 2024, respectively. See Note 7 — Debt and Note 10 — Derivatives and Hedging for information regarding the cash flow hedges.</w:t>
      </w:r>
    </w:p>
    <w:p>
      <w:pPr>
        <w:pStyle w:val="TextBody"/>
        <w:bidi w:val="0"/>
        <w:spacing w:lineRule="auto" w:line="288" w:before="60" w:after="283"/>
        <w:ind w:left="0" w:right="0" w:hanging="360"/>
        <w:jc w:val="both"/>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 xml:space="preserve">The reclassifications related to defined benefit pension plans were recorded in Other (expense) income, net. </w:t>
      </w:r>
    </w:p>
    <w:p>
      <w:pPr>
        <w:pStyle w:val="TextBody"/>
        <w:bidi w:val="0"/>
        <w:spacing w:before="6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9 —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$34.1 million and $111.8 million for the three months ended September 30, 2025 and 2024, respectively. The effective income tax rate was 49.1% and 21.2% for the three months ended September 30,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respectively. The increase in the effective income tax rate in the current period was primarily due to the impact of the goodwill impairment, which is not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$167.2 million and $230.6 million for the nine months ended September 30, 2025 and 2024, respectively. The effective income tax rate was 25.6% and 21.2% for the nine months ended September 30, 2025 and 2024, respectively. The increase in the effective income tax rate was primarily due to the same factor that caused the year-over-year quarterly increase.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gross unrecognized tax benefits of $287.2 million on September 30, 2025 and $257.5 million on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OBBBA did not have a material impact on the Company’s consolidated financial results in the current period. The Company is currently assessing and will continue to assess and reflect the impact of OBBBA on its future consolidated financial statements as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(“the OECD”) has issued various tax proposals including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 Significant details around the provisions are still uncertain as the OECD and participating countries continue to work on defining the underlying rules and administrative procedures. The Company will continue to monitor and reflect the impact of such legislative changes in future financial statements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10 — Derivatives and Hedging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pStyle w:val="TextBody"/>
        <w:bidi w:val="0"/>
        <w:spacing w:before="0" w:after="0"/>
        <w:jc w:val="both"/>
        <w:rPr/>
      </w:pPr>
      <w:r>
        <w:rPr/>
      </w:r>
    </w:p>
    <w:tbl>
      <w:tblPr>
        <w:tblW w:w="9345" w:type="dxa"/>
        <w:jc w:val="left"/>
        <w:tblInd w:w="0" w:type="dxa"/>
        <w:tblLayout w:type="fixed"/>
        <w:tblCellMar>
          <w:top w:w="28" w:type="dxa"/>
          <w:left w:w="28" w:type="dxa"/>
          <w:bottom w:w="28" w:type="dxa"/>
          <w:right w:w="28" w:type="dxa"/>
        </w:tblCellMar>
      </w:tblPr>
      <w:tblGrid>
        <w:gridCol w:w="908"/>
        <w:gridCol w:w="797"/>
        <w:gridCol w:w="800"/>
        <w:gridCol w:w="109"/>
        <w:gridCol w:w="109"/>
        <w:gridCol w:w="109"/>
        <w:gridCol w:w="334"/>
        <w:gridCol w:w="334"/>
        <w:gridCol w:w="336"/>
        <w:gridCol w:w="109"/>
        <w:gridCol w:w="109"/>
        <w:gridCol w:w="109"/>
        <w:gridCol w:w="211"/>
        <w:gridCol w:w="721"/>
        <w:gridCol w:w="109"/>
        <w:gridCol w:w="109"/>
        <w:gridCol w:w="109"/>
        <w:gridCol w:w="109"/>
        <w:gridCol w:w="426"/>
        <w:gridCol w:w="973"/>
        <w:gridCol w:w="220"/>
        <w:gridCol w:w="109"/>
        <w:gridCol w:w="109"/>
        <w:gridCol w:w="109"/>
        <w:gridCol w:w="534"/>
        <w:gridCol w:w="534"/>
        <w:gridCol w:w="537"/>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Sheet</w:t>
              <w:br/>
              <w:t>Line Item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2"/>
        <w:gridCol w:w="564"/>
        <w:gridCol w:w="566"/>
        <w:gridCol w:w="109"/>
        <w:gridCol w:w="109"/>
        <w:gridCol w:w="109"/>
        <w:gridCol w:w="473"/>
        <w:gridCol w:w="473"/>
        <w:gridCol w:w="475"/>
        <w:gridCol w:w="109"/>
        <w:gridCol w:w="109"/>
        <w:gridCol w:w="109"/>
        <w:gridCol w:w="211"/>
        <w:gridCol w:w="976"/>
        <w:gridCol w:w="109"/>
        <w:gridCol w:w="109"/>
        <w:gridCol w:w="109"/>
        <w:gridCol w:w="109"/>
        <w:gridCol w:w="295"/>
        <w:gridCol w:w="862"/>
        <w:gridCol w:w="153"/>
        <w:gridCol w:w="109"/>
        <w:gridCol w:w="109"/>
        <w:gridCol w:w="109"/>
        <w:gridCol w:w="461"/>
        <w:gridCol w:w="418"/>
        <w:gridCol w:w="420"/>
        <w:gridCol w:w="109"/>
        <w:gridCol w:w="109"/>
        <w:gridCol w:w="109"/>
        <w:gridCol w:w="305"/>
        <w:gridCol w:w="918"/>
        <w:gridCol w:w="229"/>
      </w:tblGrid>
      <w:tr>
        <w:trPr/>
        <w:tc>
          <w:tcPr>
            <w:tcW w:w="6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Sheet</w:t>
              <w:b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 Recorded</w:t>
              <w:br/>
              <w:t>in AOCL, net of tax</w:t>
            </w:r>
          </w:p>
        </w:tc>
      </w:tr>
      <w:tr>
        <w:trPr/>
        <w:tc>
          <w:tcPr>
            <w:tcW w:w="1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(expense) income, net because the Company does not designate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contracts as hedges for accounting purposes. All of the outstanding foreign currency forward exchange contracts at September 30, 2025 matured before October 31,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(2)Effective June 30, 2020, the Company de-designated all of its interest rate swaps and discontinued hedge accounting. Accordingly, subsequent changes to fair value of the interest rate swap were recorded in Other (expense) income, net. The amounts previously recorded in Accumulated other comprehensive loss were amortized into Interest expense, net over the terms of the hedged forecasted interest payments. See Note 7 — Debt for additional information regarding the Company’s interest rate swap contract.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(3)See Note 11 — Fair Value Disclosures for the determination of the fair values of these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pStyle w:val="TextBody"/>
        <w:bidi w:val="0"/>
        <w:spacing w:before="0" w:after="0"/>
        <w:jc w:val="both"/>
        <w:rPr/>
      </w:pPr>
      <w:r>
        <w:rPr/>
      </w:r>
    </w:p>
    <w:tbl>
      <w:tblPr>
        <w:tblW w:w="7961" w:type="dxa"/>
        <w:jc w:val="left"/>
        <w:tblInd w:w="0" w:type="dxa"/>
        <w:tblLayout w:type="fixed"/>
        <w:tblCellMar>
          <w:top w:w="28" w:type="dxa"/>
          <w:left w:w="28" w:type="dxa"/>
          <w:bottom w:w="28" w:type="dxa"/>
          <w:right w:w="28" w:type="dxa"/>
        </w:tblCellMar>
      </w:tblPr>
      <w:tblGrid>
        <w:gridCol w:w="962"/>
        <w:gridCol w:w="844"/>
        <w:gridCol w:w="848"/>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 recorded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(1)Consists of interest expense from interest rate swap contracts.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(2)Consists of net realized and unrealized gains and losses on foreign currency forward contracts and gains and losses on de-designated interest rate swaps.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11 — Fair Value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2 — Goodwill and Intangible Assets. The Company does not typically transfer assets or liabilities between different levels of the valuation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values of certain financial assets and liabilities that are measured at fair value on a recurring basis in the Company's financial statements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tbl>
      <w:tblPr>
        <w:tblW w:w="6802" w:type="dxa"/>
        <w:jc w:val="left"/>
        <w:tblInd w:w="0" w:type="dxa"/>
        <w:tblLayout w:type="fixed"/>
        <w:tblCellMar>
          <w:top w:w="28" w:type="dxa"/>
          <w:left w:w="28" w:type="dxa"/>
          <w:bottom w:w="28" w:type="dxa"/>
          <w:right w:w="28" w:type="dxa"/>
        </w:tblCellMar>
      </w:tblPr>
      <w:tblGrid>
        <w:gridCol w:w="1283"/>
        <w:gridCol w:w="1127"/>
        <w:gridCol w:w="1129"/>
        <w:gridCol w:w="109"/>
        <w:gridCol w:w="109"/>
        <w:gridCol w:w="109"/>
        <w:gridCol w:w="240"/>
        <w:gridCol w:w="941"/>
        <w:gridCol w:w="124"/>
        <w:gridCol w:w="109"/>
        <w:gridCol w:w="109"/>
        <w:gridCol w:w="109"/>
        <w:gridCol w:w="231"/>
        <w:gridCol w:w="905"/>
        <w:gridCol w:w="168"/>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1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plan liabilities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enters into foreign currency forward exchange contracts to hedge the effects of adverse fluctuations in foreign currency exchange rates (see Note 10 — Derivatives and Hedging). Valuation of these contracts is based on observable foreign currency exchange rates in active markets, which the Company considers to be a Level 2 input.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(3)Prior to September 30, 2025, the Company had an interest rate swap contract that hedged the risk of variability from interest payments on its borrowings (see Note 7 — Debt). The fair value of the interest rate swap was based on mark-to-market valuations prepared by a third-party broker. This valuation was based on observable interest rates from recently executed market transactions and other observable market data, which the Company considers to be Level 2 inputs. The Company independently corroborated the reasonableness of the valuations prepared by the third-party broker by using an electronic quotation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 </w:t>
      </w:r>
    </w:p>
    <w:tbl>
      <w:tblPr>
        <w:tblW w:w="7649"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12"/>
        <w:gridCol w:w="983"/>
        <w:gridCol w:w="109"/>
        <w:gridCol w:w="109"/>
        <w:gridCol w:w="109"/>
        <w:gridCol w:w="109"/>
        <w:gridCol w:w="211"/>
        <w:gridCol w:w="976"/>
        <w:gridCol w:w="109"/>
        <w:gridCol w:w="109"/>
        <w:gridCol w:w="109"/>
        <w:gridCol w:w="109"/>
        <w:gridCol w:w="212"/>
        <w:gridCol w:w="983"/>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certain long-lived assets, including identifiable intangible assets, goodwill, right-of-use assets and other long-lived assets, are measured at fair value on a nonrecurring basis when there are indicators of impairment. The Company recorded an impairment loss of $150.0 million during the three and nine months ended September 30, 2025 related to its Digital Markets reporting unit. See Note 2 — Goodwill and Intangible Assets for additional disclosure related to this impairment charge.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impairment was derived by comparing the fair value of the reporting unit to the carrying value of the reporting unit as of the impairment measurement date, as required under ASC Topic 360 using Level 3 inputs. The Company recorded an impairment loss of $4.1 million and $2.4 million during the three months ended </w:t>
      </w:r>
      <w:r>
        <w:rPr>
          <w:rFonts w:ascii="Times New Roman;serif" w:hAnsi="Times New Roman;serif"/>
          <w:b w:val="false"/>
          <w:color w:val="000000"/>
          <w:sz w:val="18"/>
        </w:rPr>
        <w:t>September 30,</w:t>
      </w:r>
      <w:r>
        <w:rPr>
          <w:color w:val="000000"/>
        </w:rPr>
        <w:t xml:space="preserve"> </w:t>
      </w:r>
      <w:r>
        <w:rPr>
          <w:rFonts w:ascii="Times New Roman;serif" w:hAnsi="Times New Roman;serif"/>
          <w:b w:val="false"/>
          <w:color w:val="000000"/>
          <w:sz w:val="20"/>
        </w:rPr>
        <w:t>2025 and 2024, respectively, and $4.7 million and $3.0 million during the nine months ended September 30, 2025 and 2024, respectively, on right-of-use assets and other long-lived assets primarily related to certain office leases that the Company determined will no longer be used. See Note 13 — Leases for additional discussion related to these impairment charges. The impairments were derived by comparing the fair value of the impacted assets to the carrying value of those assets as of the impairment measurement date, as required under ASC Topic 360 using Level 3 inputs.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12 — Contingencies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The Company is involved in legal proceedings, claims and compliance matters arising in the ordinary course of business. The Company 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Indemnifications.</w:t>
      </w:r>
      <w:r>
        <w:rPr>
          <w:color w:val="000000"/>
        </w:rPr>
        <w:t xml:space="preserve"> </w:t>
      </w:r>
      <w:r>
        <w:rPr>
          <w:rFonts w:ascii="Times New Roman;serif" w:hAnsi="Times New Roman;serif"/>
          <w:b w:val="false"/>
          <w:color w:val="000000"/>
          <w:sz w:val="20"/>
        </w:rPr>
        <w:t>The Company has various agreements that may obligate it to indemnify the other party with respect to certain matters. Generally, these 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agreements have not been material. As of September 30, 2025, the Company did not have any material payment obligations under any such indemnification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13 —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leasing activities are primarily for facilities under cancelable and non-cancelable lease agreements expiring during 2025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subleases certain office space that it does not intend to occupy. Such sublease arrangements expire during 2026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684"/>
        <w:gridCol w:w="1446"/>
        <w:gridCol w:w="145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5"/>
      </w:tblGrid>
      <w:tr>
        <w:trPr/>
        <w:tc>
          <w:tcPr>
            <w:tcW w:w="168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 net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106,761 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from sublease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operating lease cost was $8.4 million and $9.1 million for the three months ended September 30, 2025 and 2024, respectively, and $25.3 million and $27.5 million for the nine months ended September 30, 2025 and 2024, respectively, for costs related to subleasing activities.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amounts are primarily variable lease and nonlease costs that are not fixed at the lease commencement date or are dependent on something other than an index or a rate.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did not capitalize any operating lease costs during any of the periods presented.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(4)Amount excludes impairment charges on lease related assets, as discussed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indicates where the discounted operating lease payments from the above table are classified in the accompanying Condensed Consolidated Balance Sheets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523"/>
        <w:gridCol w:w="2214"/>
        <w:gridCol w:w="2219"/>
        <w:gridCol w:w="109"/>
        <w:gridCol w:w="109"/>
        <w:gridCol w:w="109"/>
        <w:gridCol w:w="238"/>
        <w:gridCol w:w="934"/>
        <w:gridCol w:w="123"/>
        <w:gridCol w:w="109"/>
        <w:gridCol w:w="109"/>
        <w:gridCol w:w="109"/>
        <w:gridCol w:w="229"/>
        <w:gridCol w:w="900"/>
        <w:gridCol w:w="171"/>
      </w:tblGrid>
      <w:tr>
        <w:trPr/>
        <w:tc>
          <w:tcPr>
            <w:tcW w:w="2523"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293,536 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339,779 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included in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387,001 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440,091 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connection with the continuing evaluation of its existing real estate portfolio, the Company reviewed certain of its right-of-use assets and related other long-lived assets for impairment under ASC 360. As a result of the evaluation, the Company recognized an impairment loss of $4.1 million and $2.4 million during the three months ended </w:t>
      </w:r>
      <w:r>
        <w:rPr>
          <w:rFonts w:ascii="Times New Roman;serif" w:hAnsi="Times New Roman;serif"/>
          <w:b w:val="false"/>
          <w:color w:val="000000"/>
          <w:sz w:val="18"/>
        </w:rPr>
        <w:t>September 30,</w:t>
      </w:r>
      <w:r>
        <w:rPr>
          <w:color w:val="000000"/>
        </w:rPr>
        <w:t xml:space="preserve"> </w:t>
      </w:r>
      <w:r>
        <w:rPr>
          <w:rFonts w:ascii="Times New Roman;serif" w:hAnsi="Times New Roman;serif"/>
          <w:b w:val="false"/>
          <w:color w:val="000000"/>
          <w:sz w:val="20"/>
        </w:rPr>
        <w:t xml:space="preserve">2025 and 2024, respectively, and $4.7 million and $3.0 million during the nine months ended September 30, 2025 and 2024, respectively, which is included as a component of Selling, general and administrative expenses in the accompanying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values for the asset groups relating to the impaired long-lived assets were estimated primarily using discounted cash flow models (income approach) with Level 3 inputs. The significant assumptions used in estimating fair values include the expected downtime prior to the commencement of future subleases, projected sublease income over the remaining lease periods and discount rates that reflect the level of risk associated with receiving future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purpose </w:t>
      </w:r>
      <w:r>
        <w:rPr>
          <w:rFonts w:ascii="Times New Roman;serif" w:hAnsi="Times New Roman;serif"/>
          <w:b w:val="false"/>
          <w:color w:val="000000"/>
          <w:sz w:val="20"/>
        </w:rPr>
        <w:t>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2024 (the “2024 Form 10-K”). Historical results and percentage relationships are not necessarily indicative of operating results for future periods. References to “Gartner,” the “Company,” “we,” “our” and “us” in this MD&amp;A are to Gartner, Inc.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addition to historical inf</w:t>
      </w:r>
      <w:r>
        <w:rPr>
          <w:rFonts w:ascii="Times New Roman;serif" w:hAnsi="Times New Roman;serif"/>
          <w:b w:val="false"/>
          <w:color w:val="000000"/>
          <w:sz w:val="20"/>
        </w:rPr>
        <w:t>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We operate i</w:t>
      </w:r>
      <w:r>
        <w:rPr>
          <w:rFonts w:ascii="Times New Roman;serif" w:hAnsi="Times New Roman;serif"/>
          <w:b w:val="false"/>
          <w:color w:val="000000"/>
          <w:sz w:val="20"/>
        </w:rPr>
        <w:t>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our ability to maintain and expand our products and services; our ability to keep pace with technological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the conflict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2024 Form 10-K, which is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Forward-looking</w:t>
      </w:r>
      <w:r>
        <w:rPr>
          <w:color w:val="000000"/>
        </w:rPr>
        <w:t xml:space="preserve"> </w:t>
      </w:r>
      <w:r>
        <w:rPr>
          <w:rFonts w:ascii="Times New Roman;serif" w:hAnsi="Times New Roman;serif"/>
          <w:b w:val="false"/>
          <w:color w:val="000000"/>
          <w:sz w:val="20"/>
        </w:rPr>
        <w:t>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2024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Gartner, Inc. (NYSE: IT)</w:t>
      </w:r>
      <w:r>
        <w:rPr>
          <w:color w:val="000000"/>
        </w:rPr>
        <w:t xml:space="preserve"> </w:t>
      </w:r>
      <w:r>
        <w:rPr>
          <w:rFonts w:ascii="Times New Roman;serif" w:hAnsi="Times New Roman;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products and services globally through three reportable segments – Business and Technology Insights, Conferences and Consulting, as described below. In the second quarter of 2025, we renamed our segment previously referred to as Research to Business and Technology Insights (or “Insights”) to reflect the nature of the value we provide to clients. In the third quarter of 2025, we changed the structure of our internal organization and concluded that Gartner Digital Markets ("Digital Markets") was an operating segment but does not meet the criteria of a reportable segment. Accordingly, Digital Markets results are now included in "Other" where segment information is provided. Digital Markets was previously included in our Insights segment. Prior periods have been recast to conform to current period presentation.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Insights</w:t>
      </w:r>
      <w:r>
        <w:rPr>
          <w:color w:val="000000"/>
        </w:rPr>
        <w:t xml:space="preserve"> </w:t>
      </w:r>
      <w:r>
        <w:rPr>
          <w:rFonts w:ascii="Times New Roman;serif" w:hAnsi="Times New Roman;serif"/>
          <w:b w:val="false"/>
          <w:color w:val="000000"/>
          <w:sz w:val="20"/>
        </w:rPr>
        <w:t>equips executives and their teams from every function and across all industries with actionable, objective business and technology insights,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insights and guidance.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insights. Through custom analysis and on-the-ground support we enable optimized technology investments and stronger performance on our clients’ mission critical priorities.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20,854 employees globally, a decrease of 0.6% from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Insights contract value with the US federal government was approximately $165.0 million at September 30, 2025. Over 85% of our US federal contracts have transacted in the first three quarters of 2025, and slightly less than half of that contract value was retained. In addition to the non-renewals, we have received notices of termination-for-convenience from various US government agencies for approximately $8.0 million of contracts that are primarily scheduled to expire in the fourth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current geopolitical environment remains unpredictable, we continue to monitor and evaluate the impact, both direct and indirect, of government actions that could adversely impact our business operations and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OBBBA did not have a material impact on our consolidated financial results in the current period. We are currently assessing and will continue to assess and reflect the impact of OBBBA on its future consolidated financial statements as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most recent annual impairment test of goodwill was a quantitative analysis conducted during the quarter ended September 30, 2025 that indicated an impairment of the Company's Digital Markets reporting unit. During the three months ended September 30, 2025, ongoing weakness in the market as well as changes in our internal organization structure prompted a revision to the long-term earnings forecast for the Digital Markets business. During the three months ended September 30, 2025, a goodwill impairment loss of $150.0 million was recognized in the Digital Markets reporting unit. The fair value of that reporting unit was estimated using a combination of the expected present value of future cash flows and market approach.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MEASUREMENTS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believe t</w:t>
      </w:r>
      <w:r>
        <w:rPr>
          <w:rFonts w:ascii="Times New Roman;serif" w:hAnsi="Times New Roman;serif"/>
          <w:b w:val="false"/>
          <w:color w:val="000000"/>
          <w:sz w:val="20"/>
        </w:rPr>
        <w:t xml:space="preserve">hat the following business measurements are important performance indicators for our reportable business segments: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6"/>
        <w:gridCol w:w="377"/>
        <w:gridCol w:w="378"/>
        <w:gridCol w:w="109"/>
        <w:gridCol w:w="109"/>
        <w:gridCol w:w="109"/>
        <w:gridCol w:w="2582"/>
        <w:gridCol w:w="2514"/>
        <w:gridCol w:w="3571"/>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w:t>
            </w:r>
          </w:p>
        </w:tc>
      </w:tr>
      <w:tr>
        <w:trPr/>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Contract value</w:t>
            </w:r>
            <w:r>
              <w:rPr>
                <w:color w:val="000000"/>
                <w:shd w:fill="FFFFFF" w:val="clear"/>
              </w:rPr>
              <w:t xml:space="preserve"> </w:t>
            </w:r>
            <w:r>
              <w:rPr>
                <w:rFonts w:ascii="Times New Roman;serif" w:hAnsi="Times New Roman;serif"/>
                <w:b w:val="false"/>
                <w:color w:val="000000"/>
                <w:sz w:val="20"/>
              </w:rPr>
              <w:t xml:space="preserve">represents the dollar value attributable to all of our subscription-related contracts. It is calculated as the annualized value of all contracts in effect at a specific point in time, without regard to the duration of the contract. Contract value primarily includes Insights deliverables for which revenue is recognized on a ratable basis, as well as other deliverables (primarily Conferences tickets) for which revenue is recognized when the deliverable is utilized. Comparing contract value year-over-year not only measures the short-term growth of our business, but also signals the long-term health of our Insights subscription business since it measures revenue that is highly likely to recur over a multi-year period. Our contract value consists of </w:t>
            </w:r>
            <w:r>
              <w:rPr>
                <w:rFonts w:ascii="Times New Roman;serif" w:hAnsi="Times New Roman;serif"/>
                <w:b/>
                <w:color w:val="000000"/>
                <w:sz w:val="20"/>
              </w:rPr>
              <w:t>Global Technology Sales</w:t>
            </w:r>
            <w:r>
              <w:rPr>
                <w:color w:val="000000"/>
              </w:rPr>
              <w:t xml:space="preserve"> </w:t>
            </w:r>
            <w:r>
              <w:rPr>
                <w:rFonts w:ascii="Times New Roman;serif" w:hAnsi="Times New Roman;serif"/>
                <w:b w:val="false"/>
                <w:color w:val="000000"/>
                <w:sz w:val="20"/>
              </w:rPr>
              <w:t xml:space="preserve">contract value, which includes sales to users and providers of technology, and </w:t>
            </w:r>
            <w:r>
              <w:rPr>
                <w:rFonts w:ascii="Times New Roman;serif" w:hAnsi="Times New Roman;serif"/>
                <w:b/>
                <w:color w:val="000000"/>
                <w:sz w:val="20"/>
              </w:rPr>
              <w:t>Global Business Sales</w:t>
            </w:r>
            <w:r>
              <w:rPr>
                <w:color w:val="000000"/>
              </w:rPr>
              <w:t xml:space="preserve"> </w:t>
            </w:r>
            <w:r>
              <w:rPr>
                <w:rFonts w:ascii="Times New Roman;serif" w:hAnsi="Times New Roman;serif"/>
                <w:b w:val="false"/>
                <w:color w:val="000000"/>
                <w:sz w:val="20"/>
              </w:rPr>
              <w:t>contract value, which includes sales to all other functional leaders.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Client retention rate</w:t>
            </w:r>
            <w:r>
              <w:rPr>
                <w:color w:val="000000"/>
                <w:shd w:fill="FFFFFF" w:val="clear"/>
              </w:rPr>
              <w:t xml:space="preserve"> </w:t>
            </w:r>
            <w:r>
              <w:rPr>
                <w:rFonts w:ascii="Times New Roman;serif" w:hAnsi="Times New Roman;serif"/>
                <w:b w:val="false"/>
                <w:color w:val="000000"/>
                <w:sz w:val="20"/>
              </w:rPr>
              <w:t>represents a measure of client satisfaction and renewed business relationships at a specific point in time. Client retention is calculated on a percentage basis by dividing our current clients, who were also clients a year ago, by all clients from a year ago. Client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Wallet retention rate</w:t>
            </w:r>
            <w:r>
              <w:rPr>
                <w:color w:val="000000"/>
              </w:rPr>
              <w:t xml:space="preserve"> </w:t>
            </w:r>
            <w:r>
              <w:rPr>
                <w:rFonts w:ascii="Times New Roman;serif" w:hAnsi="Times New Roman;serif"/>
                <w:b w:val="false"/>
                <w:color w:val="000000"/>
                <w:sz w:val="20"/>
              </w:rPr>
              <w:t>represents a measure of the amount of contract value we have retained with clients over a twelve-month period. Wallet retention is calculated on a percentage basis by dividing the contract value of our current clients, who were also clients a year ago, by the contract value from a year ago, excluding the impact of foreign currency exchange. When wallet retention exceeds client retention, it is an indication of retention of higher-spending clients, or increased spending by retained clients, or both. Wallet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Number of destination conferences</w:t>
            </w:r>
            <w:r>
              <w:rPr>
                <w:color w:val="000000"/>
              </w:rPr>
              <w:t xml:space="preserve"> </w:t>
            </w:r>
            <w:r>
              <w:rPr>
                <w:rFonts w:ascii="Times New Roman;serif" w:hAnsi="Times New Roman;serif"/>
                <w:b w:val="false"/>
                <w:color w:val="000000"/>
                <w:sz w:val="20"/>
              </w:rPr>
              <w:t>represents the total number of hosted in-person conferences completed during the period. Single day, local meetings are excluded.</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Number of destination conferences</w:t>
            </w:r>
            <w:r>
              <w:rPr>
                <w:color w:val="000000"/>
              </w:rPr>
              <w:t xml:space="preserve"> </w:t>
            </w:r>
            <w:r>
              <w:rPr>
                <w:rFonts w:ascii="Times New Roman;serif" w:hAnsi="Times New Roman;serif"/>
                <w:b/>
                <w:color w:val="000000"/>
                <w:sz w:val="20"/>
              </w:rPr>
              <w:t>attendees</w:t>
            </w:r>
            <w:r>
              <w:rPr>
                <w:color w:val="000000"/>
              </w:rPr>
              <w:t xml:space="preserve"> </w:t>
            </w:r>
            <w:r>
              <w:rPr>
                <w:rFonts w:ascii="Times New Roman;serif" w:hAnsi="Times New Roman;serif"/>
                <w:b w:val="false"/>
                <w:color w:val="000000"/>
                <w:sz w:val="20"/>
              </w:rPr>
              <w:t>represents the total number of people who attend in-person conferences. Single day, local meetings are excluded.</w:t>
            </w:r>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Consulting backlog</w:t>
            </w:r>
            <w:r>
              <w:rPr>
                <w:color w:val="000000"/>
              </w:rPr>
              <w:t xml:space="preserve"> </w:t>
            </w:r>
            <w:r>
              <w:rPr>
                <w:rFonts w:ascii="Times New Roman;serif" w:hAnsi="Times New Roman;serif"/>
                <w:b w:val="false"/>
                <w:color w:val="000000"/>
                <w:sz w:val="20"/>
              </w:rPr>
              <w:t>represents future revenue to be derived from in-process consulting and benchmark analytics engagements.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Utilization rate</w:t>
            </w:r>
            <w:r>
              <w:rPr>
                <w:color w:val="000000"/>
              </w:rPr>
              <w:t xml:space="preserve"> </w:t>
            </w:r>
            <w:r>
              <w:rPr>
                <w:rFonts w:ascii="Times New Roman;serif" w:hAnsi="Times New Roman;serif"/>
                <w:b w:val="false"/>
                <w:color w:val="000000"/>
                <w:sz w:val="20"/>
              </w:rPr>
              <w:t>represents a measure of productivity of our consultants. Utilization rates are calculated for billable headcount on a percentage basis by dividing total hours billed by total hours available to bill.</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SUMMARY OF OPERATIONS AND FINANCIAL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fundamentals of our strategy include a focus on creating actionable business and technology insights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total revenues of $1.5 billion during the third quarter of 2025, an increase of 3% compared to the third quarter of 2024. During the third quarter of 2025, compared to the third quarter of 2024, revenues for Insights increased by 5%, Conferences revenue decreased by 2%, and Consulting revenue decreased by 3%. For a more complete discussion of our results by segment, see Segment Results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third quarter of 2025 and 2024, we had net income of $35.4 million and $415.0 million, respectively, and diluted net income per share of $0.47 and $5.32, respectively. The decrease in 2025 is primarily due to the goodwill impairment loss in 2025 and the gain on event cancellation insurance claims in 2024. Cash provided by operating activities was $1.0 billion and $1.1 billion during the nine months ended September 30, 2025 and 2024, respectively. As of September 30, 2025, we had $1.4 billion of cash and cash equivalents and approximately $0.7 billion of available borrowing capacity on our revolving credit facility. For a more complete discussion of our cash flows and financial position, see the Liquidity and Capital Resources section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our critical accounting policies and estimates, please refer to Part II, Item 7, “Critical Accounting Policies and Estimates” contained in our Annual Report on Form 10-K for the fiscal year ended December 31, 2024. There have been no material changes to the critical accounting policies previously disclosed in that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an analysis of selected line items and period-over-period changes in our interim Condensed Consolidated Statements of Operations for the periods indicated (in thousands).</w:t>
      </w:r>
    </w:p>
    <w:tbl>
      <w:tblPr>
        <w:tblW w:w="10205" w:type="dxa"/>
        <w:jc w:val="left"/>
        <w:tblInd w:w="0" w:type="dxa"/>
        <w:tblLayout w:type="fixed"/>
        <w:tblCellMar>
          <w:top w:w="28" w:type="dxa"/>
          <w:left w:w="28" w:type="dxa"/>
          <w:bottom w:w="28" w:type="dxa"/>
          <w:right w:w="28" w:type="dxa"/>
        </w:tblCellMar>
      </w:tblPr>
      <w:tblGrid>
        <w:gridCol w:w="891"/>
        <w:gridCol w:w="695"/>
        <w:gridCol w:w="704"/>
        <w:gridCol w:w="365"/>
        <w:gridCol w:w="1690"/>
        <w:gridCol w:w="188"/>
        <w:gridCol w:w="109"/>
        <w:gridCol w:w="109"/>
        <w:gridCol w:w="109"/>
        <w:gridCol w:w="365"/>
        <w:gridCol w:w="1690"/>
        <w:gridCol w:w="188"/>
        <w:gridCol w:w="109"/>
        <w:gridCol w:w="109"/>
        <w:gridCol w:w="109"/>
        <w:gridCol w:w="253"/>
        <w:gridCol w:w="1047"/>
        <w:gridCol w:w="130"/>
        <w:gridCol w:w="109"/>
        <w:gridCol w:w="109"/>
        <w:gridCol w:w="109"/>
        <w:gridCol w:w="211"/>
        <w:gridCol w:w="206"/>
        <w:gridCol w:w="601"/>
      </w:tblGrid>
      <w:tr>
        <w:trPr/>
        <w:tc>
          <w:tcPr>
            <w:tcW w:w="8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br/>
              <w:t>%</w:t>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1,524,072 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1,484,306 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245,824 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income taxes</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(379,692)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22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05"/>
        <w:gridCol w:w="709"/>
        <w:gridCol w:w="718"/>
        <w:gridCol w:w="363"/>
        <w:gridCol w:w="1681"/>
        <w:gridCol w:w="187"/>
        <w:gridCol w:w="109"/>
        <w:gridCol w:w="109"/>
        <w:gridCol w:w="109"/>
        <w:gridCol w:w="363"/>
        <w:gridCol w:w="1681"/>
        <w:gridCol w:w="187"/>
        <w:gridCol w:w="109"/>
        <w:gridCol w:w="109"/>
        <w:gridCol w:w="109"/>
        <w:gridCol w:w="250"/>
        <w:gridCol w:w="1037"/>
        <w:gridCol w:w="129"/>
        <w:gridCol w:w="109"/>
        <w:gridCol w:w="109"/>
        <w:gridCol w:w="109"/>
        <w:gridCol w:w="207"/>
        <w:gridCol w:w="207"/>
        <w:gridCol w:w="600"/>
      </w:tblGrid>
      <w:tr>
        <w:trPr/>
        <w:tc>
          <w:tcPr>
            <w:tcW w:w="9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br/>
              <w:t>%</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3,789,798 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3,582,238 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4,744,656 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4,552,292 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1,448,097 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2,113,633 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691,472 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838,492 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income taxes</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487,079 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855,142 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(368,063)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2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Total revenues for the three months ended September 30, 2025 were $1.5 billion, an increase of $39.8 million, or 3% compared to the same period in 2024 on a reported basis and 1% excluding the foreign currency impact. Total revenues for the nine months ended September 30, 2025 were $4.7 billion, an increase of $0.2 billion, or 4% compared to the same period in 2024 on both a reported basis and excluding the foreign currency impact. Refer to the section of this MD&amp;A below entitled “Segment Results” for a discussion of revenues and results by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was $474.2 million during the three months ended September 30, 2025, a decrease of $1.1 million compared to the same period in 2024, or nearly flat on a reported basis and a decrease of 1% excluding the foreign currency impact. The decrease in Cost of services and product development during the three months ended September 30, 2025 was primarily due to a $10.5 million decrease in product and content delivery expenses, partially offset by $10.0 million increase in personnel expenses associated with merit increases. Cost of services and product development as a percent of revenues was 31% and 32% for the three months ended September 30, 2025 and 2024, respectively. Cost of services and product development was $1.5 billion during the nine months ended September 30, 2025, an increase of $32.9 million compared to the same period in 2024, or 2% on both a reported basis and excluding the foreign currency impact. The increase in Cost of services and product development during the nine months ended September 30, 2025 was primarily due to a $43.6 million increase in personnel expenses associated with merit increases, partially offset by a $12.7 million decrease in product and content delivery expenses. Cost of services and product development as a percent of revenues was 31% and 32% for the nine months ended September 30, 2025 and 2024,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was $762.6 million during the three months ended September 30, 2025, an increase of $50.8 million compared to the same period in 2024, or 7% and on a reported basis and 6% excluding the foreign currency impact. The increase in SG&amp;A expense during the three months ended September 30, 2025 was primarily a result of a $33.3 million increase in personnel expenses, due to merit increases and increased headcount, as well as increased severance expenses. SG&amp;A expense was $2.3 billion during the nine months ended September 30, 2025, an increase of $156.1 million compared to the same period in 2024, or 7% on both reported basis and excluding the foreign currency impact. The increase in SG&amp;A expense during the nine months ended September 30, 2025 was primarily a result of an $114.9 million increase in personnel expenses, due to merit increases and increased headcount, as well as increased severance expenses. The number of quota-bearing sales associates in Global Technology Sales increased by 1% to 3,715 and in Global Business Sales, increased by 5% to 1,303 compared to September 30, 2024. On a combined basis, the total number of quota-bearing sales associates increased by 2% when compared to September 30, 2024. SG&amp;A expense as a percent of revenues was 50% and 48% during the three months ended September 30, 2025 and 2024, respectively. SG&amp;A expense as a percent of revenues was 48% and 46% during the nine months ended September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increased by 6% and 9% during the three and nine months ended September 30, 2025, respectively, compared to the same periods in 2024. The increase for the three and nine months ended September 30, 2025 was primarily due to increased software additions during the last twelve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intangibles decreased by 9% and 8% during the three and nine months ended September 30, 2025, respectively, compared to the same periods in 2024, due to certain intangible assets becoming fully amortized in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 and integration charges decreased by $0.2 million and $1.0 million during the three and nine months ended September 30, 2025, respectively, compared to the same periods in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impairment of $150.0 million during the three months ended September 30, 2025, reflected a goodwill impairment loss recognized in the Digital Markets reporting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was $86.3 million and $245.8 million during the three months ended September 30, 2025 and 2024, respectively. Operating income was $691.5 million and $838.5 million during the nine months ended September 30, 2025 and 2024, respectively. The decreases in operating income for the three and nine months ended September 30, 2025 as compared to the prior year periods were primarily due to the goodwill impairment loss of $150.0 million, as well as increases in selling, general and administrative expenses, partially offset by increased revenues.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by $1.7 million and $15.7 million during the three and nine months ended September 30, 2025, respectively, compared to the same periods in 2024. The decrease for the three and nine months ended September 30, 2025 was due to increased interest income, primarily as a result of higher average cash balances than the prior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 of $300.0 million during the three and nine months ended September 30, 2024 reflected proceeds from a settlement agreement to resolve litigation concerning the Company's event cancellation insurance for 2020 and 2021. The settlement resolved all remaining 2020 and 2021 event cancellation insurance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 net for the periods presented herein included the net impact of foreign currency gains and losses from our hedging activities. Other (expense) income, net also included a loss of $2.9 million for the three months ended September 30, 2024 and a gain of $0.5 million and $2.2 million for the nine months ended September 30, 2025 and 2024, respectively, on de-designated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$34.1 million and $111.8 million for the three months ended September 30, 2025 and 2024, respectively and $167.2 million and $230.6 million for the nine months ended September 30, 2025 and 2024, respectively. The effective income tax rate was 49.1% and 21.2% for the three months ended September 30, 2025 and 2024, respectively and 25.6% and 21.2% for the nine months ended September 30, 2025 and 2024, respectively. The increase in the effective income tax rate for both the three and nine months ended September 30, 2025 was primarily due to the impact of the goodwill impairment, which is not deductible for tax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income</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September 30, 2025 and 2024 was $35.4 million and $415.0 million, respectively, while net income for the </w:t>
      </w:r>
      <w:r>
        <w:rPr>
          <w:rFonts w:ascii="Times New Roman;serif" w:hAnsi="Times New Roman;serif"/>
          <w:b w:val="false"/>
          <w:color w:val="000000"/>
          <w:sz w:val="20"/>
        </w:rPr>
        <w:t xml:space="preserve">nine months ended </w:t>
      </w:r>
      <w:r>
        <w:rPr>
          <w:rFonts w:ascii="Times New Roman;serif" w:hAnsi="Times New Roman;serif"/>
          <w:b w:val="false"/>
          <w:color w:val="000000"/>
          <w:sz w:val="20"/>
          <w:shd w:fill="FFFFFF" w:val="clear"/>
        </w:rPr>
        <w:t xml:space="preserve">September 30, 2025 and 2024 was </w:t>
      </w:r>
      <w:r>
        <w:rPr>
          <w:rFonts w:ascii="Times New Roman;serif" w:hAnsi="Times New Roman;serif"/>
          <w:b w:val="false"/>
          <w:color w:val="000000"/>
          <w:sz w:val="20"/>
        </w:rPr>
        <w:t>$487.1 million and $855.1 million</w:t>
      </w:r>
      <w:r>
        <w:rPr>
          <w:rFonts w:ascii="Times New Roman;serif" w:hAnsi="Times New Roman;serif"/>
          <w:b w:val="false"/>
          <w:color w:val="000000"/>
          <w:sz w:val="20"/>
          <w:shd w:fill="FFFFFF" w:val="clear"/>
        </w:rPr>
        <w:t xml:space="preserve">, respectively. Our diluted net income per share during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 xml:space="preserve">three </w:t>
      </w:r>
      <w:r>
        <w:rPr>
          <w:rFonts w:ascii="Times New Roman;serif" w:hAnsi="Times New Roman;serif"/>
          <w:b w:val="false"/>
          <w:color w:val="000000"/>
          <w:sz w:val="20"/>
        </w:rPr>
        <w:t>months ended September 30, 2025 decreased b</w:t>
      </w:r>
      <w:r>
        <w:rPr>
          <w:rFonts w:ascii="Times New Roman;serif" w:hAnsi="Times New Roman;serif"/>
          <w:b w:val="false"/>
          <w:color w:val="000000"/>
          <w:sz w:val="20"/>
          <w:shd w:fill="FFFFFF" w:val="clear"/>
        </w:rPr>
        <w:t>y $4.85</w:t>
      </w:r>
      <w:r>
        <w:rPr>
          <w:rFonts w:ascii="Times New Roman;serif" w:hAnsi="Times New Roman;serif"/>
          <w:b w:val="false"/>
          <w:color w:val="000000"/>
          <w:sz w:val="20"/>
        </w:rPr>
        <w:t xml:space="preserve">. The decreases in net income during the three and nine months ended September 30, 2025 were primarily due to the gain on event cancellation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insurance claims in 2024, the goodwill impairment loss, and increases in operating expenses, partially offset by an increase in revenues and lower interest expense, net.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evaluate</w:t>
      </w:r>
      <w:r>
        <w:rPr>
          <w:color w:val="000000"/>
        </w:rPr>
        <w:t xml:space="preserve"> </w:t>
      </w:r>
      <w:r>
        <w:rPr>
          <w:rFonts w:ascii="Times New Roman;serif" w:hAnsi="Times New Roman;serif"/>
          <w:b w:val="false"/>
          <w:color w:val="000000"/>
          <w:sz w:val="20"/>
        </w:rPr>
        <w:t>segment performance and allocate resources based on gross contribution margin. Gross contribution is defined as operating income or loss excluding certain Cost of services and product development expenses, SG&amp;A expenses, Depreciation, Amortization of intangibles, Acquisition and integration charges and Goodwill impairment. Gross contribution margin is defined as gross contribution as a percent of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sections below</w:t>
      </w:r>
      <w:r>
        <w:rPr>
          <w:color w:val="000000"/>
        </w:rPr>
        <w:t xml:space="preserve"> </w:t>
      </w:r>
      <w:r>
        <w:rPr>
          <w:rFonts w:ascii="Times New Roman;serif" w:hAnsi="Times New Roman;serif"/>
          <w:b w:val="false"/>
          <w:color w:val="000000"/>
          <w:sz w:val="20"/>
        </w:rPr>
        <w:t>present the results of the Company’s three reportable business segments: Insights, Conferences and Consulting.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Insights</w:t>
      </w:r>
    </w:p>
    <w:tbl>
      <w:tblPr>
        <w:tblW w:w="12296" w:type="dxa"/>
        <w:jc w:val="left"/>
        <w:tblInd w:w="0" w:type="dxa"/>
        <w:tblLayout w:type="fixed"/>
        <w:tblCellMar>
          <w:top w:w="28" w:type="dxa"/>
          <w:left w:w="28" w:type="dxa"/>
          <w:bottom w:w="28" w:type="dxa"/>
          <w:right w:w="28" w:type="dxa"/>
        </w:tblCellMar>
      </w:tblPr>
      <w:tblGrid>
        <w:gridCol w:w="419"/>
        <w:gridCol w:w="368"/>
        <w:gridCol w:w="369"/>
        <w:gridCol w:w="312"/>
        <w:gridCol w:w="440"/>
        <w:gridCol w:w="386"/>
        <w:gridCol w:w="109"/>
        <w:gridCol w:w="109"/>
        <w:gridCol w:w="109"/>
        <w:gridCol w:w="312"/>
        <w:gridCol w:w="440"/>
        <w:gridCol w:w="386"/>
        <w:gridCol w:w="109"/>
        <w:gridCol w:w="109"/>
        <w:gridCol w:w="109"/>
        <w:gridCol w:w="196"/>
        <w:gridCol w:w="736"/>
        <w:gridCol w:w="109"/>
        <w:gridCol w:w="109"/>
        <w:gridCol w:w="109"/>
        <w:gridCol w:w="109"/>
        <w:gridCol w:w="217"/>
        <w:gridCol w:w="217"/>
        <w:gridCol w:w="482"/>
        <w:gridCol w:w="109"/>
        <w:gridCol w:w="109"/>
        <w:gridCol w:w="109"/>
        <w:gridCol w:w="196"/>
        <w:gridCol w:w="871"/>
        <w:gridCol w:w="241"/>
        <w:gridCol w:w="109"/>
        <w:gridCol w:w="109"/>
        <w:gridCol w:w="109"/>
        <w:gridCol w:w="196"/>
        <w:gridCol w:w="871"/>
        <w:gridCol w:w="241"/>
        <w:gridCol w:w="109"/>
        <w:gridCol w:w="109"/>
        <w:gridCol w:w="109"/>
        <w:gridCol w:w="196"/>
        <w:gridCol w:w="736"/>
        <w:gridCol w:w="109"/>
        <w:gridCol w:w="109"/>
        <w:gridCol w:w="109"/>
        <w:gridCol w:w="109"/>
        <w:gridCol w:w="207"/>
        <w:gridCol w:w="207"/>
        <w:gridCol w:w="54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(1)</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1,270,724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1,209,524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3,789,798 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3,582,238 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(1)</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923,772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2,901,002 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2,742,711 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Business Measurements</w:t>
            </w:r>
            <w:r>
              <w:rPr>
                <w:rFonts w:ascii="Times New Roman;serif" w:hAnsi="Times New Roman;serif"/>
                <w:b w:val="false"/>
                <w:color w:val="000000"/>
                <w:sz w:val="17"/>
              </w:rPr>
              <w:t>:</w:t>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Global Technology Sales (2): </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Client retention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Wallet retention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Global Business Sales (2): </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Client retention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Wallet retention </w:t>
            </w:r>
          </w:p>
        </w:tc>
        <w:tc>
          <w:tcPr>
            <w:tcW w:w="7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102 </w:t>
            </w:r>
          </w:p>
        </w:tc>
        <w:tc>
          <w:tcPr>
            <w:tcW w:w="3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3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Dollars </w:t>
      </w:r>
      <w:r>
        <w:rPr>
          <w:rFonts w:ascii="Times New Roman;serif" w:hAnsi="Times New Roman;serif"/>
          <w:b w:val="false"/>
          <w:color w:val="000000"/>
          <w:sz w:val="20"/>
        </w:rPr>
        <w:t>in thousands.</w:t>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Global Technology Sales</w:t>
      </w:r>
      <w:r>
        <w:rPr>
          <w:color w:val="000000"/>
        </w:rPr>
        <w:t xml:space="preserve"> </w:t>
      </w:r>
      <w:r>
        <w:rPr>
          <w:rFonts w:ascii="Times New Roman;serif" w:hAnsi="Times New Roman;serif"/>
          <w:b w:val="false"/>
          <w:color w:val="000000"/>
          <w:sz w:val="20"/>
        </w:rPr>
        <w:t>includes sales to users and providers of technology. Global Business Sales includes sales to all other functional leaders.</w:t>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 xml:space="preserve">Contract values </w:t>
      </w:r>
      <w:r>
        <w:rPr>
          <w:rFonts w:ascii="Times New Roman;serif" w:hAnsi="Times New Roman;serif"/>
          <w:b w:val="false"/>
          <w:color w:val="000000"/>
          <w:sz w:val="20"/>
        </w:rPr>
        <w:t xml:space="preserve">are on a foreign currency neutral basis. Contract values as of September 30, 2024 have been calculated using the same foreign currency rates as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Insights revenues i</w:t>
      </w:r>
      <w:r>
        <w:rPr>
          <w:rFonts w:ascii="Times New Roman;serif" w:hAnsi="Times New Roman;serif"/>
          <w:b w:val="false"/>
          <w:color w:val="000000"/>
          <w:sz w:val="20"/>
        </w:rPr>
        <w:t xml:space="preserve">ncreased by $61.2 million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September 30, 2025 compared to the same period in 2024, or 5% on a reported basis and 4% excluding the foreign currency impact. For the nine months ended September 30, 2025, Insights revenue increased by $207.6 million compared to the same period in 2024 or 6% on both a reported basis and excluding the foreign currency impact. The increase in revenues during 2025 was primarily due to Insights contract value growth in 2024. The segment gross contribution margin was 77% for both the three and nine months ended September 30, 2025 and 76% and 77% for the three and nine months ended September 30, </w:t>
      </w:r>
      <w:r>
        <w:rPr>
          <w:rFonts w:ascii="Times New Roman;serif" w:hAnsi="Times New Roman;serif"/>
          <w:b w:val="false"/>
          <w:color w:val="000000"/>
          <w:sz w:val="20"/>
          <w:shd w:fill="FFFFFF" w:val="clear"/>
        </w:rPr>
        <w:t>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value increased to $5.0 billion at September 30, 2025, or 3% compared to September 30, 2024 excluding the foreign currency impact. The majority of industry sectors grew mid single-digit rates or faster. Growth was led by the energy, transportation and banking sectors, partially offset by a high single digit decrease in public sector, primarily related to the US federal government. Global Technology Sales (“GTS”) contract value increased by 2% at September 30, 2025 when compared to September 30, 2024. The increase in GTS contract value was primarily due to new business from existing clients. GTS contract value increased by mid single-digit rates or faster for all commercial enterprise sizes and nearly all industry sectors. Global Business Sales (“GBS”) contract value increased by 7% year-over-year, also primarily driven by new business from existing clients. The majority of our GBS practices, enterprise sizes and sectors grew high single-digits or faster year-over-year. Both GTS and GBS contract value growth were affected by decreases in contract value with the US federal government.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GTS client retention was 84% and 83% as of September 30, 2025 and 2024, respectively, while wallet retention was 98% and 101% as of September 30, 2025 and 2024, respectively. GBS client retention was 87% as of both September 30, 2025 and 2024, while wallet retention was 102% and 106%, respectively. The decrease in GTS and GBS wallet retention was largely due to lower levels of spending by existing clients compared to the same period in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Conferences </w:t>
      </w:r>
    </w:p>
    <w:tbl>
      <w:tblPr>
        <w:tblW w:w="11661" w:type="dxa"/>
        <w:jc w:val="left"/>
        <w:tblInd w:w="0" w:type="dxa"/>
        <w:tblLayout w:type="fixed"/>
        <w:tblCellMar>
          <w:top w:w="28" w:type="dxa"/>
          <w:left w:w="28" w:type="dxa"/>
          <w:bottom w:w="28" w:type="dxa"/>
          <w:right w:w="28" w:type="dxa"/>
        </w:tblCellMar>
      </w:tblPr>
      <w:tblGrid>
        <w:gridCol w:w="419"/>
        <w:gridCol w:w="368"/>
        <w:gridCol w:w="369"/>
        <w:gridCol w:w="196"/>
        <w:gridCol w:w="646"/>
        <w:gridCol w:w="241"/>
        <w:gridCol w:w="109"/>
        <w:gridCol w:w="109"/>
        <w:gridCol w:w="109"/>
        <w:gridCol w:w="196"/>
        <w:gridCol w:w="646"/>
        <w:gridCol w:w="241"/>
        <w:gridCol w:w="109"/>
        <w:gridCol w:w="109"/>
        <w:gridCol w:w="109"/>
        <w:gridCol w:w="196"/>
        <w:gridCol w:w="571"/>
        <w:gridCol w:w="109"/>
        <w:gridCol w:w="109"/>
        <w:gridCol w:w="109"/>
        <w:gridCol w:w="109"/>
        <w:gridCol w:w="217"/>
        <w:gridCol w:w="217"/>
        <w:gridCol w:w="482"/>
        <w:gridCol w:w="109"/>
        <w:gridCol w:w="109"/>
        <w:gridCol w:w="109"/>
        <w:gridCol w:w="196"/>
        <w:gridCol w:w="736"/>
        <w:gridCol w:w="241"/>
        <w:gridCol w:w="109"/>
        <w:gridCol w:w="109"/>
        <w:gridCol w:w="109"/>
        <w:gridCol w:w="196"/>
        <w:gridCol w:w="736"/>
        <w:gridCol w:w="241"/>
        <w:gridCol w:w="109"/>
        <w:gridCol w:w="109"/>
        <w:gridCol w:w="109"/>
        <w:gridCol w:w="196"/>
        <w:gridCol w:w="646"/>
        <w:gridCol w:w="109"/>
        <w:gridCol w:w="109"/>
        <w:gridCol w:w="109"/>
        <w:gridCol w:w="109"/>
        <w:gridCol w:w="207"/>
        <w:gridCol w:w="207"/>
        <w:gridCol w:w="54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74,554 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358,558 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331,929 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176,082 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161,856 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Business Measurements:</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destination conferences (2)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destination conferences attendees (2)</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11,454 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12,208 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4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51,660 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52,434 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5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(1)Dollars in thousands.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(2)Single day, local meetings are excluded.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Conferences revenues decreased by $1.2 million during the three months ended September 30, 2025 compared to the same period in 2024, or 2% on a reported basis and 4% excluding the foreign currency impact. The decrease in revenues for the three months ended September 30, 2025 was primarily due to lower attendee revenue, as a result of two existing conferences being moved out and two new conferences being launched in the third quarter. We held 10 destination conferences during both the three months ended September 30, 2025 and 2024. Gross contribution decreased to $27.3 million during the three months ended September 30, 2025 compared to $30.5 million in the same period last year. The decrease in gross contribution during the three months ended September 30, 2025 was primarily the result of the decrease in revenues as well an increase in conference-related expenses as a result of higher headcount.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Conferences revenues increased by $26.6 million compared to the same period in 2024, or 8% on a reported basis and 7% excluding the foreign currency impact. We held 39 and 38 destination conferences during the nine months ended September 30, 2025 and 2024, respectively. The increase in revenues for the nine months ended September 30, 2025 was primarily due to increased exhibitor revenue compared to the same period in 2024. Gross contribution increased to $176.1 million during the nine months ended September 30, 2025 compared to $161.9 million in the same period last year. The increase in gross contribution during the nine months ended September 30, 2025 was primarily the result of the increase in revenues, partially offset by an increase in conference-related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Consulting</w:t>
      </w:r>
    </w:p>
    <w:tbl>
      <w:tblPr>
        <w:tblW w:w="11931" w:type="dxa"/>
        <w:jc w:val="left"/>
        <w:tblInd w:w="0" w:type="dxa"/>
        <w:tblLayout w:type="fixed"/>
        <w:tblCellMar>
          <w:top w:w="28" w:type="dxa"/>
          <w:left w:w="28" w:type="dxa"/>
          <w:bottom w:w="28" w:type="dxa"/>
          <w:right w:w="28" w:type="dxa"/>
        </w:tblCellMar>
      </w:tblPr>
      <w:tblGrid>
        <w:gridCol w:w="419"/>
        <w:gridCol w:w="368"/>
        <w:gridCol w:w="369"/>
        <w:gridCol w:w="196"/>
        <w:gridCol w:w="736"/>
        <w:gridCol w:w="241"/>
        <w:gridCol w:w="109"/>
        <w:gridCol w:w="109"/>
        <w:gridCol w:w="109"/>
        <w:gridCol w:w="196"/>
        <w:gridCol w:w="736"/>
        <w:gridCol w:w="241"/>
        <w:gridCol w:w="109"/>
        <w:gridCol w:w="109"/>
        <w:gridCol w:w="109"/>
        <w:gridCol w:w="196"/>
        <w:gridCol w:w="661"/>
        <w:gridCol w:w="109"/>
        <w:gridCol w:w="109"/>
        <w:gridCol w:w="109"/>
        <w:gridCol w:w="109"/>
        <w:gridCol w:w="217"/>
        <w:gridCol w:w="217"/>
        <w:gridCol w:w="482"/>
        <w:gridCol w:w="109"/>
        <w:gridCol w:w="109"/>
        <w:gridCol w:w="109"/>
        <w:gridCol w:w="196"/>
        <w:gridCol w:w="736"/>
        <w:gridCol w:w="241"/>
        <w:gridCol w:w="109"/>
        <w:gridCol w:w="109"/>
        <w:gridCol w:w="109"/>
        <w:gridCol w:w="196"/>
        <w:gridCol w:w="736"/>
        <w:gridCol w:w="241"/>
        <w:gridCol w:w="109"/>
        <w:gridCol w:w="109"/>
        <w:gridCol w:w="109"/>
        <w:gridCol w:w="196"/>
        <w:gridCol w:w="646"/>
        <w:gridCol w:w="109"/>
        <w:gridCol w:w="109"/>
        <w:gridCol w:w="109"/>
        <w:gridCol w:w="109"/>
        <w:gridCol w:w="207"/>
        <w:gridCol w:w="207"/>
        <w:gridCol w:w="54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Revenues (1)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123,573 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418,873 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405,291 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Gross contribution (1)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150,169 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149,523 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Business Measurements:</w:t>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Backlog (1), (2)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Billable headcount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Consultant utilization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(1)Dollars in thousands.</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 xml:space="preserve">(2)Backlog is </w:t>
      </w:r>
      <w:r>
        <w:rPr>
          <w:rFonts w:ascii="Times New Roman;serif" w:hAnsi="Times New Roman;serif"/>
          <w:b w:val="false"/>
          <w:color w:val="000000"/>
          <w:sz w:val="20"/>
        </w:rPr>
        <w:t>on a foreign currency neutral basis. Backlog as of September 30, 2024 has been calculated using the same foreign currency rates as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Consulting revenues</w:t>
      </w:r>
      <w:r>
        <w:rPr>
          <w:color w:val="000000"/>
        </w:rPr>
        <w:t xml:space="preserve"> </w:t>
      </w:r>
      <w:r>
        <w:rPr>
          <w:rFonts w:ascii="Times New Roman;serif" w:hAnsi="Times New Roman;serif"/>
          <w:b w:val="false"/>
          <w:color w:val="000000"/>
          <w:sz w:val="20"/>
        </w:rPr>
        <w:t xml:space="preserve">decreased by 3%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September 30, 2025 compared to the same period in 2024 on a reported basis and 5% excluding the foreign currency impact, with a decrease in labor-based consulting revenue of 7% and an increase in contract optimization revenue of 12%, each on a reported basis. Contract optimization revenue may vary significantly and, as such, revenues for the third quarter of 2025 may not be indicative of results for the remainder of 2025 or beyond. The segment gross contribution margin was 29% and </w:t>
      </w:r>
      <w:r>
        <w:rPr>
          <w:rFonts w:ascii="Times New Roman;serif" w:hAnsi="Times New Roman;serif"/>
          <w:b w:val="false"/>
          <w:color w:val="000000"/>
          <w:sz w:val="20"/>
          <w:shd w:fill="FFFFFF" w:val="clear"/>
        </w:rPr>
        <w:t>33%</w:t>
      </w:r>
      <w:r>
        <w:rPr>
          <w:color w:val="000000"/>
        </w:rPr>
        <w:t xml:space="preserve"> </w:t>
      </w:r>
      <w:r>
        <w:rPr>
          <w:rFonts w:ascii="Times New Roman;serif" w:hAnsi="Times New Roman;serif"/>
          <w:b w:val="false"/>
          <w:color w:val="000000"/>
          <w:sz w:val="20"/>
        </w:rPr>
        <w:t xml:space="preserve">for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September 30, 2025 and 2024, respectively. The decrease in gross contribution margin for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September 30, 2025 was primarily due to the decrease in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Consulting revenues increased 3% compared to the same period in 2024 on both a reported basis and excluding the foreign currency impact, with a decrease in labor-based consulting revenue of 3% and an increase in contract optimization revenue of 25%, each on a reported basis. The segment gross contribution margin was 36% and 37% for the nine months ended September 30, 2025 and 2024,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Backlog</w:t>
      </w:r>
      <w:r>
        <w:rPr>
          <w:color w:val="000000"/>
        </w:rPr>
        <w:t xml:space="preserve"> </w:t>
      </w:r>
      <w:r>
        <w:rPr>
          <w:rFonts w:ascii="Times New Roman;serif" w:hAnsi="Times New Roman;serif"/>
          <w:b w:val="false"/>
          <w:color w:val="000000"/>
          <w:sz w:val="20"/>
        </w:rPr>
        <w:t>decreased by $18.9 million, or 9%, from September 30, 2024 to September 30, 2025, excluding the foreign currency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finance </w:t>
      </w:r>
      <w:r>
        <w:rPr>
          <w:rFonts w:ascii="Times New Roman;serif" w:hAnsi="Times New Roman;serif"/>
          <w:b w:val="false"/>
          <w:color w:val="000000"/>
          <w:sz w:val="20"/>
        </w:rPr>
        <w:t>our operations through cash generated from our operating activities and, to a lesser extent, borrowings. Note 7 — Debt in the Notes to Condensed Consolidated Financial Statements provides additional information regarding the Company’s outstanding debt obligations. At September 30, 2025, we had $1.4 billion of cash and cash equivalents and approximately $0.7 billion of available borrowing capacity on the revolving credit facility under our 2024 Credit Agreement. We believe that the Company has adequate liquidity to meet its currently anticipated needs for both the next twelve months and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historically generated significant cash flows from our operating activities, benefiting from the favorable working capital dynamics of our subscription-based business model in our Insights segment, which is our largest business segment and historically has constituted a significant portion of our total revenues. The majority of our Insights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entered into an amended lease agreement to significantly reduce the square footage and reduce future lease payments at one of our leased locations. We made installment payments of $24.0 million during each of the fourth quarter of 2024 and the second quarter of 2025 in consideration for the lease amendment.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cash and cash </w:t>
      </w:r>
      <w:r>
        <w:rPr>
          <w:rFonts w:ascii="Times New Roman;serif" w:hAnsi="Times New Roman;serif"/>
          <w:b w:val="false"/>
          <w:color w:val="000000"/>
          <w:sz w:val="20"/>
        </w:rPr>
        <w:t>equivalents are held in numerous locations throughout the world with 69% held outside the U.S. at September 30, 2025. We intend to distribute a portion of the accumulated undistributed earnings of non-U.S. subsidiaries in conjunction with global restructuring activity and have recorded a modest tax expense for the anticipated impact of such distribution. We continue to assert our intention to reinvest substantially all remaining accumulated undistributed foreign earnings, except in instances where repatriation would result in minimal additional tax.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table below</w:t>
      </w:r>
      <w:r>
        <w:rPr>
          <w:color w:val="000000"/>
        </w:rPr>
        <w:t xml:space="preserve"> </w:t>
      </w:r>
      <w:r>
        <w:rPr>
          <w:rFonts w:ascii="Times New Roman;serif" w:hAnsi="Times New Roman;serif"/>
          <w:b w:val="false"/>
          <w:color w:val="000000"/>
          <w:sz w:val="20"/>
        </w:rPr>
        <w:t xml:space="preserve">summarizes the changes in our cash balances for the periods indicated (in thousands). </w:t>
      </w:r>
    </w:p>
    <w:tbl>
      <w:tblPr>
        <w:tblW w:w="10205" w:type="dxa"/>
        <w:jc w:val="left"/>
        <w:tblInd w:w="0" w:type="dxa"/>
        <w:tblLayout w:type="fixed"/>
        <w:tblCellMar>
          <w:top w:w="28" w:type="dxa"/>
          <w:left w:w="28" w:type="dxa"/>
          <w:bottom w:w="28" w:type="dxa"/>
          <w:right w:w="28" w:type="dxa"/>
        </w:tblCellMar>
      </w:tblPr>
      <w:tblGrid>
        <w:gridCol w:w="1322"/>
        <w:gridCol w:w="1092"/>
        <w:gridCol w:w="1096"/>
        <w:gridCol w:w="390"/>
        <w:gridCol w:w="1808"/>
        <w:gridCol w:w="201"/>
        <w:gridCol w:w="109"/>
        <w:gridCol w:w="109"/>
        <w:gridCol w:w="109"/>
        <w:gridCol w:w="390"/>
        <w:gridCol w:w="1808"/>
        <w:gridCol w:w="201"/>
        <w:gridCol w:w="109"/>
        <w:gridCol w:w="109"/>
        <w:gridCol w:w="109"/>
        <w:gridCol w:w="211"/>
        <w:gridCol w:w="871"/>
        <w:gridCol w:w="161"/>
      </w:tblGrid>
      <w:tr>
        <w:trPr/>
        <w:tc>
          <w:tcPr>
            <w:tcW w:w="132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995,821 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1,149,567 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(153,746)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(1,467,475)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(615,557)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(851,918)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2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(562,964)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454,214 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(1,017,178)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w:t>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and cash equivalents and restricted cash</w:t>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and cash equivalents</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1,430,730 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(337,562)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$1.0 billion and $1.1 billion during the nine months ended September 30, 2025 and 2024, respectively. The year-over-year decrease was primarily due to $300.0 million of insurance proceeds received during 2024 partially offset by the improved timing of collections and lower income tax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$91.3 million and $79.8 million during the nine months ended September 30, 2025 and 2024, respectively. The increase from 2024 to 2025 was primarily the result of higher leasehold improvements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was $1.5 billion and $615.6 million during the nine months ended September 30, 2025 and 2024, respectively. We used $1.5 billion and $633.4 million of cash for share repurchases during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September 30, 2025 and 2024, respectively. In March 2024, the Company borrowed $274.4 million under the 2024 Credit Agreement. The initial borrowing was used to repay the outstanding amounts under the 2020 Credit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$2.5 billion of principal amount of debt outstanding. Note 7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2025 through September 30, 2025, the Company has not entered into any material off-balance sheet arrangements or transactions with unconsolidated entities or other persons.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September 30, 2025,</w:t>
      </w:r>
      <w:r>
        <w:rPr>
          <w:color w:val="000000"/>
        </w:rPr>
        <w:t xml:space="preserve"> </w:t>
      </w:r>
      <w:r>
        <w:rPr>
          <w:rFonts w:ascii="Times New Roman;serif" w:hAnsi="Times New Roman;serif"/>
          <w:b w:val="false"/>
          <w:color w:val="000000"/>
          <w:sz w:val="20"/>
        </w:rPr>
        <w:t xml:space="preserve">the Company had $2.5 billion in total debt principal outstanding. Note 7 — Debt in the Notes to Condensed Consolidated Financial Statements provides additional information regarding the Company’s outstanding debt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$274.4 million of the Company’s total debt outstanding as of September 30, 2025 was based on a floating base rate of interest, which potentially exposes the Company to increases in interest rates. A one hundred basis point change in interest rates would increase or decrease the Company's interest expense on its outstanding debt by approximately $2.7 million annually.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 significant portion o</w:t>
      </w:r>
      <w:r>
        <w:rPr>
          <w:rFonts w:ascii="Times New Roman;serif" w:hAnsi="Times New Roman;serif"/>
          <w:b w:val="false"/>
          <w:color w:val="000000"/>
          <w:sz w:val="20"/>
        </w:rPr>
        <w:t>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Translation risk</w:t>
      </w:r>
      <w:r>
        <w:rPr>
          <w:color w:val="000000"/>
        </w:rPr>
        <w:t xml:space="preserve"> </w:t>
      </w:r>
      <w:r>
        <w:rPr>
          <w:rFonts w:ascii="Times New Roman;serif" w:hAnsi="Times New Roman;serif"/>
          <w:b w:val="false"/>
          <w:color w:val="000000"/>
          <w:sz w:val="20"/>
        </w:rPr>
        <w:t>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September 30, 2025, we had $1.4 billion of cash and cash equivalents, with a substantial portion denominated in foreign currencies. If the exchange rates of the foreign currencies we hold all changed in comparison to the U.S. dollar by 10%, the amount of cash and cash equivalents we would have reported on September 30, 2025 could have increased or decreased by approximately $112.8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Transaction risk</w:t>
      </w:r>
      <w:r>
        <w:rPr>
          <w:color w:val="000000"/>
        </w:rPr>
        <w:t xml:space="preserve"> </w:t>
      </w:r>
      <w:r>
        <w:rPr>
          <w:rFonts w:ascii="Times New Roman;serif" w:hAnsi="Times New Roman;serif"/>
          <w:b w:val="false"/>
          <w:color w:val="000000"/>
          <w:sz w:val="20"/>
        </w:rPr>
        <w:t>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September 30, 2025 had an immaterial net unrealized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Financial instruments</w:t>
      </w:r>
      <w:r>
        <w:rPr>
          <w:color w:val="000000"/>
        </w:rPr>
        <w:t xml:space="preserve"> </w:t>
      </w:r>
      <w:r>
        <w:rPr>
          <w:rFonts w:ascii="Times New Roman;serif" w:hAnsi="Times New Roman;serif"/>
          <w:b w:val="false"/>
          <w:color w:val="000000"/>
          <w:sz w:val="20"/>
        </w:rPr>
        <w:t>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as of September 30, 2025,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September 30, 2025, the Company’s disclosure controls and procedures were effective.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There have been no changes in our internal control over financial reporting identified in connection with the evaluation required by paragraph (d) of Exchange Act</w:t>
      </w:r>
      <w:r>
        <w:rPr>
          <w:color w:val="0067B1"/>
          <w:u w:val="single"/>
        </w:rPr>
        <w:t xml:space="preserve"> </w:t>
      </w:r>
      <w:r>
        <w:rPr>
          <w:rFonts w:ascii="Times New Roman;serif" w:hAnsi="Times New Roman;serif"/>
          <w:b w:val="false"/>
          <w:color w:val="000000"/>
          <w:sz w:val="20"/>
        </w:rPr>
        <w:t>Rules 13a-15 or 15d-15 that occurred during the quarter ended September 30, 2025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are involved </w:t>
      </w:r>
      <w:r>
        <w:rPr>
          <w:rFonts w:ascii="Times New Roman;serif" w:hAnsi="Times New Roman;serif"/>
          <w:b w:val="false"/>
          <w:color w:val="000000"/>
          <w:sz w:val="20"/>
        </w:rPr>
        <w:t>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disclosed in Part I, Item 1A of our Annual Report on Form 10-K for the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unregistered sales of equity securities during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May 2015,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 xml:space="preserve">Board of Directors </w:t>
      </w:r>
      <w:r>
        <w:rPr>
          <w:rFonts w:ascii="Times New Roman;serif" w:hAnsi="Times New Roman;serif"/>
          <w:b w:val="false"/>
          <w:color w:val="000000"/>
          <w:sz w:val="20"/>
        </w:rPr>
        <w:t xml:space="preserve">(the “Board”) </w:t>
      </w:r>
      <w:r>
        <w:rPr>
          <w:rFonts w:ascii="Times New Roman;serif" w:hAnsi="Times New Roman;serif"/>
          <w:b w:val="false"/>
          <w:color w:val="000000"/>
          <w:sz w:val="20"/>
          <w:shd w:fill="FFFFFF" w:val="clear"/>
        </w:rPr>
        <w:t xml:space="preserve">authorized a share repurchase program to repurchase up to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of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common stoc</w:t>
      </w:r>
      <w:r>
        <w:rPr>
          <w:rFonts w:ascii="Times New Roman;serif" w:hAnsi="Times New Roman;serif"/>
          <w:b w:val="false"/>
          <w:color w:val="000000"/>
          <w:sz w:val="20"/>
        </w:rPr>
        <w:t>k. The Board authorized incremental share repurchases of up to an aggregate additional $5.8 billion of the Company’s common stock from February 2021 to September 2025, including $1.0 billion authorized in September 2025.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784"/>
        <w:gridCol w:w="525"/>
        <w:gridCol w:w="527"/>
        <w:gridCol w:w="109"/>
        <w:gridCol w:w="109"/>
        <w:gridCol w:w="109"/>
        <w:gridCol w:w="495"/>
        <w:gridCol w:w="481"/>
        <w:gridCol w:w="361"/>
        <w:gridCol w:w="109"/>
        <w:gridCol w:w="109"/>
        <w:gridCol w:w="109"/>
        <w:gridCol w:w="222"/>
        <w:gridCol w:w="762"/>
        <w:gridCol w:w="115"/>
        <w:gridCol w:w="109"/>
        <w:gridCol w:w="109"/>
        <w:gridCol w:w="109"/>
        <w:gridCol w:w="1068"/>
        <w:gridCol w:w="886"/>
        <w:gridCol w:w="889"/>
        <w:gridCol w:w="109"/>
        <w:gridCol w:w="109"/>
        <w:gridCol w:w="109"/>
        <w:gridCol w:w="279"/>
        <w:gridCol w:w="1293"/>
        <w:gridCol w:w="210"/>
      </w:tblGrid>
      <w:tr>
        <w:trPr/>
        <w:tc>
          <w:tcPr>
            <w:tcW w:w="78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Number of</w:t>
              <w:br/>
              <w:t>Shares</w:t>
              <w:br/>
              <w:t>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Under Announced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w:t>
              <w:br/>
              <w:t xml:space="preserve">Dollar Value of Shares </w:t>
              <w:br/>
              <w:t xml:space="preserve">That May Yet Be Purchased </w:t>
              <w:br/>
              <w:t>Under the Plans or Programs</w:t>
              <w:br/>
              <w:t>(in thousands)</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to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684,619 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684,477 </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1,050,321 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to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2,481,866 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2,481,610 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446,324 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to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788,548 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787,445 </w:t>
            </w:r>
          </w:p>
        </w:tc>
        <w:tc>
          <w:tcPr>
            <w:tcW w:w="8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1,253,180 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the quarter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3,955,033 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3,953,532 </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The repurchased shares during the three months ended September 30, 2025 included 1,501 shares purchased for the settlement of stock-based compensation awards and 3,953,532 shares purchased in the open market. Amounts presented exclude the excise tax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Insider Trading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director or Section 16 officer adopted or terminated a trading arrangement intended to satisfy the affirmative defense conditions of Rule 10b5-1(c) or a non-Rule 10b5–1 trading arrangement during the three months ended September 30, 2025.</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color w:val="000000"/>
          <w:sz w:val="20"/>
          <w:u w:val="single"/>
        </w:rPr>
        <w:t>Amendment and Restatement of By-Laws</w:t>
      </w:r>
      <w:r>
        <w:rPr>
          <w:color w:val="000000"/>
        </w:rPr>
        <w:t xml:space="preserv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Effective October 30, 2025, the Board amended and restated Gartner’s bylaws (as amended and restated, the “Bylaws”) in order to, among other things: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update and clarify notice procedures related to stockholder meetings and stockholder action by written consent, including related to recent amendments to Delaware law;</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designate the Court of Chancery of the State of Delaware (or, if the Court of Chancery of the State of Delaware does not have jurisdiction, another state court in Delaware or the federal district court for the District of Delaware) as the sole and exclusive forum, unless Gartner consents to the selection of an alternative forum, for (i) any derivative action or proceeding brought on behalf of Gartner, (ii) any action asserting a claim of breach of a fiduciary duty owed by any director, stockholder, officer or other employee of Gartner to Gartner or Gartner’s stockholders, (iii) any action arising pursuant to any provision of the Delaware General Corporate Law or our certificate of incorporation or bylaws (as either may be amended from time to time) or (iv) any action asserting a claim governed by the internal affairs doctrine (the “Delaware Forum Provision”);</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designate the federal district courts of the United States of America as the sole and exclusive forum, unless Gartner consents to the selection of an alternative forum, for the resolution of any complaint asserting a cause of action arising under the Securities Act of 1933, as amended (the “Securities Act”), against any person in connection with any offering of Gartner’s securities (the “Federal Forum Provision”); and</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make certain other updates, including ministerial, clarifying and conforming changes, including related to recent amendments to Delaware law.</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Bylaws is not complete and is qualified in its entirety by reference to the full text thereof, a copy of which is attached as Exhibit 3.2 to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8412"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081"/>
        <w:gridCol w:w="2081"/>
        <w:gridCol w:w="2947"/>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Company.</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byxlawsofgartnerinc_o.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byxlawsofgartnerinc_o.htm">
              <w:r>
                <w:rPr>
                  <w:rStyle w:val="InternetLink"/>
                  <w:rFonts w:ascii="Times New Roman;serif" w:hAnsi="Times New Roman;serif"/>
                  <w:b w:val="false"/>
                  <w:color w:val="0000FF"/>
                  <w:sz w:val="20"/>
                  <w:u w:val="single"/>
                </w:rPr>
                <w:t>By-laws of Gartner, Inc. (as amended and restated through October 30, 2025).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9302025x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9302025xex311.htm">
              <w:r>
                <w:rPr>
                  <w:rStyle w:val="InternetLink"/>
                  <w:rFonts w:ascii="Times New Roman;serif" w:hAnsi="Times New Roman;serif"/>
                  <w:b w:val="false"/>
                  <w:color w:val="0000FF"/>
                  <w:sz w:val="20"/>
                  <w:u w:val="single"/>
                </w:rPr>
                <w:t>Certification of chief executive officer under Rule 13a — 14(a)/15d — 14(a).</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9302025x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9302025xex312.htm">
              <w:r>
                <w:rPr>
                  <w:rStyle w:val="InternetLink"/>
                  <w:rFonts w:ascii="Times New Roman;serif" w:hAnsi="Times New Roman;serif"/>
                  <w:b w:val="false"/>
                  <w:color w:val="0000FF"/>
                  <w:sz w:val="20"/>
                  <w:u w:val="single"/>
                </w:rPr>
                <w:t>Certification of chief financial officer under Rule 13a — 14(a)/15d — 14(a).</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9302025xex32.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9302025xex32.htm">
              <w:r>
                <w:rPr>
                  <w:rStyle w:val="InternetLink"/>
                  <w:rFonts w:ascii="Times New Roman;serif" w:hAnsi="Times New Roman;serif"/>
                  <w:b w:val="false"/>
                  <w:color w:val="0000FF"/>
                  <w:sz w:val="20"/>
                  <w:u w:val="single"/>
                </w:rPr>
                <w:t>Certification under 18 U.S.C. 1350.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Label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shd w:fill="FFFFFF" w:val="clear"/>
        </w:rPr>
        <w:t>*     Filed with</w:t>
      </w:r>
      <w:r>
        <w:rPr>
          <w:color w:val="000000"/>
        </w:rPr>
        <w:t xml:space="preserve"> </w:t>
      </w:r>
      <w:r>
        <w:rPr>
          <w:rFonts w:ascii="Times New Roman;serif" w:hAnsi="Times New Roman;serif"/>
          <w:b w:val="false"/>
          <w:color w:val="000000"/>
          <w:sz w:val="20"/>
        </w:rPr>
        <w:t>this report.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Incorporated by reference from the Company’s Current Report on Form 8-K filed on July 6, 2005.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Items 3 and 4</w:t>
      </w:r>
      <w:r>
        <w:rPr>
          <w:color w:val="000000"/>
        </w:rPr>
        <w:t xml:space="preserve"> </w:t>
      </w:r>
      <w:r>
        <w:rPr>
          <w:rFonts w:ascii="Times New Roman;serif" w:hAnsi="Times New Roman;serif"/>
          <w:b w:val="false"/>
          <w:color w:val="000000"/>
          <w:sz w:val="20"/>
        </w:rPr>
        <w:t>of Part II are not 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shd w:fill="FFFFFF" w:val="clear"/>
        </w:rPr>
        <w:t>Pursuant to</w:t>
      </w:r>
      <w:r>
        <w:rPr>
          <w:color w:val="000000"/>
        </w:rPr>
        <w:t xml:space="preserve"> </w:t>
      </w:r>
      <w:r>
        <w:rPr>
          <w:rFonts w:ascii="Times New Roman;serif" w:hAnsi="Times New Roman;serif"/>
          <w:b w:val="false"/>
          <w:color w:val="000000"/>
          <w:sz w:val="20"/>
        </w:rPr>
        <w:t>the requirements of the Securities Exchange Act of 1934, the registrant has caused this report to be signed on its behalf by the undersigned thereunto duly authorized.</w:t>
      </w:r>
    </w:p>
    <w:tbl>
      <w:tblPr>
        <w:tblW w:w="6642"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298"/>
        <w:gridCol w:w="1298"/>
        <w:gridCol w:w="184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Gartner,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BY-LAWS</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GARTNER, INC.</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(as amended and restated through October 30, 2025)</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OFFICES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Registered Office</w:t>
      </w:r>
      <w:r>
        <w:rPr>
          <w:rFonts w:ascii="Times New Roman;serif" w:hAnsi="Times New Roman;serif"/>
          <w:b w:val="false"/>
          <w:color w:val="000000"/>
          <w:sz w:val="24"/>
        </w:rPr>
        <w:t>. The registered office of the corporation in the State of Delaware shall be located in the City of Wilmington, County of New Castle, at such location as the Board of Directors of the corporation (the “Board of Directors”) may determine from time to time.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Other Offices</w:t>
      </w:r>
      <w:r>
        <w:rPr>
          <w:rFonts w:ascii="Times New Roman;serif" w:hAnsi="Times New Roman;serif"/>
          <w:b w:val="false"/>
          <w:color w:val="000000"/>
          <w:sz w:val="24"/>
        </w:rPr>
        <w:t>. The corporation may also have offices at such other places, both within and without the state of Delaware, as the corporation may from time to time determine or the business of the corporation may require.</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MEETINGS OF STOCKHOLDERS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Annual Meetings</w:t>
      </w:r>
      <w:r>
        <w:rPr>
          <w:rFonts w:ascii="Times New Roman;serif" w:hAnsi="Times New Roman;serif"/>
          <w:b w:val="false"/>
          <w:color w:val="000000"/>
          <w:sz w:val="24"/>
        </w:rPr>
        <w:t>. An annual meeting of the stockholders shall be held each year for the purpose of electing directors and conducting such other proper business as may come before the meeting. The date and time of the annual meeting shall be determined by the Board.</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stockholders may be called for any purpose and may be held at such date and time as shall be stated in the notice of meeting. Such meetings may be called at any time by only the Board of Directors or the chief executive officer. No business may be transacted at any special meeting otherwise than as specified in the notice to stockholders of such meeting.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w:t>
      </w:r>
      <w:r>
        <w:rPr>
          <w:rFonts w:ascii="Times New Roman;serif" w:hAnsi="Times New Roman;serif"/>
          <w:b w:val="false"/>
          <w:color w:val="000000"/>
          <w:sz w:val="24"/>
          <w:u w:val="single"/>
        </w:rPr>
        <w:t>Place of Meetings</w:t>
      </w:r>
      <w:r>
        <w:rPr>
          <w:rFonts w:ascii="Times New Roman;serif" w:hAnsi="Times New Roman;serif"/>
          <w:b w:val="false"/>
          <w:color w:val="000000"/>
          <w:sz w:val="24"/>
        </w:rPr>
        <w:t>. The Board of Directors may designate any place, either within or without the State of Delaware, as the place of meeting for any annual meeting or for any special meeting called by the Board of Directors. If no designation is made, the place of meeting shall be the principal executive office of the corporation. The Board of Directors may, in its sole discretion, determine that a meeting of stockholders shall not be held at any place, but may instead be held solely by means of remote communication in accordance with Section 211(a)(2) of the General Corporation Law of the State of Delaware (as the same exists or may hereafter be amended from time to time, the “DGCL”). The Board of Directors may postpone, reschedule or cancel any annual or special meeting of stockholders previously scheduled pursuant to this Article II.</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4</w:t>
      </w:r>
      <w:r>
        <w:rPr>
          <w:rFonts w:ascii="Times New Roman;serif" w:hAnsi="Times New Roman;serif"/>
          <w:b w:val="false"/>
          <w:color w:val="000000"/>
          <w:sz w:val="24"/>
        </w:rPr>
        <w:t>.    </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Whenever stockholders are required or permitted to take action at a meeting, a notice of the meeting shall be given in accordance with Section 232 of the DGCL, and such notice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special meetings, the purpose or purposes, of such meeting. The notice shall be given to each stockholder entitled to vote at such meeting as of the record date for determining the stockholders entitled to notice of the meeting, not less than 10 nor more than 60 days before the date of the meeting, except as otherwise provided by law, or by the certificate of incorporation (including any certificate of designations relating to any series of preferred stock) or these by-laws.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Except as otherwise required by law, notice may be given by or at the direction of the Board of Directors, the chief executive officer or the secretary, in writing directed to a stockholder’s mailing address as the same appears on the records of the corporation and shall be given: (i) if mailed, when deposited in the United States mail, postage prepaid; and (ii) if delivered by courier service, the earlier of when notice is received or left at such stockholder’s address as the same appears on the records of the corporation.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So long as the corporation is subject to the proxy rules set forth in Regulation 14A of the Securities Exchange Act of 1934, as amended (the “</w:t>
      </w:r>
      <w:r>
        <w:rPr>
          <w:rFonts w:ascii="Times New Roman;serif" w:hAnsi="Times New Roman;serif"/>
          <w:b/>
          <w:color w:val="000000"/>
          <w:sz w:val="24"/>
        </w:rPr>
        <w:t>1934 Act</w:t>
      </w:r>
      <w:r>
        <w:rPr>
          <w:color w:val="000000"/>
        </w:rPr>
        <w:t>”</w:t>
      </w:r>
      <w:r>
        <w:rPr>
          <w:rFonts w:ascii="Times New Roman;serif" w:hAnsi="Times New Roman;serif"/>
          <w:b w:val="false"/>
          <w:color w:val="000000"/>
          <w:sz w:val="24"/>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w:t>
      </w:r>
      <w:r>
        <w:rPr>
          <w:rFonts w:ascii="Times New Roman;serif" w:hAnsi="Times New Roman;serif"/>
          <w:b w:val="false"/>
          <w:color w:val="000000"/>
          <w:sz w:val="24"/>
          <w:u w:val="single"/>
        </w:rPr>
        <w:t>Stockholders List</w:t>
      </w:r>
      <w:r>
        <w:rPr>
          <w:rFonts w:ascii="Times New Roman;serif" w:hAnsi="Times New Roman;serif"/>
          <w:b w:val="false"/>
          <w:color w:val="000000"/>
          <w:sz w:val="24"/>
        </w:rPr>
        <w:t xml:space="preserve">. The corporation shall prepare, at least 10 days before every meeting of the stockholders, a complete list of the stockholders entitled to vote at such meeting arranged in alphabetical order, showing the address of each stockholder and the class and number of shares registered in the name of each stockholder. Nothing in this Section 5 shall require the corporation to include electronic mail addresses or other electronic contact information on such list. Such list shall be open to the examination of any stockholder, for any purpose germane to the meeting for a period of 10 days ending on the day before the meeting date: (a) on a reasonably accessible electronic network, provided that the information required to gain access to such list is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6</w:t>
      </w:r>
      <w:r>
        <w:rPr>
          <w:rFonts w:ascii="Times New Roman;serif" w:hAnsi="Times New Roman;serif"/>
          <w:b w:val="false"/>
          <w:color w:val="000000"/>
          <w:sz w:val="24"/>
        </w:rPr>
        <w:t>.    </w:t>
      </w:r>
      <w:r>
        <w:rPr>
          <w:rFonts w:ascii="Times New Roman;serif" w:hAnsi="Times New Roman;serif"/>
          <w:b w:val="false"/>
          <w:color w:val="000000"/>
          <w:sz w:val="24"/>
          <w:u w:val="single"/>
        </w:rPr>
        <w:t>Quorum</w:t>
      </w:r>
      <w:r>
        <w:rPr>
          <w:rFonts w:ascii="Times New Roman;serif" w:hAnsi="Times New Roman;serif"/>
          <w:b w:val="false"/>
          <w:color w:val="000000"/>
          <w:sz w:val="24"/>
        </w:rPr>
        <w:t>. The holders of a majority of the outstanding shares of capital stock, present in person or represented by proxy, shall constitute a quorum at all meetings of the stockholders, except as otherwise provided by law or by the certificate of incorporation (including any certificate of designations relating to any series of preferred stock). Where a separate vote by class or group is required, a majority of the members of such class or group, present in person or represented by proxy, shall constitute a quorum entitled to take action with respect to that vote on that matter. If a quorum is not present, the chairperson of the meeting, or the holders of a majority of the shares present in person or represented by proxy at the meeting and entitled to vote thereon, may adjourn or recess the meeting from time to time in accordance with Section 7 of this Article II, until 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7</w:t>
      </w:r>
      <w:r>
        <w:rPr>
          <w:rFonts w:ascii="Times New Roman;serif" w:hAnsi="Times New Roman;serif"/>
          <w:b w:val="false"/>
          <w:color w:val="000000"/>
          <w:sz w:val="24"/>
        </w:rPr>
        <w:t>.    </w:t>
      </w:r>
      <w:r>
        <w:rPr>
          <w:rFonts w:ascii="Times New Roman;serif" w:hAnsi="Times New Roman;serif"/>
          <w:b w:val="false"/>
          <w:color w:val="000000"/>
          <w:sz w:val="24"/>
          <w:u w:val="single"/>
        </w:rPr>
        <w:t>Adjourned or Recessed Meetings</w:t>
      </w:r>
      <w:r>
        <w:rPr>
          <w:rFonts w:ascii="Times New Roman;serif" w:hAnsi="Times New Roman;serif"/>
          <w:b w:val="false"/>
          <w:color w:val="000000"/>
          <w:sz w:val="24"/>
        </w:rPr>
        <w:t xml:space="preserve">. Any meeting of stockholders, whether or not a quorum is present, may be adjourned or recessed for any or no reason from time to time by the chairperson of the meeting, subject to any rules and regulations adopted by the Board of Directors pursuant to Section 11 of this Article II. Any such meeting may be adjourned for any or no reason (and may be recessed if a quorum is not present or represented) from time to time by the holders of a majority of the shares present in person or represented by proxy at the meeting, and entitled to vote thereon. At any adjourned or recessed meeting at which a quorum is present, the corporation may transact any business which might have been transacted at the original meeting. 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Section 4; provided, however,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accordance with Section 3 of Article VI herein and shall give notice of the adjourned meeting to each stockholder of record entitled to vote at such adjourned meeting as of the record date fixed for notice of such adjourned meeting.</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w:t>
      </w:r>
      <w:r>
        <w:rPr>
          <w:rFonts w:ascii="Times New Roman;serif" w:hAnsi="Times New Roman;serif"/>
          <w:b w:val="false"/>
          <w:color w:val="000000"/>
          <w:sz w:val="24"/>
          <w:u w:val="single"/>
        </w:rPr>
        <w:t>Vote Required</w:t>
      </w:r>
      <w:r>
        <w:rPr>
          <w:rFonts w:ascii="Times New Roman;serif" w:hAnsi="Times New Roman;serif"/>
          <w:b w:val="false"/>
          <w:color w:val="000000"/>
          <w:sz w:val="24"/>
        </w:rPr>
        <w:t xml:space="preserve">.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the certificate of incorporation (including any certificate of designations relating to any series of preferred stock), these by-laws, or the rules and regulations of any stock exchange applicable to the corporation or its securities, a different vote is required, in which case such express provision shall govern and control the decision of such question. Where a separate vote by class or group is required, if a quorum of such class or group is present, the affirmative vote of the majority of shares of such class or group present in person or represented by proxy at the meeting shall be the act of such class or group.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9</w:t>
      </w:r>
      <w:r>
        <w:rPr>
          <w:rFonts w:ascii="Times New Roman;serif" w:hAnsi="Times New Roman;serif"/>
          <w:b w:val="false"/>
          <w:color w:val="000000"/>
          <w:sz w:val="24"/>
        </w:rPr>
        <w:t>.    </w:t>
      </w:r>
      <w:r>
        <w:rPr>
          <w:rFonts w:ascii="Times New Roman;serif" w:hAnsi="Times New Roman;serif"/>
          <w:b w:val="false"/>
          <w:color w:val="000000"/>
          <w:sz w:val="24"/>
          <w:u w:val="single"/>
        </w:rPr>
        <w:t>Voting Rights</w:t>
      </w:r>
      <w:r>
        <w:rPr>
          <w:rFonts w:ascii="Times New Roman;serif" w:hAnsi="Times New Roman;serif"/>
          <w:b w:val="false"/>
          <w:color w:val="000000"/>
          <w:sz w:val="24"/>
        </w:rPr>
        <w:t xml:space="preserve">. Except as otherwise provided by the DGCL or by the certificate of incorporation of the corporation (including any certificate of designations relating to any series of preferred stock), every stockholder shall at every meeting of the stockholders be entitled to one vote in person or by proxy for each share of common stock held by such stockholder. The holders of preferred stock will be entitled to vote as provided by law and by the corporation’s certificate of incorporation (including any certificate of designations relating to any series of preferred stock).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10</w:t>
      </w:r>
      <w:r>
        <w:rPr>
          <w:rFonts w:ascii="Times New Roman;serif" w:hAnsi="Times New Roman;serif"/>
          <w:b w:val="false"/>
          <w:color w:val="000000"/>
          <w:sz w:val="24"/>
        </w:rPr>
        <w:t>.    </w:t>
      </w:r>
      <w:r>
        <w:rPr>
          <w:rFonts w:ascii="Times New Roman;serif" w:hAnsi="Times New Roman;serif"/>
          <w:b w:val="false"/>
          <w:color w:val="000000"/>
          <w:sz w:val="24"/>
          <w:u w:val="single"/>
        </w:rPr>
        <w:t>Proxies</w:t>
      </w:r>
      <w:r>
        <w:rPr>
          <w:rFonts w:ascii="Times New Roman;serif" w:hAnsi="Times New Roman;serif"/>
          <w:b w:val="false"/>
          <w:color w:val="000000"/>
          <w:sz w:val="24"/>
        </w:rPr>
        <w:t>. Each stockholder entitled to vote at a meeting of stockholders or to express consent or dissent to corporate action in writing without a meeting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an executed new proxy bearing a later date.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w:t>
      </w:r>
      <w:r>
        <w:rPr>
          <w:rFonts w:ascii="Times New Roman;serif" w:hAnsi="Times New Roman;serif"/>
          <w:b w:val="false"/>
          <w:color w:val="000000"/>
          <w:sz w:val="24"/>
          <w:u w:val="single"/>
        </w:rPr>
        <w:t>Conduct of Meetings</w:t>
      </w:r>
      <w:r>
        <w:rPr>
          <w:rFonts w:ascii="Times New Roman;serif" w:hAnsi="Times New Roman;serif"/>
          <w:b w:val="false"/>
          <w:color w:val="000000"/>
          <w:sz w:val="24"/>
        </w:rPr>
        <w:t>.</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Unless otherwise determined by the Board of Directors, meetings of stockholders shall be presided over by the Chairman of the Board, or in his or her absence, by the chief executive officer or, in his or her absence, by an officer or director designated by the Board of Directors. The secretary of the corporation, or in his or her absence, an assistant secretary, or in the absence of the secretary and all assistant secretaries, a person whom the chairperson of the meeting shall appoint, shall act as secretary of the meeting and keep a record of the proceedings thereof.</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Subject to any such rules and regulations as adopted by, and the supervision of, the Board of Directors, the chairperson of the meeting shall have the authority to adopt and enforce such rules and regulations for the conduct of any meeting of stockholders and the safety of those in attendance as, in the judgment of the chairperson, are necessary, appropriate or convenient for the conduct of the meeting. Rules and regulations for the conduct of meetings of stockholders, whether adopted by the Board of Directors or by the chairperson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chairperson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 Directors, the chairperson of the meeting may convene and, for any or no reason, from time to time, adjourn and/or recess any meeting of stockholders pursuant to Section 7 of this Article II.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12</w:t>
      </w:r>
      <w:r>
        <w:rPr>
          <w:rFonts w:ascii="Times New Roman;serif" w:hAnsi="Times New Roman;serif"/>
          <w:b w:val="false"/>
          <w:color w:val="000000"/>
          <w:sz w:val="24"/>
        </w:rPr>
        <w:t>.    </w:t>
      </w:r>
      <w:r>
        <w:rPr>
          <w:rFonts w:ascii="Times New Roman;serif" w:hAnsi="Times New Roman;serif"/>
          <w:b w:val="false"/>
          <w:color w:val="000000"/>
          <w:sz w:val="24"/>
          <w:u w:val="single"/>
        </w:rPr>
        <w:t>Action by Written Consent</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rPr>
        <w:t>(a) Unless otherwise provided in the certificate of incorporation (including any certificate of designations relating to any series of preferred stock),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holders of record on the record date established pursuant to Section 12(b) below (the “Written Consent Record Date”) of outstanding shares of the corporation</w:t>
      </w:r>
      <w:r>
        <w:rPr>
          <w:color w:val="000000"/>
        </w:rPr>
        <w:t xml:space="preserve"> </w:t>
      </w:r>
      <w:r>
        <w:rPr>
          <w:rFonts w:ascii="Times New Roman;serif" w:hAnsi="Times New Roman;serif"/>
          <w:b w:val="false"/>
          <w:color w:val="000000"/>
          <w:sz w:val="24"/>
        </w:rPr>
        <w:t xml:space="preserve">having not less than the minimum number of votes that would be necessary to authorize or take such action at a meeting at which all shares entitled to vote thereon were present and voted and shall be delivered (i)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corporation’s principal place of business, (ii) to an officer or agent of the corporation having custody of the book or books in which proceedings of meetings of the stockholders are recorded, (iii) to the registered office of the corporation in the state of Delaware, or (iv) subject to the next sentence, in accordance with Section 116 of the DGCL to an information processing system, if any, designated by the corporation for receiving such consents. In the case of delivery pursuant to the foregoing clause (iv), such consent must set forth or be delivered with information that enables the corporation to determine the date of delivery of such consent and the identity of the person giving such consent, and, if such consent is given by a person authorized to act for a stockholder as proxy, such consent must comply with the applicable provisions of Section 212(c)(2) and (3) of the DGCL. Delivery made to the corporation’s registered office shall be by hand or by certified or registered mail, return receipt requested. All consents properly delivered in accordance with this section shall be deemed to be recorded when so delivered. No written consent shall be effective to take the corporate action referred to therein unless, within sixty (60) days of the first date on which a consent is delivered to the corporation as required by this section, written consents signed by the holders of a sufficient number of shares to take such corporate action are so recorded. Prompt notice of the taking of the corporate action without a meeting by less than unanimous written consent shall be given to those stockholders as of the record date for the action by consent who have not consented in writing and who would have been entitled to notice of the meeting if the action had been taken at a meeting and the record date for notice of such meeting were the record date for the action by consent. Any person executing a consent may provide, whether through instruction to an agent or otherwise, that such consent will be effective at a future time, including a time determined upon the happening of an event, occurring not later than sixty (60) days after such instruction is given or such provision is made, if evidence of the instruction or provision is provided to the corporation. If the person is not a stockholder of record when the consent is executed, the consent shall not be valid unless the person is a stockholder of record as of the record date for determining stockholders entitled to consent to the action. Any action taken pursuant to such written consent or consents of the stockholders shall have the same force and effect as if taken by the stockholders at a meeting thereof. Only stockholders of record on the Written Consent Record Date shall be entitled to consent to corporate action without a meeting.</w:t>
      </w:r>
    </w:p>
    <w:p>
      <w:pPr>
        <w:pStyle w:val="TextBody"/>
        <w:bidi w:val="0"/>
        <w:spacing w:before="0" w:after="0"/>
        <w:ind w:left="0" w:right="0" w:firstLine="720"/>
        <w:jc w:val="both"/>
        <w:rPr/>
      </w:pPr>
      <w:r>
        <w:rPr/>
      </w:r>
    </w:p>
    <w:p>
      <w:pPr>
        <w:pStyle w:val="TextBody"/>
        <w:bidi w:val="0"/>
        <w:spacing w:lineRule="auto" w:line="33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Without qualification, any stockholder of record seeking to have the stockholders authorize or take any action by written consent shall first request in writing that the Board of Directors fix a Written Consent Record Date for the purpose of determining the stockholders entitled to take such action, which request shall be in proper form and delivered to, or mailed and received by, the secretary of the corporation at the principal executive offices of the corporation. Within ten (10) days after receipt of a request in proper form and otherwise in compliance with this Section 12(b) from any such stockholder, the Board of Directors may adopt a resolution fixing a Written Consent Record Date for the purpose of determining the stockholders entitled to take such action, which date shall not be more than ten (10) days after the date upon which the resolution fixing the record date is adopted by the Board of Directors. If no resolution fixing a record date has been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adopted by the Board of Directors within such ten (10) day period after the date on which such a request is received, (i) the Written Consent Record Date for determining stockholders entitled to consent to such action, when no prior action of the Board of Directors is required by applicable law, shall be the first date on which a signed consent setting forth the action taken or proposed to be taken is delivered to the corporation in the manner described in this Section 12, and (ii) the Written Consent Record Date for determining stockholders entitled to consent to such action, when prior action by the Board of Directors is required by applicable law, shall be at the close of business on the date on which the Board of Directors adopts the resolution taking such prior action.</w:t>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13</w:t>
      </w:r>
      <w:r>
        <w:rPr>
          <w:rFonts w:ascii="Times New Roman;serif" w:hAnsi="Times New Roman;serif"/>
          <w:b w:val="false"/>
          <w:color w:val="000000"/>
          <w:sz w:val="24"/>
        </w:rPr>
        <w:t>.    </w:t>
      </w:r>
      <w:r>
        <w:rPr>
          <w:rFonts w:ascii="Times New Roman;serif" w:hAnsi="Times New Roman;serif"/>
          <w:b w:val="false"/>
          <w:color w:val="000000"/>
          <w:sz w:val="24"/>
          <w:u w:val="single"/>
        </w:rPr>
        <w:t>Nominations and Proposals; Advance Notice</w:t>
      </w:r>
      <w:r>
        <w:rPr>
          <w:rFonts w:ascii="Times New Roman;serif" w:hAnsi="Times New Roman;serif"/>
          <w:b w:val="false"/>
          <w:color w:val="000000"/>
          <w:sz w:val="24"/>
        </w:rPr>
        <w:t xml:space="preserve">. </w:t>
      </w:r>
    </w:p>
    <w:p>
      <w:pPr>
        <w:pStyle w:val="TextBody"/>
        <w:bidi w:val="0"/>
        <w:spacing w:lineRule="auto" w:line="333" w:before="240" w:after="283"/>
        <w:ind w:left="0" w:right="0" w:firstLine="900"/>
        <w:jc w:val="both"/>
        <w:rPr/>
      </w:pPr>
      <w:r>
        <w:rPr>
          <w:rFonts w:ascii="Times New Roman;serif" w:hAnsi="Times New Roman;serif"/>
          <w:b w:val="false"/>
          <w:color w:val="010000"/>
          <w:sz w:val="24"/>
        </w:rPr>
        <w:t>(a)</w:t>
      </w:r>
      <w:r>
        <w:rPr>
          <w:rFonts w:ascii="Times New Roman;serif" w:hAnsi="Times New Roman;serif"/>
          <w:b w:val="false"/>
          <w:i/>
          <w:color w:val="000000"/>
          <w:sz w:val="24"/>
        </w:rPr>
        <w:t>Submission of Information by Director Nominees</w:t>
      </w:r>
      <w:r>
        <w:rPr>
          <w:rFonts w:ascii="Times New Roman;serif" w:hAnsi="Times New Roman;serif"/>
          <w:b w:val="false"/>
          <w:color w:val="000000"/>
          <w:sz w:val="24"/>
        </w:rPr>
        <w:t xml:space="preserve">. </w:t>
      </w:r>
    </w:p>
    <w:p>
      <w:pPr>
        <w:pStyle w:val="TextBody"/>
        <w:bidi w:val="0"/>
        <w:spacing w:lineRule="auto" w:line="333" w:before="240" w:after="283"/>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To be eligible to be a nominee for election or re-election as a director of the corporation, a person must deliver to the secretary of the corporation at the principal executive offices of the corporation the following information: </w:t>
      </w:r>
    </w:p>
    <w:p>
      <w:pPr>
        <w:pStyle w:val="TextBody"/>
        <w:bidi w:val="0"/>
        <w:spacing w:lineRule="auto" w:line="333" w:before="240" w:after="283"/>
        <w:ind w:left="0" w:right="0" w:firstLine="2880"/>
        <w:jc w:val="both"/>
        <w:rPr/>
      </w:pPr>
      <w:r>
        <w:rPr>
          <w:rFonts w:ascii="Times New Roman;serif" w:hAnsi="Times New Roman;serif"/>
          <w:b w:val="false"/>
          <w:color w:val="000000"/>
          <w:sz w:val="24"/>
        </w:rPr>
        <w:t xml:space="preserve">(A)     a written representation and agreement, which shall be signed by such person and pursuant to which such person shall represent and agree that such person: (1) </w:t>
      </w:r>
      <w:r>
        <w:rPr>
          <w:rFonts w:ascii="Times New Roman;serif" w:hAnsi="Times New Roman;serif"/>
          <w:b w:val="false"/>
          <w:color w:val="000000"/>
          <w:sz w:val="24"/>
          <w:shd w:fill="FFFFFF" w:val="clear"/>
        </w:rPr>
        <w:t xml:space="preserve">consents to serving as a director if elected and to being named as a nominee in a proxy statement and form of proxy relating to the meeting at which directors are to be elected and to serving as a director if elected, and currently intends to serve as a director for the full term for which such person is standing for election; (2) </w:t>
      </w:r>
      <w:r>
        <w:rPr>
          <w:rFonts w:ascii="Times New Roman;serif" w:hAnsi="Times New Roman;serif"/>
          <w:b w:val="false"/>
          <w:color w:val="000000"/>
          <w:sz w:val="24"/>
        </w:rPr>
        <w:t xml:space="preserve">is not and will not become a party to any agreement, arrangement or understanding with, and has not given any commitment or assurance to, any person or entity: (x) as to how the person, if elected as a director, will act or vote on any issue or question that has not been disclosed to the corporation; or (y) that could limit or interfere with the person’s ability to comply, if elected as a director, with such person’s fiduciary duties under applicable law; (3)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(4)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 </w:t>
      </w:r>
    </w:p>
    <w:p>
      <w:pPr>
        <w:pStyle w:val="TextBody"/>
        <w:bidi w:val="0"/>
        <w:spacing w:lineRule="auto" w:line="333" w:before="240" w:after="283"/>
        <w:ind w:left="0" w:right="0" w:firstLine="2880"/>
        <w:jc w:val="both"/>
        <w:rPr/>
      </w:pPr>
      <w:r>
        <w:rPr>
          <w:rFonts w:ascii="Times New Roman;serif" w:hAnsi="Times New Roman;serif"/>
          <w:b w:val="false"/>
          <w:color w:val="000000"/>
          <w:sz w:val="24"/>
        </w:rPr>
        <w:t>(B)    fully completed and signed questionnaire(s) prepared by the corporation with respect to the background and qualification of such person that the corporation determines is necessary or advisable to assess whether a nominee will satisfy any qualifications or requirements imposed by the certificate of incorporation or these by-laws, any law, rule, regulation or listing standard that may be applicable to the corporation) (all of the foregoing, “</w:t>
      </w:r>
      <w:r>
        <w:rPr>
          <w:rFonts w:ascii="Times New Roman;serif" w:hAnsi="Times New Roman;serif"/>
          <w:b/>
          <w:color w:val="000000"/>
          <w:sz w:val="24"/>
        </w:rPr>
        <w:t>Questionnaires</w:t>
      </w:r>
      <w:r>
        <w:rPr>
          <w:color w:val="000000"/>
        </w:rPr>
        <w:t>”</w:t>
      </w:r>
      <w:r>
        <w:rPr>
          <w:rFonts w:ascii="Times New Roman;serif" w:hAnsi="Times New Roman;serif"/>
          <w:b w:val="false"/>
          <w:color w:val="000000"/>
          <w:sz w:val="24"/>
        </w:rPr>
        <w:t>). The Questionnaires will be promptly provided following a request therefor.</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240" w:after="283"/>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A nominee for election or re-election as a director of the corporation shall also provide to the corporation such other information as it may reasonably request to determine whether such proposed nominee is qualified under the certificate of incorporation or these by-laws and any law, rule, regulation or listing standard that may be applicable to the corporation, including information relevant to a determination whether such person can be considered an independent director. </w:t>
      </w:r>
    </w:p>
    <w:p>
      <w:pPr>
        <w:pStyle w:val="TextBody"/>
        <w:bidi w:val="0"/>
        <w:spacing w:lineRule="auto" w:line="333" w:before="240" w:after="283"/>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If a stockholder has submitted notice of an intent to nominate a candidate for election or re-election as a director pursuant to Section 13(b) or Section 14, all written and signed representations and agreements and all fully completed and signed Questionnaires required pursuant to Section 13(a)(i)(A) and (B) above shall be provided to the corporation at the same time as such notice in the case of nomination under Section 13 or within the time period for delivery of a Stockholder Notice in the case of nomination under Section 14, and the additional information described in Section 13(a)(ii) above shall be provided to the corporation promptly upon request by the corporation, but in any event within five business days after such request. All information provided pursuant to Sections 13(a)(i) and (ii) shall be deemed part of the stockholder’s notice submitted pursuant to Section 13(b) or a Stockholder Notice submitted pursuant to such Section 14, as applicable.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(b)</w:t>
      </w:r>
      <w:r>
        <w:rPr>
          <w:rFonts w:ascii="Times New Roman;serif" w:hAnsi="Times New Roman;serif"/>
          <w:b w:val="false"/>
          <w:i/>
          <w:color w:val="000000"/>
          <w:sz w:val="24"/>
        </w:rPr>
        <w:t xml:space="preserve">Advance Notice of Stockholder Nominations and Other Business. </w:t>
      </w:r>
      <w:r>
        <w:rPr>
          <w:rFonts w:ascii="Times New Roman;serif" w:hAnsi="Times New Roman;serif"/>
          <w:b w:val="false"/>
          <w:color w:val="000000"/>
          <w:sz w:val="24"/>
        </w:rPr>
        <w:t>At an annual meeting of the stockholders, only such nominations for directors shall be made and only such business other than nominations shall be conducted as shall have been properly brought before the meeting. To be properly brought before an annual meeting, nominations for directors and other business must be brought: (i) pursuant to the corporation’s proxy materials with respect to such meeting (including the notice of meeting and any supplement thereto); (ii) by or at the direction of the Board of Directors (or any authorized committee thereof); (iii) by a stockholder of the corporation who: (A) is a stockholder of record at the time of the giving of the notice required by this Section 13(b) and on the record date for the determination of stockholders entitled to vote at the annual meeting; and (B) has timely complied in proper written form with the notice procedures set forth in this Section 13(b); or (iv) by any Eligible Stockholder (as defined in Section 14(b)) whose Stockholder Nominee (as defined in Section 14(a)) is included in the corporation’s proxy materials for the relevant annual meeting pursuant to Section 14(a). In addition, for business to be properly brought before an annual meeting by a stockholder, such business must be a proper matter for stockholder action pursuant to these by-laws and applicable law. For the avoidance of doubt, clauses (iii) and (iv) above shall be the exclusive means for a stockholder to make director nominations, and the foregoing clause (iii) shall be the exclusive means for a stockholder to propose other business before an annual meeting of stockholders (other than a proposal included in the corporation’s proxy statement pursuant to and in compliance with Rule 14a-8 under the 1934 Act).</w:t>
      </w:r>
    </w:p>
    <w:p>
      <w:pPr>
        <w:pStyle w:val="TextBody"/>
        <w:bidi w:val="0"/>
        <w:spacing w:lineRule="auto" w:line="333" w:before="240" w:after="283"/>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To comply with Section 13(b)(iii) above, a stockholder’s notice must set forth all information required under this Section 13(b) and must be timely delivered to the secretary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corporation. To be timely, a stockholder’s notice must be delivered to the secretary at the principal executive offices of the corporation not later than the Close of Business (as defined in Section 13(c)) on the 90th day nor earlier than the Close of Business on the 120th day prior to the first anniversary of the preceding year’s annual meeting; provided, however, that in the event that the date of the annual meeting is more than 30 days before or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tenth day following the date on which Public Announcement (as defined in Section 13(c)) of the date of such meeting is first made by the corporation.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ten (10) days before the last day that a stockholder may deliver a notice of nomination pursuant to the foregoing provisions, then a stockholder’s notice required by this Section 13(b) will also be considered timely, but only with respect to any nominees for any new positions created by such increase, if it is received by the secretary of the corporation at the principal executive offices of the corporation no later than the Close of Business (as defined in Section 13(c)) on the 10th day following the day on which such Public Announcement is first made.</w:t>
      </w:r>
    </w:p>
    <w:p>
      <w:pPr>
        <w:pStyle w:val="TextBody"/>
        <w:bidi w:val="0"/>
        <w:spacing w:lineRule="auto" w:line="333" w:before="240" w:after="283"/>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To be in proper written form, a stockholder’s notice to the secretary must set forth:</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as to each person whom the stockholder proposes to nominate for election or re-election as a director: (1) the name, age, business address and residence address of the person; (2) the principal occupation or employment of the person; (3) the class and number of shares of capital stock of the corporation that are held of record or Beneficially Owned (as defined in Section 13(c)) by the person; (4) all other information relating to the person that is required to be disclosed in solicitations of proxies for election of directors in an election contest, or is otherwise required, in each case pursuant to and in accordance with Regulation 14A under the 1934 Act; and (5) the information required to be submitted by nominees pursuant to Section 13(a)(i)(A) and Section 13(a)(i)(B) above as well as Section 13(a)(ii) above within the time periods specified in Section 13(a)(iii) above;</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as to any other business the stockholder intends to bring before the annual meeting: (1) a brief description of the business intended to be brought before the annual meeting, the text of the proposal or business (including the text of any resolutions proposed for consideration and in the event that such business includes a proposal to amend the by-laws of the corporation, the language of the proposed amendment); and the reasons for conducting such business at the annual meeting and (2) any substantial interest (within the meaning of Item 5 of Schedule 14A under the 1934 Act) in such business of such stockholder and the beneficial owner (within the meaning of Section 13(d) of the 1934 Act), if any, on whose behalf the business is being proposed and, if such stockholder or beneficial owner is an entity, any Control Person (as defined in Section 13(b)(ii)(D) below);</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as to the stockholder giving the notice and the beneficial owner, if any, on whose behalf the nomination is made or the other business is proposed: (1) the name and address, as they appear on the corporation’s books, of such stockholder, and the name and address of such beneficial owner; (2) the class and number of shares of the corporation that are held of record by the stockholder and such beneficial owner as of the date of the notice; and (3) a representation that the stockholder is a holder of record of stock of the corporation entitled to vote at such meeting and the stockholder (or a Qualified Representative of the stockholder, as defined in Section 13(c)) intends to appear at the meeting to make such nomination or propose such business;</w:t>
      </w:r>
    </w:p>
    <w:p>
      <w:pPr>
        <w:pStyle w:val="TextBody"/>
        <w:bidi w:val="0"/>
        <w:spacing w:lineRule="auto" w:line="333" w:before="240" w:after="283"/>
        <w:ind w:left="0" w:right="0" w:firstLine="1440"/>
        <w:jc w:val="both"/>
        <w:rPr/>
      </w:pPr>
      <w:r>
        <w:rPr>
          <w:rFonts w:ascii="Times New Roman;serif" w:hAnsi="Times New Roman;serif"/>
          <w:b w:val="false"/>
          <w:color w:val="000000"/>
          <w:sz w:val="24"/>
        </w:rPr>
        <w:t>(D)    as to the stockholder giving the notice or, if the notice is given on behalf of a beneficial owner on whose behalf the nomination is made or the other business is proposed, as to such beneficial owner, and if such stockholder or beneficial owner is an entity, as to each individual who is a director, executive officer, general partner or managing member of such entity or of any other entity that has or shares control of such entity (any such individual or entity, a “</w:t>
      </w:r>
      <w:r>
        <w:rPr>
          <w:rFonts w:ascii="Times New Roman;serif" w:hAnsi="Times New Roman;serif"/>
          <w:b/>
          <w:color w:val="000000"/>
          <w:sz w:val="24"/>
        </w:rPr>
        <w:t>Control Person</w:t>
      </w:r>
      <w:r>
        <w:rPr>
          <w:color w:val="000000"/>
        </w:rPr>
        <w:t>”</w:t>
      </w:r>
      <w:r>
        <w:rPr>
          <w:rFonts w:ascii="Times New Roman;serif" w:hAnsi="Times New Roman;serif"/>
          <w:b w:val="false"/>
          <w:color w:val="000000"/>
          <w:sz w:val="24"/>
        </w:rPr>
        <w:t xml:space="preserve">): (1) the class and number of shares of stock of the corporation that are Beneficially Owned (as defined in Section 13(c) below) by the stockholder or beneficial owner and by any Control Person as of the date of the notice; (2) a description of (x) any plans or proposals which such stockholder, beneficial owner, if any, or Control Person may have with respect to securities of the corporation that would be required to be disclosed pursuant to Item 4 of Exchange Act Schedule 13D and (y) any agreement, arrangement or understanding with respect to the nomination or other business between or among such stockholder, beneficial owner, if any, or Control Person and any other person, including without limitation any agreements that would be required to be disclosed pursuant to Item 5 or Item 6 of Schedule 13D under the 1934 Act which description shall include, in addition to all other information, information identifying all parties thereto (in the case of either clause (x) or (y) (regardless of whether the requirement to file a Schedule 13D is applicable); (3) a description (which description shall include, in addition to all other information, information identifying all parties thereto) of any agreement, arrangement or understanding (including, without limitation, any option, warrant, forward contract, swap, contract of sale, or other derivative or similar agreement or short positions, profit interests, convertible securities, stock appreciation or similar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rights, hedging or pledging transactions, voting rights, dividend rights, and any borrowing or lending of shares), whether the instrument or agreement is to be settled with shares or with cash based on the notional amount or value of outstanding shares of stock, that has been entered into as of the date of the stockholder’s notice by, or on behalf, of such stockholder, beneficial owner, if any, or Control Person, the effect or intent of which is to mitigate loss to, or to manage the risk or benefit from share price changes for, or to maintain, increase or decrease the voting power of, such stockholder, beneficial owner, if any, or Control Person with respect to any securities of the corporation; (4) a representation as to whether such stockholder, the beneficial owner, if any, Control Person or any other participant (as defined in Item 4 of Schedule 14A under the Exchange Act) will engage in a solicitation (within the meaning of Exchange Act Rule 14a-1(1)) with respect to the nomination or other business and, if so, whether such solicitation will be conducted as an exempt solicitation as described in Rule 14a-2(b) under the Exchange Act, the name of each participant in such solicitation, the amount of the cost of solicitation that has been and will be borne, directly or indirectly, by each participant in such solicitation and (x) in the case of a proposal of business other than director nominations, whether such person or group intends to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the percentage of the corporation’s outstanding capital stock required under applicable law to carry the proposal or (y) in the case of any non-exempt solicitation made with respect to any director nomination (except for a nomination made by an Eligible Stockholder pursuant to Section 14), confirming that such person or group will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sixty-seven percent (67%) of the voting power of the corporation’s stock entitled to vote generally in the election of directors; (5) a representation that, promptly after soliciting proxies from the percentage of stockholders referred to in the representation required under clause (b)(ii)(D)(4) of this Section 13, and no later than the tenth day before such meeting of stockholders, such stockholder, beneficial owner, if any, Control Person or participant will provide the corporation with documentation, which may take the form of a statement and documentation from a proxy solicitor, confirming that the necessary steps have been taken to deliver a proxy statement and form of proxy to holders of such percentage of the voting power of the corporation’s stock entitled to vote generally in the election of directors and (6) any other information relating to such stockholder, beneficial owner, if any, or Control Person that would be required to be disclosed in solicitations of proxies for election of directors in an election contest, or is otherwise required, in each case pursuant to and in accordance with Regulation 14A under the 1934 Act, whether or not an election contest is involved. In addition, to be in proper written form, a stockholder’s notice to the secretary must be supplemented not later than five business days following the record date for such meeting to disclose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information contained in Section 13(b)(ii)(C)(2) and Section 13(b)(ii)(D)(1)-(3) above as of the record date for the meeting.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(c)</w:t>
      </w:r>
      <w:r>
        <w:rPr>
          <w:rFonts w:ascii="Times New Roman;serif" w:hAnsi="Times New Roman;serif"/>
          <w:b w:val="false"/>
          <w:i/>
          <w:color w:val="000000"/>
          <w:sz w:val="24"/>
        </w:rPr>
        <w:t>Definitions</w:t>
      </w:r>
      <w:r>
        <w:rPr>
          <w:rFonts w:ascii="Times New Roman;serif" w:hAnsi="Times New Roman;serif"/>
          <w:b w:val="false"/>
          <w:color w:val="000000"/>
          <w:sz w:val="24"/>
        </w:rPr>
        <w:t>. For purposes of these by-laws, including Section 13 and Section 14, “</w:t>
      </w:r>
      <w:r>
        <w:rPr>
          <w:rFonts w:ascii="Times New Roman;serif" w:hAnsi="Times New Roman;serif"/>
          <w:b/>
          <w:color w:val="000000"/>
          <w:sz w:val="24"/>
        </w:rPr>
        <w:t>Close of Business</w:t>
      </w:r>
      <w:r>
        <w:rPr>
          <w:color w:val="000000"/>
        </w:rPr>
        <w:t xml:space="preserve">” </w:t>
      </w:r>
      <w:r>
        <w:rPr>
          <w:rFonts w:ascii="Times New Roman;serif" w:hAnsi="Times New Roman;serif"/>
          <w:b w:val="false"/>
          <w:color w:val="000000"/>
          <w:sz w:val="24"/>
        </w:rPr>
        <w:t>shall mean 6:00 p.m. local time at the principal executive offices of the corporation on any calendar day, whether or not the day is a business day, and a “</w:t>
      </w:r>
      <w:r>
        <w:rPr>
          <w:rFonts w:ascii="Times New Roman;serif" w:hAnsi="Times New Roman;serif"/>
          <w:b/>
          <w:color w:val="000000"/>
          <w:sz w:val="24"/>
        </w:rPr>
        <w:t>Public Announcement</w:t>
      </w:r>
      <w:r>
        <w:rPr>
          <w:color w:val="000000"/>
        </w:rPr>
        <w:t xml:space="preserve">” </w:t>
      </w:r>
      <w:r>
        <w:rPr>
          <w:rFonts w:ascii="Times New Roman;serif" w:hAnsi="Times New Roman;serif"/>
          <w:b w:val="false"/>
          <w:color w:val="000000"/>
          <w:sz w:val="24"/>
        </w:rPr>
        <w:t>shall mean disclosure in a press release reported by the Dow Jones News Service, Associated Press or a comparable national news service or in a document publicly filed by the corporation with the Securities and Exchange Commission pursuant to Sections 13, 14 or 15(d) of the 1934 Act. For purposes of Section 13(b)(ii)(A)(3) and Section 13(b)(ii)(D)(1), shares shall be treated as “</w:t>
      </w:r>
      <w:r>
        <w:rPr>
          <w:rFonts w:ascii="Times New Roman;serif" w:hAnsi="Times New Roman;serif"/>
          <w:b/>
          <w:color w:val="000000"/>
          <w:sz w:val="24"/>
        </w:rPr>
        <w:t>Beneficially Owned</w:t>
      </w:r>
      <w:r>
        <w:rPr>
          <w:color w:val="000000"/>
        </w:rPr>
        <w:t xml:space="preserve">” </w:t>
      </w:r>
      <w:r>
        <w:rPr>
          <w:rFonts w:ascii="Times New Roman;serif" w:hAnsi="Times New Roman;serif"/>
          <w:b w:val="false"/>
          <w:color w:val="000000"/>
          <w:sz w:val="24"/>
        </w:rPr>
        <w:t>by a person if the person beneficially owns such shares, directly or indirectly, for purposes of Section 13(d) of the 1934 Act and Regulations 13D and 13G thereunder or has or shares pursuant to any agreement, arrangement or understanding (whether or not in writing): (1) the right to acquire such shares (whether such right is exercisable immediately or only after the passage of time or the fulfillment of a condition or both); (2) the right to vote such shares, alone or in concert with others; and/or (3) investment power with respect to such shares, including the power to dispose of, or to direct the disposition of, such shares. For purposes of this Section 13 and Section 14 of these by-laws, to be considered a “</w:t>
      </w:r>
      <w:r>
        <w:rPr>
          <w:rFonts w:ascii="Times New Roman;serif" w:hAnsi="Times New Roman;serif"/>
          <w:b/>
          <w:color w:val="000000"/>
          <w:sz w:val="24"/>
        </w:rPr>
        <w:t>Qualified Representative</w:t>
      </w:r>
      <w:r>
        <w:rPr>
          <w:color w:val="000000"/>
        </w:rPr>
        <w:t xml:space="preserve">” </w:t>
      </w:r>
      <w:r>
        <w:rPr>
          <w:rFonts w:ascii="Times New Roman;serif" w:hAnsi="Times New Roman;serif"/>
          <w:b w:val="false"/>
          <w:color w:val="000000"/>
          <w:sz w:val="24"/>
        </w:rPr>
        <w:t>of a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stating that such person is authorized to act for such stockholder as proxy at the meeting of stockholders.</w:t>
      </w:r>
    </w:p>
    <w:p>
      <w:pPr>
        <w:pStyle w:val="TextBody"/>
        <w:bidi w:val="0"/>
        <w:spacing w:lineRule="auto" w:line="333" w:before="240" w:after="283"/>
        <w:ind w:left="0" w:right="0" w:firstLine="720"/>
        <w:jc w:val="both"/>
        <w:rPr/>
      </w:pPr>
      <w:r>
        <w:rPr>
          <w:rFonts w:ascii="Times New Roman;serif" w:hAnsi="Times New Roman;serif"/>
          <w:b w:val="false"/>
          <w:color w:val="010000"/>
          <w:sz w:val="24"/>
        </w:rPr>
        <w:t>(d)</w:t>
      </w:r>
      <w:r>
        <w:rPr>
          <w:rFonts w:ascii="Times New Roman;serif" w:hAnsi="Times New Roman;serif"/>
          <w:b w:val="false"/>
          <w:i/>
          <w:color w:val="000000"/>
          <w:sz w:val="24"/>
        </w:rPr>
        <w:t>Advance Notice of Director Nominations for Special Meetings</w:t>
      </w:r>
      <w:r>
        <w:rPr>
          <w:rFonts w:ascii="Times New Roman;serif" w:hAnsi="Times New Roman;serif"/>
          <w:b w:val="false"/>
          <w:color w:val="000000"/>
          <w:sz w:val="24"/>
        </w:rPr>
        <w:t xml:space="preserve">. For a special meeting of stockholders at which directors are to be elected pursuant to Section 2 of this Article II, nominations of persons for election to the Board of Directors shall be made only: (A) by or at the direction of the Board of Directors (or any authorized committee thereof), or (B) by any stockholder of the corporation who: (1) is a stockholder of record at the time of the giving of the notice required by this Section 13(d) and on the record date for the determination of stockholders entitled to vote at the special meeting, and (2) delivers a timely written notice of the nomination to the secretary of the corporation that includes the information set forth in Section 13(b) above, including the additional information required by Section 13(a) above; provided, however, that the Questionnaires described in Section 13(a)(i)(B) above shall be provided to the Secretary of the corporation within the time period for delivery of a stockholder’s notice under this Section 13(d). To be timely, such notice must be delivered to the secretary at the principal executive offices of the corporation not earlier than the Close of Business on the 120th day prior to the meeting and not later than the Close of Business on the later of the 90th day prior to such special meeting or the tenth day following the date on which Public Announcement of the date of the meeting and of the nominees proposed by the Board of Directors to be elected at such meeting is first made by the corporation. The number of nominees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 stockholder may nominate for election at the special meeting (or in the case of a stockholder giving the notice on behalf of a beneficial owner, the number of nominees a stockholder may nominate for election at the special meeting on behalf of the beneficial owner) shall not exceed the number of directors to be elected at such special meeting. In no event shall an adjournment, recess or postponement of a special meeting commence a new time period (or extend any time period) for the giving of a stockholder’s notice as described above. A person shall not be eligible for election or re-election as a director at a special meeting unless the person is nominated: (A) by or at the direction of the Board of Directors; or (B) by a stockholder in accordance with the notice procedures set forth in this Section 13(d).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(e)</w:t>
      </w:r>
      <w:r>
        <w:rPr>
          <w:rFonts w:ascii="Times New Roman;serif" w:hAnsi="Times New Roman;serif"/>
          <w:b w:val="false"/>
          <w:i/>
          <w:color w:val="000000"/>
          <w:sz w:val="24"/>
        </w:rPr>
        <w:t>General</w:t>
      </w:r>
      <w:r>
        <w:rPr>
          <w:rFonts w:ascii="Times New Roman;serif" w:hAnsi="Times New Roman;serif"/>
          <w:b w:val="false"/>
          <w:color w:val="000000"/>
          <w:sz w:val="24"/>
        </w:rPr>
        <w:t xml:space="preserve">. Without exception, no person shall be eligible for election or re-election as a director of the corporation at a meeting of stockholders unless nominated in accordance with the provisions set forth in this Section 13 or, with respect to annual meetings only, Section 14, and no other business shall be conducted at a meeting of stockholders except in accordance with the provisions set forth in these by-laws. Except as otherwise provided by applicable law, the Board of Directors (or an authorized committee thereof), or, at any meeting of stockholders, each of the Board of Directors, the Chairman of the Board and the chairperson of the meeting (in the case of Chairman of the Board and chairperson of the meeting, subject to the third sentence in Section 11(b) and supervision, discretion and control of the Board of Directors) shall have the power to determine whether a nomination or any other business proposed to be brought before the meeting was made or proposed, as the case may be, in accordance with the procedures set forth in these by-laws (including whether a stockholder or beneficial owner provided all information and complied with all representations required under Section 13(a) and/or this Section 13(b) and/or complied with the requirements of Rule 14a-19 under the 1934 Act). If any proposed nomination or other business is not in compliance with these by-laws, including due to a failure to comply with the requirements of Rule 14a-19 under the 1934 Act, then except as otherwise required by law, the chairperson of the meeting (subject to the third sentence in Section 11(b) and supervision, discretion and control of the Board of Directors) shall have the power to declare at the meeting that the nomination or other business was not made in accordance with the procedures prescribed by these by-laws and that the defective nomination or business shall be disregarded, notwithstanding that proxies and votes in respect of any such nomination or other business may have been received by the corporation. In furtherance and not by way of limitation of the foregoing provisions of this Section 13, unless otherwise required by law, or otherwise determined by the Chairman of the Board, the Board of Directors, or the chairperson of the meeting (in the case of Chairman of the Board and chairperson of the meeting, subject to the third sentence in Section 11(b) and supervision, discretion and control of the Board of Directors), if: (i) the stockholder does not provide (or supplement) the information required under Section 13(a) or Section 13(b) to the corporation within the time frames specified herein or (ii) the stockholder (or a Qualified Representative of the stockholder) does not appear at the meeting of stockholders of the corporation to present a nomination or other business, such nomination shall be disregarded and such other business shall not be transacted, notwithstanding that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proxies and votes in respect of any such nomination or other business may have been received by the corporation.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(f)</w:t>
      </w:r>
      <w:r>
        <w:rPr>
          <w:rFonts w:ascii="Times New Roman;serif" w:hAnsi="Times New Roman;serif"/>
          <w:b w:val="false"/>
          <w:i/>
          <w:color w:val="000000"/>
          <w:sz w:val="24"/>
        </w:rPr>
        <w:t xml:space="preserve">Other Requirements and Rights. </w:t>
      </w:r>
      <w:r>
        <w:rPr>
          <w:rFonts w:ascii="Times New Roman;serif" w:hAnsi="Times New Roman;serif"/>
          <w:b w:val="false"/>
          <w:color w:val="000000"/>
          <w:sz w:val="24"/>
        </w:rPr>
        <w:t>In addition to the foregoing provisions of this Section 13, a stockholder (and any beneficial owner on whose behalf a nomination is made or other business is proposed, and if such stockholder or beneficial owner is an entity, any Control Person) must also comply with all applicable requirements of state law and of the 1934 Act and the rules and regulations thereunder with respect to the matters set forth in this Section 13, including, with respect to business such stockholder intends to bring before a meeting that involves a proposal that such stockholder requests to be included in the corporation’s proxy statement, the requirements of Rule 14a-8 under the 1934 Act; provided, however, that any references in these by-laws to the 1934 Act or the rules and regulations promulgated thereunder are not intended to and shall not limit any requirements applicable to nominations or proposals as to any other business to be considered pursuant to this Section 13. Nothing in this Section 13 shall be deemed to affect any right of the corporation to omit a proposal from the corporation’s proxy statement pursuant to Rule 14a-8 under the 1934 Act. Any stockholder directly or indirectly soliciting proxies from other stockholders must use a proxy card color other than white, which shall be reserved for the exclusive use for solicitation by the board of directors.</w:t>
      </w:r>
    </w:p>
    <w:p>
      <w:pPr>
        <w:pStyle w:val="TextBody"/>
        <w:bidi w:val="0"/>
        <w:spacing w:lineRule="auto" w:line="333" w:before="240" w:after="283"/>
        <w:jc w:val="both"/>
        <w:rPr/>
      </w:pPr>
      <w:r>
        <w:rPr>
          <w:color w:val="000000"/>
        </w:rPr>
        <w:t>    </w:t>
      </w:r>
      <w:r>
        <w:rPr>
          <w:rFonts w:ascii="Times New Roman;serif" w:hAnsi="Times New Roman;serif"/>
          <w:b w:val="false"/>
          <w:color w:val="000000"/>
          <w:sz w:val="24"/>
          <w:u w:val="single"/>
        </w:rPr>
        <w:t>Section 14</w:t>
      </w:r>
      <w:r>
        <w:rPr>
          <w:rFonts w:ascii="Times New Roman;serif" w:hAnsi="Times New Roman;serif"/>
          <w:b w:val="false"/>
          <w:color w:val="000000"/>
          <w:sz w:val="24"/>
        </w:rPr>
        <w:t>.    </w:t>
      </w:r>
      <w:r>
        <w:rPr>
          <w:rFonts w:ascii="Times New Roman;serif" w:hAnsi="Times New Roman;serif"/>
          <w:b w:val="false"/>
          <w:color w:val="000000"/>
          <w:sz w:val="24"/>
          <w:u w:val="single"/>
        </w:rPr>
        <w:t>Proxy Access for Director Nominations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(a)</w:t>
      </w:r>
      <w:r>
        <w:rPr>
          <w:rFonts w:ascii="Times New Roman;serif" w:hAnsi="Times New Roman;serif"/>
          <w:b w:val="false"/>
          <w:i/>
          <w:color w:val="000000"/>
          <w:sz w:val="24"/>
        </w:rPr>
        <w:t xml:space="preserve">Eligibility. </w:t>
      </w:r>
      <w:r>
        <w:rPr>
          <w:rFonts w:ascii="Times New Roman;serif" w:hAnsi="Times New Roman;serif"/>
          <w:b w:val="false"/>
          <w:color w:val="000000"/>
          <w:sz w:val="24"/>
        </w:rPr>
        <w:t>Subject to the terms and conditions of these by-laws, in connection with an annual meeting of stockholders at which directors are to be elected, the corporation: (i) shall include in its proxy statement and on its form of proxy the names of, and (ii) shall include in its proxy statement the “Additional Information” (as defined below) relating to, a number of nominees specified pursuant to Article I, Section 14(b)(i) (the “Authorized Number”) for election to the Board of Directors submitted pursuant to this Section 14 (each, a “Stockholder Nominee”), if:</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(A)</w:t>
      </w:r>
      <w:r>
        <w:rPr>
          <w:rFonts w:ascii="Times New Roman;serif" w:hAnsi="Times New Roman;serif"/>
          <w:b w:val="false"/>
          <w:color w:val="000000"/>
          <w:sz w:val="24"/>
        </w:rPr>
        <w:t>the Stockholder Nominee satisfies the eligibility requirements in this Section 14;</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(B)</w:t>
      </w:r>
      <w:r>
        <w:rPr>
          <w:rFonts w:ascii="Times New Roman;serif" w:hAnsi="Times New Roman;serif"/>
          <w:b w:val="false"/>
          <w:color w:val="000000"/>
          <w:sz w:val="24"/>
        </w:rPr>
        <w:t>the Stockholder Nominee is identified in a timely notice (the “Stockholder Notice”) that satisfies this Section 14 and is delivered by a stockholder that qualifies as, or is acting on behalf of, an Eligible Stockholder (as defined below);</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(C)</w:t>
      </w:r>
      <w:r>
        <w:rPr>
          <w:rFonts w:ascii="Times New Roman;serif" w:hAnsi="Times New Roman;serif"/>
          <w:b w:val="false"/>
          <w:color w:val="000000"/>
          <w:sz w:val="24"/>
        </w:rPr>
        <w:t>the Eligible Stockholder satisfies the requirements in this Section 14 and expressly elects at the time of the delivery of the Stockholder Notice to have the Stockholder Nominee included in the corporation’s proxy materials; and</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(D)</w:t>
      </w:r>
      <w:r>
        <w:rPr>
          <w:rFonts w:ascii="Times New Roman;serif" w:hAnsi="Times New Roman;serif"/>
          <w:b w:val="false"/>
          <w:color w:val="000000"/>
          <w:sz w:val="24"/>
        </w:rPr>
        <w:t>the additional requirements of these by-laws are met.</w:t>
      </w:r>
    </w:p>
    <w:p>
      <w:pPr>
        <w:pStyle w:val="TextBody"/>
        <w:bidi w:val="0"/>
        <w:spacing w:before="0" w:after="0"/>
        <w:jc w:val="left"/>
        <w:rPr/>
      </w:pPr>
      <w:r>
        <w:rPr/>
      </w:r>
    </w:p>
    <w:p>
      <w:pPr>
        <w:pStyle w:val="TextBody"/>
        <w:bidi w:val="0"/>
        <w:spacing w:lineRule="auto" w:line="333"/>
        <w:ind w:left="0" w:right="0" w:firstLine="720"/>
        <w:jc w:val="left"/>
        <w:rPr/>
      </w:pPr>
      <w:r>
        <w:rPr>
          <w:rFonts w:ascii="Times New Roman;serif" w:hAnsi="Times New Roman;serif"/>
          <w:b w:val="false"/>
          <w:color w:val="000000"/>
          <w:sz w:val="24"/>
        </w:rPr>
        <w:t>(b)</w:t>
      </w:r>
      <w:r>
        <w:rPr>
          <w:rFonts w:ascii="Times New Roman;serif" w:hAnsi="Times New Roman;serif"/>
          <w:b w:val="false"/>
          <w:i/>
          <w:color w:val="000000"/>
          <w:sz w:val="24"/>
        </w:rPr>
        <w:t>Definitions.</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maximum number of Stockholder Nominees appearing in the corporation’s proxy materials with respect to an annual meeting of stockholders (the “Authorized Number”) shall not exceed the greater of (a) two or (b) 20% of the number of directors in office as of the last day on which a Stockholder Notice may be delivered pursuant to this Section 14 with respect to the annual meeting, or if such amount is not a whole number, the closest whole number (rounding down) below 20%, but not less than one; provided that the Authorized Number shall be reduced: (A) by any Stockholder Nominee whose name was submitted for inclusion in the corporation’s proxy materials pursuant to this Section 14 but either is subsequently withdrawn or that the Board of Directors decides to nominate as a Board nominee, (B) by any directors in office or director nominees that in either case shall be included in the corporation’s proxy materials with respect to the annual meeting as an unopposed (by the corporation) nominee pursuant to an agreement, arrangement or other understanding between the corporation and a stockholder or group of stockholders (other than any such agreement, arrangement or understanding entered into in connection with an acquisition of capital stock, by the stockholder or group of stockholders, from the corporation), (C) by any directors currently serving on the Board of Directors who were previously elected to the Board of Directors as Stockholder Nominees at any of the preceding two annual meetings and who are nominated for election at the annual meeting by the Board of Directors as a Board nominee, and (D) by any Stockholder Nominee who is not included in the corporation’s proxy materials or is not submitted for director election for any reason, in accordance with the last sentence of Article I, Section 14(d)(ii). In the event that one or more vacancies for any reason occurs after the date of the Stockholder Notice but before the annual meeting and the Board of Directors resolves to reduce the size of the Board of Directors in connection therewith, the Authorized Number shall be calculated based on the number of directors in office as so reduced.</w:t>
      </w:r>
    </w:p>
    <w:p>
      <w:pPr>
        <w:pStyle w:val="TextBody"/>
        <w:bidi w:val="0"/>
        <w:spacing w:lineRule="auto" w:line="333" w:before="240" w:after="283"/>
        <w:ind w:left="0" w:right="0" w:firstLine="1440"/>
        <w:jc w:val="both"/>
        <w:rPr/>
      </w:pPr>
      <w:r>
        <w:rPr>
          <w:rFonts w:ascii="Times New Roman;serif" w:hAnsi="Times New Roman;serif"/>
          <w:b w:val="false"/>
          <w:color w:val="000000"/>
          <w:sz w:val="20"/>
        </w:rPr>
        <w:t>(ii)</w:t>
      </w:r>
      <w:r>
        <w:rPr>
          <w:color w:val="000000"/>
        </w:rPr>
        <w:t>    </w:t>
      </w:r>
      <w:r>
        <w:rPr>
          <w:rFonts w:ascii="Times New Roman;serif" w:hAnsi="Times New Roman;serif"/>
          <w:b w:val="false"/>
          <w:color w:val="000000"/>
          <w:sz w:val="24"/>
        </w:rPr>
        <w:t>To qualify as an “Eligible Stockholder,” a stockholder or a group as described in this Section 14 must:</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(A)</w:t>
      </w:r>
      <w:r>
        <w:rPr>
          <w:rFonts w:ascii="Times New Roman;serif" w:hAnsi="Times New Roman;serif"/>
          <w:b w:val="false"/>
          <w:color w:val="000000"/>
          <w:sz w:val="24"/>
        </w:rPr>
        <w:t>Own and have Owned (as defined below), continuously for at least three years as of the date of the Stockholder Notice, a number of shares (as adjusted to account for any stock dividend, stock split, subdivision, combination, reclassification or recapitalization of outstanding shares of capital stock of the corporation that are entitled to vote generally in the election of directors) that represents at least 3% of the outstanding shares of capital stock of the corporation that are entitled to vote generally in the election of directors as of the date of the Stockholder Notice (the “Required Shares”); and</w:t>
      </w:r>
    </w:p>
    <w:p>
      <w:pPr>
        <w:pStyle w:val="TextBody"/>
        <w:bidi w:val="0"/>
        <w:spacing w:lineRule="auto" w:line="333" w:before="240" w:after="283"/>
        <w:ind w:left="0" w:right="0" w:firstLine="2970"/>
        <w:jc w:val="both"/>
        <w:rPr/>
      </w:pPr>
      <w:r>
        <w:rPr>
          <w:rFonts w:ascii="Times New Roman;serif" w:hAnsi="Times New Roman;serif"/>
          <w:b w:val="false"/>
          <w:color w:val="010000"/>
          <w:sz w:val="24"/>
        </w:rPr>
        <w:t>(B)</w:t>
      </w:r>
      <w:r>
        <w:rPr>
          <w:rFonts w:ascii="Times New Roman;serif" w:hAnsi="Times New Roman;serif"/>
          <w:b w:val="false"/>
          <w:color w:val="000000"/>
          <w:sz w:val="24"/>
        </w:rPr>
        <w:t>thereafter continue to Own the Required Shares through such annual meeting of stockholders.</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33" w:before="240" w:after="283"/>
        <w:ind w:left="0" w:right="0" w:firstLine="2970"/>
        <w:jc w:val="both"/>
        <w:rPr>
          <w:rFonts w:ascii="Times New Roman;serif" w:hAnsi="Times New Roman;serif"/>
          <w:b w:val="false"/>
          <w:color w:val="000000"/>
          <w:sz w:val="24"/>
        </w:rPr>
      </w:pPr>
      <w:r>
        <w:rPr>
          <w:rFonts w:ascii="Times New Roman;serif" w:hAnsi="Times New Roman;serif"/>
          <w:b w:val="false"/>
          <w:color w:val="000000"/>
          <w:sz w:val="24"/>
        </w:rPr>
        <w:t>For purposes of satisfying the ownership requirements of this Section 14(b)(ii), a group of not more than twenty stockholders and/or beneficial owners may aggregate the number of shares of capital stock of the corporation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14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14. A group of any two or more funds shall be treated as only one stockholder or beneficial owner for this purpose if they are (1) under common management and investment control, (2) under common management and funded primarily by a single employer, or (3) part of a “group of investment companies,” as such term is defined in Section 12(d)(1)(G)(ii) of the Investment Company Act of 1940, as amended. For purposes of this Section 14, the term “affiliate” or “affiliates” shall have the meanings ascribed thereto under the rules and regulations promulgated under the 1934 Act.</w:t>
      </w:r>
    </w:p>
    <w:p>
      <w:pPr>
        <w:pStyle w:val="TextBody"/>
        <w:bidi w:val="0"/>
        <w:spacing w:lineRule="auto" w:line="333" w:before="240" w:after="283"/>
        <w:ind w:left="0" w:right="0" w:firstLine="1440"/>
        <w:jc w:val="both"/>
        <w:rPr/>
      </w:pPr>
      <w:r>
        <w:rPr>
          <w:rFonts w:ascii="Times New Roman;serif" w:hAnsi="Times New Roman;serif"/>
          <w:b w:val="false"/>
          <w:color w:val="000000"/>
          <w:sz w:val="20"/>
        </w:rPr>
        <w:t>(iii)</w:t>
      </w:r>
      <w:r>
        <w:rPr>
          <w:color w:val="000000"/>
        </w:rPr>
        <w:t>    </w:t>
      </w:r>
      <w:r>
        <w:rPr>
          <w:rFonts w:ascii="Times New Roman;serif" w:hAnsi="Times New Roman;serif"/>
          <w:b w:val="false"/>
          <w:color w:val="000000"/>
          <w:sz w:val="24"/>
        </w:rPr>
        <w:t>For purposes of this Section 14:</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(A)</w:t>
      </w:r>
      <w:r>
        <w:rPr>
          <w:rFonts w:ascii="Times New Roman;serif" w:hAnsi="Times New Roman;serif"/>
          <w:b w:val="false"/>
          <w:color w:val="000000"/>
          <w:sz w:val="24"/>
        </w:rPr>
        <w:t>A stockholder or beneficial owner is deemed to “Own” only those outstanding shares of capital stock of the corporation that are entitled to vote generally in the election of directors as to which the person possesses both: (1) the full voting and investment rights pertaining to the shares, and (2) the full economic interest in (including the opportunity for profit and risk of loss on) such shares, except that the number of shares calculated in accordance with clauses (1) and (2) shall not include any shares: (a) sold by such person in any transaction that has not been settled or closed, (b) borrowed by the person for any purposes or purchased by the person pursuant to an agreement to resell, or (c) subject to any option, warrant, forward contract, swap, contract of sale, or other derivative or similar agreement entered into by the person, whether the instrument or agreement is to be settled with shares or with cash based on the notional amount or value of outstanding shares of capital stock of the corporation that are entitled to vote generally in the election of directors, if the instrument or agreement has, or is intended to have, or if exercised would have, the purpose or effect of: (i) reducing in any manner, to any extent or at any time in the future, the person’s full right to vote or direct the voting of the shares, and/or (ii)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 (a) through (c), the term “person” includes its affiliates.</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A stockholder or beneficial owner “Owns” shares held in the name of a nominee or other intermediary so long as the person retains both: (1) the full voting and investment rights pertaining to the shares, and (2) the full economic interest in the shares. The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person’s Ownership of shares is deemed to continue during any period in which the person has delegated any voting power by means of a proxy, power of attorney, or other instrument or arrangement that is revocable at any time by the stockholder.</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A stockholder or beneficial owner’s Ownership of shares shall be deemed to continue during any period in which the person has loaned the shares if the person has the power to recall the loaned shares on not more than five business days’ notice and (1) the person recalls the loaned shares within five business days of being notified that its Stockholder Nominee shall be included in the corporation’s proxy materials for the relevant annual meeting, and (2) the person holds the recalled shares through the annual meeting. </w:t>
      </w:r>
    </w:p>
    <w:p>
      <w:pPr>
        <w:pStyle w:val="TextBody"/>
        <w:bidi w:val="0"/>
        <w:spacing w:lineRule="auto" w:line="333" w:before="240" w:after="283"/>
        <w:ind w:left="0" w:right="0" w:firstLine="1440"/>
        <w:jc w:val="both"/>
        <w:rPr/>
      </w:pPr>
      <w:r>
        <w:rPr>
          <w:rFonts w:ascii="Times New Roman;serif" w:hAnsi="Times New Roman;serif"/>
          <w:b w:val="false"/>
          <w:color w:val="000000"/>
          <w:sz w:val="20"/>
        </w:rPr>
        <w:t>(iv)</w:t>
      </w:r>
      <w:r>
        <w:rPr>
          <w:color w:val="000000"/>
        </w:rPr>
        <w:t>    </w:t>
      </w:r>
      <w:r>
        <w:rPr>
          <w:rFonts w:ascii="Times New Roman;serif" w:hAnsi="Times New Roman;serif"/>
          <w:b w:val="false"/>
          <w:color w:val="000000"/>
          <w:sz w:val="24"/>
        </w:rPr>
        <w:t>For purposes of this Section 14, the “Additional Information” referred to in Section 14(a)(ii) that the corporation will include in its proxy statement is:</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(A)</w:t>
      </w:r>
      <w:r>
        <w:rPr>
          <w:rFonts w:ascii="Times New Roman;serif" w:hAnsi="Times New Roman;serif"/>
          <w:b w:val="false"/>
          <w:color w:val="000000"/>
          <w:sz w:val="24"/>
        </w:rPr>
        <w:t>the information set forth in the Schedule 14N provided with the Stockholder Notice concerning each Stockholder Nominee and the Eligible Stockholder that is required to be disclosed in the corporation’s proxy statement by the applicable requirements of the 1934 Act and the rules and regulations thereunder; and</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(B)</w:t>
      </w:r>
      <w:r>
        <w:rPr>
          <w:rFonts w:ascii="Times New Roman;serif" w:hAnsi="Times New Roman;serif"/>
          <w:b w:val="false"/>
          <w:color w:val="000000"/>
          <w:sz w:val="24"/>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corporation’s proxy statement for the annual meeting (the “Statement”).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in this Section 14,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14 shall limit the corporation’s ability to solicit against and include in its proxy materials its own statements relating to any Eligible Stockholder or Stockholder Nominee.</w:t>
      </w:r>
    </w:p>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(c)</w:t>
      </w:r>
      <w:r>
        <w:rPr>
          <w:rFonts w:ascii="Times New Roman;serif" w:hAnsi="Times New Roman;serif"/>
          <w:b w:val="false"/>
          <w:i/>
          <w:color w:val="000000"/>
          <w:sz w:val="24"/>
        </w:rPr>
        <w:t xml:space="preserve">Stockholder Notice and Other Informational Requirements. </w:t>
      </w:r>
    </w:p>
    <w:p>
      <w:pPr>
        <w:pStyle w:val="TextBody"/>
        <w:bidi w:val="0"/>
        <w:spacing w:before="0" w:after="0"/>
        <w:jc w:val="left"/>
        <w:rPr/>
      </w:pPr>
      <w:r>
        <w:rPr/>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Stockholder Notice shall set forth all information, representations and agreements required under Section 13(a)(i) above, including the information required with respect to any nominee for election as a director, any stockholder giving notice of an intent to nominate a candidate for election, and any stockholder, beneficial owner or other person on whose behalf the nomination is made under this Section 14. In addition, such Stockholder Notice shall include:</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24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(A)    a copy of the Schedule 14N that has been or concurrently is filed with the SEC under the 1934 Act;</w:t>
      </w:r>
    </w:p>
    <w:p>
      <w:pPr>
        <w:pStyle w:val="TextBody"/>
        <w:bidi w:val="0"/>
        <w:spacing w:lineRule="auto" w:line="333" w:before="24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(B)    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(i) setting forth and certifying to the number of shares of capital stock of the corporation that are entitled to vote generally in the election of directors the Eligible Stockholder Owns and has Owned (as defined in Article I, Section 14(b)(iii)) continuously for at least three years as of the date of the Stockholder Notice, and (ii) agreeing to continue to Own such shares through the annual meeting;</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written agreement of the Eligible Stockholder (and in the case of a group, the written agreement of each stockholder or beneficial owner whose shares are aggregated for purposes of constituting an Eligible Stockholder) addressed to the corporation, setting forth the following additional agreements, representations, and warranties: </w:t>
      </w:r>
    </w:p>
    <w:p>
      <w:pPr>
        <w:pStyle w:val="TextBody"/>
        <w:bidi w:val="0"/>
        <w:spacing w:lineRule="auto" w:line="333" w:before="240" w:after="283"/>
        <w:ind w:left="0" w:right="0" w:firstLine="3600"/>
        <w:jc w:val="both"/>
        <w:rPr/>
      </w:pPr>
      <w:r>
        <w:rPr>
          <w:rFonts w:ascii="Times New Roman;serif" w:hAnsi="Times New Roman;serif"/>
          <w:b w:val="false"/>
          <w:color w:val="010000"/>
          <w:sz w:val="24"/>
        </w:rPr>
        <w:t>(1)</w:t>
      </w:r>
      <w:r>
        <w:rPr>
          <w:rFonts w:ascii="Times New Roman;serif" w:hAnsi="Times New Roman;serif"/>
          <w:b w:val="false"/>
          <w:color w:val="000000"/>
          <w:sz w:val="24"/>
        </w:rPr>
        <w:t xml:space="preserve">it shall provide: (a)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14, (b) within five business days after the record date for determining stockholders entitled to vote at the annual meeting both the information required under clauses (b)(ii)(C)(2) and (b)(ii)(D)(1)-(3) of Section 13 above and notification in writing verifying the Eligible Stockholder’s continuous Ownership of the Required Shares, in each case, as of such date, and (c) immediate notice to the corporation if the Eligible Stockholder ceases to own any of the Required Shares prior to the annual meeting; </w:t>
      </w:r>
    </w:p>
    <w:p>
      <w:pPr>
        <w:pStyle w:val="TextBody"/>
        <w:bidi w:val="0"/>
        <w:spacing w:before="0" w:after="0"/>
        <w:jc w:val="left"/>
        <w:rPr/>
      </w:pPr>
      <w:r>
        <w:rPr/>
      </w:r>
    </w:p>
    <w:p>
      <w:pPr>
        <w:pStyle w:val="TextBody"/>
        <w:bidi w:val="0"/>
        <w:spacing w:lineRule="auto" w:line="333" w:before="240" w:after="283"/>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(2)    it: (a) acquired the Required Shares in the ordinary course of business and not with the intent to change or influence control at the corporation, and does not presently have this intent, (b) has not nominated and shall not nominate for election to the Board of Directors at the annual meeting any person other than the Stockholder Nominee(s) being nominated pursuant to this Section 14, (c) has not engaged and shall not engage in, and has not been and shall not be a participant (as defined in Item 4 of 1934 Act Schedule 14A) in, a solicitation within the meaning of 1934 Act Rule 14a-1(l), in support of the election of any individual as a director at the annual meeting other than its Stockholder Nominee(s) or any nominee(s) of the Board of Directors, and (d) shall not distribute to any stockholder any form of proxy for the annual meeting other than the form distributed by the corporation; and</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240" w:after="283"/>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(3)    it will: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the nomination or solicitation process pursuant to this Section 14, (c) comply with all laws, rules, regulations and listing standards applicable to its nomination or any solicitation in connection with the annual meeting, (d) file with the SEC any solicitation or other communication by or on behalf of the Eligible Stockholder relating to the corporation’s annual meeting of stockholders, one or more of the corporation’s directors or director nominees or any Stockholder Nominee, regardless of whether the filing is required under the 1934 Act Regulation 14A, or whether any exemption from filing is available for the materials under the 1934 Act Regulation 14A, and (e) at the request of the corporation, promptly, but in any event within five business days after such request (or by the day prior to the day of the annual meeting, if earlier), provide to the corporation such additional information as the corporation may reasonably request; and</w:t>
      </w:r>
    </w:p>
    <w:p>
      <w:pPr>
        <w:pStyle w:val="TextBody"/>
        <w:bidi w:val="0"/>
        <w:spacing w:lineRule="auto" w:line="333" w:before="24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(D)    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corporation demonstrating that the number of stockholders and/or beneficial owners within such group does not exceed twenty, including whether a group of funds qualifies as one stockholder or beneficial owner within the meaning of Article I, Section 14(b)(ii). </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To be timely under this Section 14, the Stockholder Notice must be delivered by a stockholder to the secretary of the corporation at the principal executive offices of the corporation not later than the close of business (as defined in Section 13(c) above) on the one hundred twentieth day nor earlier than the close of business on the one hundred fiftieth day prior to the first anniversary of the date (as stated in the corporation’s proxy materials) the definitive proxy statement was first released to stockholders in connection with the preceding year’s annual meeting of stockholders; provided, however, that in the event that the date of the annual meeting is more than thirty days before or after the anniversary of the previous year’s annual meeting, or if no annual meeting was held in the preceding year, to be timely, the Stockholder Notice must be so delivered not earlier than the close of business on the one hundred fiftieth day prior to such annual meeting and not later than the close of business on the later of the one hundred twentieth day prior to such annual meeting or the tenth day following the day on which public announcement (as defined in Section 13(c) above) of the date of such meeting is first made by the corporation. In no event shall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the Stockholder Notice as described above. </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The Stockholder Notice shall include, for each Stockholder Nominee, all written and signed representations and agreements required pursuant to Section 13(a)(i)(A) above. In addition to the information required in a Stockholder Notice, the Questionnaires described in Section 13(a)(i)(B) above shall be provided to the secretary of the corporation within the time period for delivery of a Stockholder Notice. At the request of the corporation, a Stockholder Nominee shall promptly, but in any event within five business days after such request (or by the day prior to the day of the annual meeting, if earlier), provide to the corporation such additional information as the corporation may reasonably request. The corporation may request such additional information as necessary to permit the corporation to determine if a Stockholder Nominee satisfies the requirements of this Section 14, including information relevant to a determination whether the Stockholder Nominee can be considered an independent director. </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corporation’s right to omit a Stockholder Nominee from its proxy materials as provided in this Section 14.</w:t>
      </w:r>
    </w:p>
    <w:p>
      <w:pPr>
        <w:pStyle w:val="TextBody"/>
        <w:bidi w:val="0"/>
        <w:spacing w:before="0" w:after="0"/>
        <w:jc w:val="left"/>
        <w:rPr/>
      </w:pPr>
      <w:r>
        <w:rPr/>
      </w:r>
    </w:p>
    <w:p>
      <w:pPr>
        <w:pStyle w:val="TextBody"/>
        <w:bidi w:val="0"/>
        <w:spacing w:lineRule="auto" w:line="333" w:before="0" w:after="0"/>
        <w:ind w:left="0" w:right="0" w:firstLine="1440"/>
        <w:jc w:val="left"/>
        <w:rPr/>
      </w:pPr>
      <w:r>
        <w:rPr>
          <w:rFonts w:ascii="Times New Roman;serif" w:hAnsi="Times New Roman;serif"/>
          <w:b w:val="false"/>
          <w:color w:val="000000"/>
          <w:sz w:val="20"/>
        </w:rPr>
        <w:t>(v)</w:t>
      </w:r>
      <w:r>
        <w:rPr>
          <w:color w:val="000000"/>
        </w:rPr>
        <w:t>    </w:t>
      </w:r>
      <w:r>
        <w:rPr>
          <w:rFonts w:ascii="Times New Roman;serif" w:hAnsi="Times New Roman;serif"/>
          <w:b w:val="false"/>
          <w:color w:val="000000"/>
          <w:sz w:val="24"/>
        </w:rPr>
        <w:t>All information provided pursuant to this Section 14(c) shall be deemed part of the Stockholder Notice for purposes of this Section 14.</w:t>
      </w:r>
    </w:p>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(d)</w:t>
      </w:r>
      <w:r>
        <w:rPr>
          <w:rFonts w:ascii="Times New Roman;serif" w:hAnsi="Times New Roman;serif"/>
          <w:b w:val="false"/>
          <w:i/>
          <w:color w:val="000000"/>
          <w:sz w:val="24"/>
        </w:rPr>
        <w:t>Proxy Access Procedures.</w:t>
      </w:r>
    </w:p>
    <w:p>
      <w:pPr>
        <w:pStyle w:val="TextBody"/>
        <w:bidi w:val="0"/>
        <w:spacing w:before="0" w:after="0"/>
        <w:jc w:val="left"/>
        <w:rPr/>
      </w:pPr>
      <w:r>
        <w:rPr/>
      </w:r>
    </w:p>
    <w:p>
      <w:pPr>
        <w:pStyle w:val="TextBody"/>
        <w:bidi w:val="0"/>
        <w:spacing w:lineRule="auto" w:line="333" w:before="0" w:after="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Notwithstanding anything to the contrary contained in this Section 14, the corporation may omit from its proxy materials any Stockholder Nominee, and such nomination shall be disregarded and no vote on such Stockholder Nominee shall occur, notwithstanding that proxies in respect of such vote may have been received by the corporation, if:</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the Eligible Stockholder or Stockholder Nominee breaches any of its agreements, representations or warranties set forth in the Stockholder Notice or otherwise submitted pursuant to this Section 14, any of the information in the Stockholder Notice or otherwise submitted pursuant to this Section 14 was not, when provided, true, correct and complete, or the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Eligible Stockholder or applicable Stockholder Nominee otherwise fails to comply with its obligations pursuant to these by-laws, including, but not limited to, its obligations under this Section 14;</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(B)</w:t>
      </w:r>
      <w:r>
        <w:rPr>
          <w:rFonts w:ascii="Times New Roman;serif" w:hAnsi="Times New Roman;serif"/>
          <w:b w:val="false"/>
          <w:color w:val="000000"/>
          <w:sz w:val="24"/>
        </w:rPr>
        <w:t>the Stockholder Nominee: (i) is not independent under any applicable listing standards, any applicable rules of the Securities and Exchange Commission and any publicly disclosed standards used by the Board of Directors in determining and disclosing the independence of the corporation’s directors, (ii) is or has been, within the past three years, an officer or director of a competitor, as defined for the purposes of Section 8 of the Clayton Antitrust Act of 1914, as amended, (iii) is a named subject of a pending criminal proceeding (excluding traffic violations and other minor offenses) or has been convicted in a criminal proceeding (excluding traffic violations and other minor offenses) within the past ten years, or (iv) is subject to any order of the type specified in Rule 506(d) of Regulation D promulgated under the Securities Act of 1933, as amended;</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(C)</w:t>
      </w:r>
      <w:r>
        <w:rPr>
          <w:rFonts w:ascii="Times New Roman;serif" w:hAnsi="Times New Roman;serif"/>
          <w:b w:val="false"/>
          <w:color w:val="000000"/>
          <w:sz w:val="24"/>
        </w:rPr>
        <w:t>the corporation has received a notice (whether or not subsequently withdrawn) that a stockholder intends to nominate any candidate for election to the Board of Directors pursuant to the advance notice requirements for stockholder nominees for director in Section 13(a) above; or</w:t>
      </w:r>
    </w:p>
    <w:p>
      <w:pPr>
        <w:pStyle w:val="TextBody"/>
        <w:bidi w:val="0"/>
        <w:spacing w:lineRule="auto" w:line="333" w:before="240" w:after="283"/>
        <w:ind w:left="0" w:right="0" w:firstLine="2880"/>
        <w:jc w:val="both"/>
        <w:rPr/>
      </w:pPr>
      <w:r>
        <w:rPr>
          <w:rFonts w:ascii="Times New Roman;serif" w:hAnsi="Times New Roman;serif"/>
          <w:b w:val="false"/>
          <w:color w:val="010000"/>
          <w:sz w:val="24"/>
        </w:rPr>
        <w:t>(D)</w:t>
      </w:r>
      <w:r>
        <w:rPr>
          <w:rFonts w:ascii="Times New Roman;serif" w:hAnsi="Times New Roman;serif"/>
          <w:b w:val="false"/>
          <w:color w:val="000000"/>
          <w:sz w:val="24"/>
        </w:rPr>
        <w:t>the election of the Stockholder Nominee to the Board of Directors would cause the corporation to violate the certificate of incorporation, these by-laws, or any applicable law, rule, regulation or listing standard.</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An Eligible Stockholder submitting more than one Stockholder Nominee for inclusion in the corporation’s proxy materials pursuant to this Section 14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Section 14 exceeds the Authorized Number, the Stockholder Nominees to be included in the corporation’s proxy materials shall be determined in accordance with the following provisions: one Stockholder Nominee who satisfies the eligibility requirements in this Section 14 shall be selected from each Eligible Stockholder for inclusion in the corporation’s proxy materials until the Authorized Number is reached, going in order of the amount (largest to smallest) of shares of the corporation each Eligible Stockholder disclosed as Owned in its Stockholder Notice submitted to the corporation and going in the order of the rank (highest to lowest) assigned to each Stockholder Nominee by such Eligible Stockholder. If the Authorized Number is not reached after one Stockholder Nominee who satisfies the eligibility requirements in this Section 14 has been selected from each Eligible Stockholder, this selection process shall continue as many times as necessary, following the same order each time, until the Authorized Number is reached. Following such determination, if any Stockholder Nominee who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satisfies the eligibility requirements in this Section 14 thereafter is nominated by the Board of Directors, thereafter is not included in the corporation’s proxy materials or thereafter is not submitted for director election for any reason (including the Eligible Stockholder’s or Stockholder Nominee’s failure to comply with this Section 14), no other nominee or nominees shall be included in the corporation’s proxy materials or otherwise submitted for election as a director at the applicable annual meeting in substitution for such Stockholder Nominee.</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Any Stockholder Nominee who is included in the corporation’s proxy materials for a particular annual meeting of stockholders but either (a)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that is at least equal to 25% of the shares present in person or represented by proxy and entitled to vote in the election of directors, shall be ineligible to be a Stockholder Nominee pursuant to this Section 14 for the next two annual meetings.</w:t>
      </w:r>
    </w:p>
    <w:p>
      <w:pPr>
        <w:pStyle w:val="TextBody"/>
        <w:bidi w:val="0"/>
        <w:spacing w:lineRule="auto" w:line="333"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Notwithstanding the foregoing provisions of this Section 14, unless otherwise required by law or otherwise determined by the chairperson of the meeting or the Board of Directors, if the stockholder delivering the Stockholder Notice (or a Qualified Representative of the stockholder, as defined in Section 13(c) above) does not appear at the annual meeting of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Without limiting the Board of Directors’ power and authority to interpret any other provisions of these by-laws, the Board of Directors (and any other person or body authorized by the Board of Directors) shall have the power and authority to interpret this Section 14 and to make any and all determinations necessary or advisable to apply this Section 14 to any persons, facts or circumstances, in each case acting in good faith. This Section 14 shall be the exclusive method for stockholders to include nominees for director election in the corporation’s proxy materials.</w:t>
      </w:r>
    </w:p>
    <w:p>
      <w:pPr>
        <w:pStyle w:val="TextBody"/>
        <w:bidi w:val="0"/>
        <w:spacing w:lineRule="auto" w:line="333" w:before="240" w:after="283"/>
        <w:jc w:val="both"/>
        <w:rPr/>
      </w:pPr>
      <w:r>
        <w:rPr>
          <w:color w:val="000000"/>
        </w:rPr>
        <w:t>    </w:t>
      </w:r>
      <w:r>
        <w:rPr>
          <w:rFonts w:ascii="Times New Roman;serif" w:hAnsi="Times New Roman;serif"/>
          <w:b w:val="false"/>
          <w:color w:val="000000"/>
          <w:sz w:val="24"/>
          <w:u w:val="single"/>
        </w:rPr>
        <w:t>Section 15</w:t>
      </w:r>
      <w:r>
        <w:rPr>
          <w:rFonts w:ascii="Times New Roman;serif" w:hAnsi="Times New Roman;serif"/>
          <w:b w:val="false"/>
          <w:color w:val="000000"/>
          <w:sz w:val="24"/>
        </w:rPr>
        <w:t>.    </w:t>
      </w:r>
      <w:r>
        <w:rPr>
          <w:rFonts w:ascii="Times New Roman;serif" w:hAnsi="Times New Roman;serif"/>
          <w:b w:val="false"/>
          <w:color w:val="000000"/>
          <w:sz w:val="24"/>
          <w:u w:val="single"/>
        </w:rPr>
        <w:t>Delivery to the Corporation</w:t>
      </w:r>
      <w:r>
        <w:rPr>
          <w:rFonts w:ascii="Times New Roman;serif" w:hAnsi="Times New Roman;serif"/>
          <w:b w:val="false"/>
          <w:color w:val="000000"/>
          <w:sz w:val="24"/>
        </w:rPr>
        <w:t>. Whenever this Article requires one or more persons (including a record or beneficial owner of stock) to deliver a document or information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III</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BOARD OF DIRECTORS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General Powers</w:t>
      </w:r>
      <w:r>
        <w:rPr>
          <w:rFonts w:ascii="Times New Roman;serif" w:hAnsi="Times New Roman;serif"/>
          <w:b w:val="false"/>
          <w:color w:val="000000"/>
          <w:sz w:val="24"/>
        </w:rPr>
        <w:t>. The business and affairs of the corporation shall be managed by or under the direction of the Board of Directors, except as otherwise required by the DGCL or as provided in the certificate of incorporation (including any certificate of designations relating to any series of preferred stock).</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Number</w:t>
      </w:r>
      <w:r>
        <w:rPr>
          <w:rFonts w:ascii="Times New Roman;serif" w:hAnsi="Times New Roman;serif"/>
          <w:b w:val="false"/>
          <w:color w:val="000000"/>
          <w:sz w:val="24"/>
        </w:rPr>
        <w:t xml:space="preserve">. The number of directors which shall constitute the Board of Directors shall be not less than nine (9) nor more than thirteen (13), as set from time to time by resolution of the Board of Directors or the stockholders, except as otherwise provided for or fixed pursuant to the certificate of incorporation (including any certificate of designations relating to any series of preferred stock).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w:t>
      </w:r>
      <w:r>
        <w:rPr>
          <w:rFonts w:ascii="Times New Roman;serif" w:hAnsi="Times New Roman;serif"/>
          <w:b w:val="false"/>
          <w:color w:val="000000"/>
          <w:sz w:val="24"/>
          <w:u w:val="single"/>
        </w:rPr>
        <w:t>Election of Directors and Term of Office</w:t>
      </w:r>
      <w:r>
        <w:rPr>
          <w:rFonts w:ascii="Times New Roman;serif" w:hAnsi="Times New Roman;serif"/>
          <w:b w:val="false"/>
          <w:color w:val="000000"/>
          <w:sz w:val="24"/>
        </w:rPr>
        <w:t xml:space="preserve">. Except as provided in Section 5 of this Article III, each nominee for election as a director shall be elected by the vote of a majority of the votes cast with respect to the director nominee at any meeting for the election of directors at which a quorum is present,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at a contested election meeting, director nominees shall be elected by a plurality of the votes cast by the holders of the shares present in person or represented by proxy at the meeting and entitled to vote on the election of directors. For purposes of this section, a majority of the votes cast means that the number of shares voted “for” a director nominee must exceed the number of votes cast “against” that director nominee. For purposes of this section, a “contested election meeting” is any meeting of stockholders for which (a) the secretary of the corporation receives a notice that a stockholder has nominated a person for election to the Board of Directors in compliance with the advance notice requirements for stockholder nominees for director set forth in Section 13 of Article II herein, and (b) such nomination has not been withdrawn by such stockholder on or prior to the tenth day preceding the date the corporation first gives notice of such meeting to the stockholders, as required by Section 4 of Article II herein. At each annual meeting of the stockholders, the stockholders shall elect the successors of the directors whose terms expire at such meeting, to hold office until their successors are duly elected and qualified at the next annual meeting of stockholders or until their earlier death, resignation, retirement, disqualification or removal as herein or in the certificate of incorporation provided (including any certificate of designations relating to any series of preferred stock). The directors shall be elected in this manner, except as provided in Section 5 of this Article III and the certificate of incorporation (including any certificate of designations relating to any series of preferred stock). </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4</w:t>
      </w:r>
      <w:r>
        <w:rPr>
          <w:rFonts w:ascii="Times New Roman;serif" w:hAnsi="Times New Roman;serif"/>
          <w:b w:val="false"/>
          <w:color w:val="000000"/>
          <w:sz w:val="24"/>
        </w:rPr>
        <w:t>.    </w:t>
      </w:r>
      <w:r>
        <w:rPr>
          <w:rFonts w:ascii="Times New Roman;serif" w:hAnsi="Times New Roman;serif"/>
          <w:b w:val="false"/>
          <w:color w:val="000000"/>
          <w:sz w:val="24"/>
          <w:u w:val="single"/>
        </w:rPr>
        <w:t>Removal and Resignation</w:t>
      </w:r>
      <w:r>
        <w:rPr>
          <w:rFonts w:ascii="Times New Roman;serif" w:hAnsi="Times New Roman;serif"/>
          <w:b w:val="false"/>
          <w:color w:val="000000"/>
          <w:sz w:val="24"/>
        </w:rPr>
        <w:t xml:space="preserve">. Any director or the entire Board of Directors may be removed at any time, with or without cause, by the holders of a majority of the shares then entitled to vote at an election of directors. Whenever the holders of any class or series are entitled to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elect one or more directors by the provisions of the corporation’s certificate of incorporation (including any certificate of designations relating to any series of preferred stock), the provisions of this section shall apply, in respect to the removal without cause of a director or directors so elected, to the vote of the holders of the outstanding shares of that class or series and not to the vote of the outstanding shares as a whole. Any director may resign at any time upon notice in writing or by electronic transmission to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w:t>
      </w:r>
      <w:r>
        <w:rPr>
          <w:rFonts w:ascii="Times New Roman;serif" w:hAnsi="Times New Roman;serif"/>
          <w:b w:val="false"/>
          <w:color w:val="000000"/>
          <w:sz w:val="24"/>
          <w:u w:val="single"/>
        </w:rPr>
        <w:t>Newly Created Directorships and Vacancies</w:t>
      </w:r>
      <w:r>
        <w:rPr>
          <w:rFonts w:ascii="Times New Roman;serif" w:hAnsi="Times New Roman;serif"/>
          <w:b w:val="false"/>
          <w:color w:val="000000"/>
          <w:sz w:val="24"/>
        </w:rPr>
        <w:t xml:space="preserve">. Subject to the rights of the holders of any outstanding series of preferred stock, and unless otherwise required by law, newly created directorships resulting from an increase in the authorized number of directors and vacancies resulting from the death, resignation, retirement, disqualification, removal from office or other cause shall be filled by the vote of the majority of the remaining directors then in office, even though less than a quorum, or by the sole remaining director. Each director so chosen shall hold office until the next election of directors and until a successor is duly elected and qualified or until his or her earlier death, resignation, retirement, disqualification or removal as provided herein. No decrease in the authorized number of directors shall shorten the term of any incumbent director.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6</w:t>
      </w:r>
      <w:r>
        <w:rPr>
          <w:rFonts w:ascii="Times New Roman;serif" w:hAnsi="Times New Roman;serif"/>
          <w:b w:val="false"/>
          <w:color w:val="000000"/>
          <w:sz w:val="24"/>
        </w:rPr>
        <w:t>.    </w:t>
      </w:r>
      <w:r>
        <w:rPr>
          <w:rFonts w:ascii="Times New Roman;serif" w:hAnsi="Times New Roman;serif"/>
          <w:b w:val="false"/>
          <w:color w:val="000000"/>
          <w:sz w:val="24"/>
          <w:u w:val="single"/>
        </w:rPr>
        <w:t>Annual Meetings</w:t>
      </w:r>
      <w:r>
        <w:rPr>
          <w:rFonts w:ascii="Times New Roman;serif" w:hAnsi="Times New Roman;serif"/>
          <w:b w:val="false"/>
          <w:color w:val="000000"/>
          <w:sz w:val="24"/>
        </w:rPr>
        <w:t xml:space="preserve">. The annual meeting of </w:t>
      </w:r>
      <w:r>
        <w:rPr>
          <w:rFonts w:ascii="Times New Roman;serif" w:hAnsi="Times New Roman;serif"/>
          <w:b w:val="false"/>
          <w:color w:val="000000"/>
          <w:sz w:val="22"/>
        </w:rPr>
        <w:t xml:space="preserve">the </w:t>
      </w:r>
      <w:r>
        <w:rPr>
          <w:rFonts w:ascii="Times New Roman;serif" w:hAnsi="Times New Roman;serif"/>
          <w:b w:val="false"/>
          <w:color w:val="000000"/>
          <w:sz w:val="24"/>
        </w:rPr>
        <w:t xml:space="preserve">Board of Directors shall be held without other notice than this by-law immediately after, and at the same place as, the annual meeting of stockholders, unless otherwise determined by the Board of Directors, or with appropriate notice at another time and place determined by the Board of Directors.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7</w:t>
      </w:r>
      <w:r>
        <w:rPr>
          <w:rFonts w:ascii="Times New Roman;serif" w:hAnsi="Times New Roman;serif"/>
          <w:b w:val="false"/>
          <w:color w:val="000000"/>
          <w:sz w:val="24"/>
        </w:rPr>
        <w:t>.    </w:t>
      </w:r>
      <w:r>
        <w:rPr>
          <w:rFonts w:ascii="Times New Roman;serif" w:hAnsi="Times New Roman;serif"/>
          <w:b w:val="false"/>
          <w:color w:val="000000"/>
          <w:sz w:val="24"/>
          <w:u w:val="single"/>
        </w:rPr>
        <w:t>Other Meetings and Notice</w:t>
      </w:r>
      <w:r>
        <w:rPr>
          <w:rFonts w:ascii="Times New Roman;serif" w:hAnsi="Times New Roman;serif"/>
          <w:b w:val="false"/>
          <w:color w:val="000000"/>
          <w:sz w:val="24"/>
        </w:rPr>
        <w:t xml:space="preserve">. Regular meetings, other than the annual meeting, of the Board of Directors may be held without notice at such date and time and at such place as shall from time to time be determined by resolution of the Board. Special meetings of the Board of Directors may be called by or at the request of the Chairman of the Board, the chief executive officer, the Lead Independent Director, if any, or a majority of the directors then in office on at least 48 hours’ notice to each director, either personally, by telephone, by mail, or by electronic mail or other form of electronic transmission. The person or persons authorized to call special meetings of the Board of Directors may fix the date, time and place of such meetings. </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w:t>
      </w:r>
      <w:r>
        <w:rPr>
          <w:rFonts w:ascii="Times New Roman;serif" w:hAnsi="Times New Roman;serif"/>
          <w:b w:val="false"/>
          <w:color w:val="000000"/>
          <w:sz w:val="24"/>
          <w:u w:val="single"/>
        </w:rPr>
        <w:t>Quorum, Required Vote and Adjournment</w:t>
      </w:r>
      <w:r>
        <w:rPr>
          <w:rFonts w:ascii="Times New Roman;serif" w:hAnsi="Times New Roman;serif"/>
          <w:b w:val="false"/>
          <w:color w:val="000000"/>
          <w:sz w:val="24"/>
        </w:rPr>
        <w:t>. A majority of the total number of directors then authorized shall constitute a quorum for the transaction of business. The vote of a majority of directors present at a meeting at which a quorum is present shall be the act of the Board of Directors. If a quorum shall not be present at any meeting of the Board of Directors, the chairperson of the meeting or the directors present thereat may adjourn the meeting from time to time, without notice other than announcement at the meeting, until a quorum shall be present.</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9</w:t>
      </w:r>
      <w:r>
        <w:rPr>
          <w:rFonts w:ascii="Times New Roman;serif" w:hAnsi="Times New Roman;serif"/>
          <w:b w:val="false"/>
          <w:color w:val="000000"/>
          <w:sz w:val="24"/>
        </w:rPr>
        <w:t>.    </w:t>
      </w:r>
      <w:r>
        <w:rPr>
          <w:rFonts w:ascii="Times New Roman;serif" w:hAnsi="Times New Roman;serif"/>
          <w:b w:val="false"/>
          <w:color w:val="000000"/>
          <w:sz w:val="24"/>
          <w:u w:val="single"/>
        </w:rPr>
        <w:t>Committees</w:t>
      </w:r>
      <w:r>
        <w:rPr>
          <w:rFonts w:ascii="Times New Roman;serif" w:hAnsi="Times New Roman;serif"/>
          <w:b w:val="false"/>
          <w:color w:val="000000"/>
          <w:sz w:val="24"/>
        </w:rPr>
        <w:t xml:space="preserve">. The Board of Directors may designate one or more committees, each committee to consist of one or more of the directors of the corporation, which to the extent provided in the resolution of the Board of Directors establishing the committee or these by-laws shall have and may exercise the powers of the Board of Directors in the management and affairs of the corporation except as otherwise limited by law.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when required. The corporation has elected to be governed by Section 141(c)(2) of the DGCL.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10</w:t>
      </w:r>
      <w:r>
        <w:rPr>
          <w:rFonts w:ascii="Times New Roman;serif" w:hAnsi="Times New Roman;serif"/>
          <w:b w:val="false"/>
          <w:color w:val="000000"/>
          <w:sz w:val="24"/>
        </w:rPr>
        <w:t>.    </w:t>
      </w:r>
      <w:r>
        <w:rPr>
          <w:rFonts w:ascii="Times New Roman;serif" w:hAnsi="Times New Roman;serif"/>
          <w:b w:val="false"/>
          <w:color w:val="000000"/>
          <w:sz w:val="24"/>
          <w:u w:val="single"/>
        </w:rPr>
        <w:t>Committee Rules</w:t>
      </w:r>
      <w:r>
        <w:rPr>
          <w:rFonts w:ascii="Times New Roman;serif" w:hAnsi="Times New Roman;serif"/>
          <w:b w:val="false"/>
          <w:color w:val="000000"/>
          <w:sz w:val="24"/>
        </w:rPr>
        <w:t>. Each committee of the Board of Directors may fix its own rules of procedure and shall hold its meetings as provided by such rules, except as may otherwise be provided by a resolution of the Board of Directors. Unless otherwise required by law, the certificate of incorporation or these by-laws, and except as otherwise provided in a resolution of the Board of Directors, the presence of at least a majority of the members of the committee shall be necessary to constitute a quorum; provided that in no case shall a quorum be less than one 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 In the event that a member and that member’s alternate, if alternates are designated by the Board of Directors as provided in Section 9 of this Article III,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w:t>
      </w:r>
      <w:r>
        <w:rPr>
          <w:rFonts w:ascii="Times New Roman;serif" w:hAnsi="Times New Roman;serif"/>
          <w:b w:val="false"/>
          <w:color w:val="000000"/>
          <w:sz w:val="24"/>
          <w:u w:val="single"/>
        </w:rPr>
        <w:t>Communications Equipment</w:t>
      </w:r>
      <w:r>
        <w:rPr>
          <w:rFonts w:ascii="Times New Roman;serif" w:hAnsi="Times New Roman;serif"/>
          <w:b w:val="false"/>
          <w:color w:val="000000"/>
          <w:sz w:val="24"/>
        </w:rPr>
        <w:t>. Members of the Board of Directors or any committee thereof may participate in and act at any meeting of such Board or committee through the use of a conference telephone or other communications equipment by means of which all persons participating in the meeting can hear each other, and participation in the meeting pursuant to this Section 11 shall constitute presence in person at the meeting.</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12</w:t>
      </w:r>
      <w:r>
        <w:rPr>
          <w:rFonts w:ascii="Times New Roman;serif" w:hAnsi="Times New Roman;serif"/>
          <w:b w:val="false"/>
          <w:color w:val="000000"/>
          <w:sz w:val="24"/>
        </w:rPr>
        <w:t>.    </w:t>
      </w:r>
      <w:r>
        <w:rPr>
          <w:rFonts w:ascii="Times New Roman;serif" w:hAnsi="Times New Roman;serif"/>
          <w:b w:val="false"/>
          <w:color w:val="000000"/>
          <w:sz w:val="24"/>
          <w:u w:val="single"/>
        </w:rPr>
        <w:t>Emergency By-laws</w:t>
      </w:r>
      <w:r>
        <w:rPr>
          <w:rFonts w:ascii="Times New Roman;serif" w:hAnsi="Times New Roman;serif"/>
          <w:b w:val="false"/>
          <w:color w:val="000000"/>
          <w:sz w:val="24"/>
        </w:rPr>
        <w:t xml:space="preserve">. In the event of any emergency, disaster or catastrophe, as referred to in Section 110 of the DGCL, or other similar emergency condition, as a result of which a quorum of the Board of Directors or a standing committee of the Board of Directors cannot readily be convened for action, then the director or directors in attendance at the meeting shall constitute a quorum. Such director or directors in attendance may further take action to appoint one or more of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themselves or other directors to membership on any standing or temporary committees of the Board of Directors as they shall deem necessary and appropriate.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13</w:t>
      </w:r>
      <w:r>
        <w:rPr>
          <w:rFonts w:ascii="Times New Roman;serif" w:hAnsi="Times New Roman;serif"/>
          <w:b w:val="false"/>
          <w:color w:val="000000"/>
          <w:sz w:val="24"/>
        </w:rPr>
        <w:t>.    </w:t>
      </w:r>
      <w:r>
        <w:rPr>
          <w:rFonts w:ascii="Times New Roman;serif" w:hAnsi="Times New Roman;serif"/>
          <w:b w:val="false"/>
          <w:color w:val="000000"/>
          <w:sz w:val="24"/>
          <w:u w:val="single"/>
        </w:rPr>
        <w:t>Action by Written Consent</w:t>
      </w:r>
      <w:r>
        <w:rPr>
          <w:rFonts w:ascii="Times New Roman;serif" w:hAnsi="Times New Roman;serif"/>
          <w:b w:val="false"/>
          <w:color w:val="000000"/>
          <w:sz w:val="24"/>
        </w:rPr>
        <w:t xml:space="preserve">. Unless otherwise restricted by the certificate of incorporation, any action required or permitted to be taken at any meeting of the Board of Directors, or of any committee thereof, may be taken without a meeting if all members of the Board or committee, as the case may be, consent thereto in writing or by electronic transmission.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or committee in the same paper or electronic form as the minutes are maintained.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14.</w:t>
      </w:r>
      <w:r>
        <w:rPr>
          <w:color w:val="000000"/>
        </w:rPr>
        <w:t>    </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xml:space="preserve">. The Board of Directors may elect from among its members a Chairman of the Board. The Chairman of the Board shall preside at all meetings of the stockholders (unless otherwise determined by the Board of Directors) in accordance with Section 11(a) of Article II and at meetings of directors. If the Chairman of the Board is not present at a meeting of the Board of Directors, another director chosen or designated by the Board of Directors shall preside. </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IV</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OFFICERS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Number</w:t>
      </w:r>
      <w:r>
        <w:rPr>
          <w:rFonts w:ascii="Times New Roman;serif" w:hAnsi="Times New Roman;serif"/>
          <w:b w:val="false"/>
          <w:color w:val="000000"/>
          <w:sz w:val="24"/>
        </w:rPr>
        <w:t>. The officers of the corporation shall be elected by the Board of Directors and shall consist of a chief executive officer, one or more vice-presidents, a secretary, a treasurer, and such other officers and assistant officers as may be deemed necessary or desirable by the Board of Directors. Any number of offices may be held by the same person. In its discretion, the Board of Directors may choose not to fill any office for any period as it may deem advisable, except that the offices of chief executive officer and secretary shall be filled as expeditiously as possible.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Election and Term of Office</w:t>
      </w:r>
      <w:r>
        <w:rPr>
          <w:rFonts w:ascii="Times New Roman;serif" w:hAnsi="Times New Roman;serif"/>
          <w:b w:val="false"/>
          <w:color w:val="000000"/>
          <w:sz w:val="24"/>
        </w:rPr>
        <w:t>. The officers of the corporation shall be elected annually by the Board of Directors. Vacancies may be filled or new offices created and filled at any meeting of the Board of Directors. Each officer shall hold office until a successor is duly elected and qualified or until his or her earlier death, resignation, retirement, removal, disqualification or otherwise, as hereinafter provided.</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w:t>
      </w:r>
      <w:r>
        <w:rPr>
          <w:rFonts w:ascii="Times New Roman;serif" w:hAnsi="Times New Roman;serif"/>
          <w:b w:val="false"/>
          <w:color w:val="000000"/>
          <w:sz w:val="24"/>
          <w:u w:val="single"/>
        </w:rPr>
        <w:t>Removal and Resignation</w:t>
      </w:r>
      <w:r>
        <w:rPr>
          <w:rFonts w:ascii="Times New Roman;serif" w:hAnsi="Times New Roman;serif"/>
          <w:b w:val="false"/>
          <w:color w:val="000000"/>
          <w:sz w:val="24"/>
        </w:rPr>
        <w:t xml:space="preserve">. Any officer or agent elected by the Board of Directors may be removed by the Board of Directors or by a duly authorized officer whenever in its judgment the best interests of the corporation would be served thereby, but such removal shall be without prejudice to the contract rights, if any, of the person so removed. Any officer may resign at any time upon notice given in writing or by electronic transmission to the corporation, but such resignation shall be without prejudice to the contracts, rights, if any, of the corporation under any contract to which such officer is a party.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4</w:t>
      </w:r>
      <w:r>
        <w:rPr>
          <w:rFonts w:ascii="Times New Roman;serif" w:hAnsi="Times New Roman;serif"/>
          <w:b w:val="false"/>
          <w:color w:val="000000"/>
          <w:sz w:val="24"/>
        </w:rPr>
        <w:t>.    </w:t>
      </w:r>
      <w:r>
        <w:rPr>
          <w:rFonts w:ascii="Times New Roman;serif" w:hAnsi="Times New Roman;serif"/>
          <w:b w:val="false"/>
          <w:color w:val="000000"/>
          <w:sz w:val="24"/>
          <w:u w:val="single"/>
        </w:rPr>
        <w:t>Vacancies</w:t>
      </w:r>
      <w:r>
        <w:rPr>
          <w:rFonts w:ascii="Times New Roman;serif" w:hAnsi="Times New Roman;serif"/>
          <w:b w:val="false"/>
          <w:color w:val="000000"/>
          <w:sz w:val="24"/>
        </w:rPr>
        <w:t>. Any vacancy occurring in any office because of death, resignation, retirement, removal, disqualification or otherwise, may be filled by the Board of Directors or by a duly authorized officer.</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w:t>
      </w:r>
      <w:r>
        <w:rPr>
          <w:rFonts w:ascii="Times New Roman;serif" w:hAnsi="Times New Roman;serif"/>
          <w:b w:val="false"/>
          <w:color w:val="000000"/>
          <w:sz w:val="24"/>
          <w:u w:val="single"/>
        </w:rPr>
        <w:t>Compensation</w:t>
      </w:r>
      <w:r>
        <w:rPr>
          <w:rFonts w:ascii="Times New Roman;serif" w:hAnsi="Times New Roman;serif"/>
          <w:b w:val="false"/>
          <w:color w:val="000000"/>
          <w:sz w:val="24"/>
        </w:rPr>
        <w:t>. Compensation of all officers shall be fixed by the Board of Directors, or by a duly authorized officer, and no officer shall be prevented from receiving such compensation by virtue of his or her also being a director of the corporation.</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6</w:t>
      </w:r>
      <w:r>
        <w:rPr>
          <w:rFonts w:ascii="Times New Roman;serif" w:hAnsi="Times New Roman;serif"/>
          <w:b w:val="false"/>
          <w:color w:val="000000"/>
          <w:sz w:val="24"/>
        </w:rPr>
        <w:t>.    </w:t>
      </w:r>
      <w:r>
        <w:rPr>
          <w:rFonts w:ascii="Times New Roman;serif" w:hAnsi="Times New Roman;serif"/>
          <w:b w:val="false"/>
          <w:color w:val="000000"/>
          <w:sz w:val="24"/>
          <w:u w:val="single"/>
        </w:rPr>
        <w:t>The Chief Executive Officer</w:t>
      </w:r>
      <w:r>
        <w:rPr>
          <w:rFonts w:ascii="Times New Roman;serif" w:hAnsi="Times New Roman;serif"/>
          <w:b w:val="false"/>
          <w:color w:val="000000"/>
          <w:sz w:val="24"/>
        </w:rPr>
        <w:t>. The chief executive officer shall be the chief executive officer of the corporation; shall have general charge of the business, affairs and property of the corporation, and control over its officers, agents and employees; and shall see that all orders and resolutions of the Board of Directors are carried into effect.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shall have such other powers and perform such other duties as may be prescribed by the Board of Directors or as may be provided in these by-laws.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7</w:t>
      </w:r>
      <w:r>
        <w:rPr>
          <w:rFonts w:ascii="Times New Roman;serif" w:hAnsi="Times New Roman;serif"/>
          <w:b w:val="false"/>
          <w:color w:val="000000"/>
          <w:sz w:val="24"/>
        </w:rPr>
        <w:t>.    </w:t>
      </w:r>
      <w:r>
        <w:rPr>
          <w:rFonts w:ascii="Times New Roman;serif" w:hAnsi="Times New Roman;serif"/>
          <w:b w:val="false"/>
          <w:color w:val="000000"/>
          <w:sz w:val="24"/>
          <w:u w:val="single"/>
        </w:rPr>
        <w:t>Vice-presidents</w:t>
      </w:r>
      <w:r>
        <w:rPr>
          <w:rFonts w:ascii="Times New Roman;serif" w:hAnsi="Times New Roman;serif"/>
          <w:b w:val="false"/>
          <w:color w:val="000000"/>
          <w:sz w:val="24"/>
        </w:rPr>
        <w:t>. Each vice-president shall have such powers and duties as shall be prescribed by his or her superior officer or the chief executive officer. The vice-presidents shall also perform such other duties and have such other powers as the Board of Directors, the chief executive officer or these by-laws may, from time to time, prescribe.</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w:t>
      </w:r>
      <w:r>
        <w:rPr>
          <w:rFonts w:ascii="Times New Roman;serif" w:hAnsi="Times New Roman;serif"/>
          <w:b w:val="false"/>
          <w:color w:val="000000"/>
          <w:sz w:val="24"/>
          <w:u w:val="single"/>
        </w:rPr>
        <w:t>The Secretary and Assistant Secretaries</w:t>
      </w:r>
      <w:r>
        <w:rPr>
          <w:rFonts w:ascii="Times New Roman;serif" w:hAnsi="Times New Roman;serif"/>
          <w:b w:val="false"/>
          <w:color w:val="000000"/>
          <w:sz w:val="24"/>
        </w:rPr>
        <w:t xml:space="preserve">. The secretary shall attend all meetings of the Board of Directors, all meetings of the committees thereof and all meetings of the stockholders and record all the proceedings of the meetings in a book or books to be kept for that purpose. Under the chief executive officer’s supervision, the secretary shall give, or cause to be given, all notices required to be given by these by-laws or by law; shall have such powers and perform such duties as the Board of Directors, the chief executive officer or these by-laws may, from time to time, prescribe; and shall have custody of the corporate seal of the corporation. The secretary, or an assistant secretary, shall have authority to affix the corporate seal to any instrument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or the secretary, shall, in the absence or disability of the secretary, perform the duties and exercise the powers of the secretary and shall perform such other duties and have such other powers as the Board of Directors, the chief executive officer or the secretary may, from time to time, prescribe.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9</w:t>
      </w:r>
      <w:r>
        <w:rPr>
          <w:rFonts w:ascii="Times New Roman;serif" w:hAnsi="Times New Roman;serif"/>
          <w:b w:val="false"/>
          <w:color w:val="000000"/>
          <w:sz w:val="24"/>
        </w:rPr>
        <w:t>.    </w:t>
      </w:r>
      <w:r>
        <w:rPr>
          <w:rFonts w:ascii="Times New Roman;serif" w:hAnsi="Times New Roman;serif"/>
          <w:b w:val="false"/>
          <w:color w:val="000000"/>
          <w:sz w:val="24"/>
          <w:u w:val="single"/>
        </w:rPr>
        <w:t>The Treasurer and Assistant Treasurer</w:t>
      </w:r>
      <w:r>
        <w:rPr>
          <w:rFonts w:ascii="Times New Roman;serif" w:hAnsi="Times New Roman;serif"/>
          <w:b w:val="false"/>
          <w:color w:val="000000"/>
          <w:sz w:val="24"/>
        </w:rPr>
        <w:t>. The treasurer shall have the custody of the corporate funds and securities; shall keep, or cause to be kept, full and accurate accounts of receipts and disbursements in books belonging to the corporation; shall deposit, or cause to be deposited, all monies and other valuable effects in the name and to the credit of the corporation as may be ordered by the Board of Directors; shall cause the funds of the corporation to be disbursed when such disbursements have been duly authorized, taking proper vouchers for such disbursements; and shall render to the chief executive officer and the Board of Directors, at its regular meeting or when the Board of Directors so requires, an account of the corporation; shall have such powers and perform such duties as the Board of Directors, the chief executive officer or these by-laws may, from time to time, prescribe. If required by the Board of Directors, the treasurer shall give the corporation a bond (which shall be rendered every six years) in such sums and with such surety or sureties as shall be satisfactory to the Board of Directors for the faithful performance of the duties of the office of treasurer and for the restoration to the corporation, in case of death, resignation, retirement, disqualification or removal from office, of all books, papers, vouchers, money, and other property of whatever kind in the possession or under the control of the treasurer belonging to the corporation. The assistant treasurer, or if there shall be more than one, the assistant treasurers in the order determined by the Board of Directors or the treasurer, shall in the absence or disability of the treasurer perform the duties and exercise the powers of the treasurer. The assistant treasurers shall perform such other duties and have such other powers as the Board of Directors, the chief executive officer or the treasurer may, from time to time, prescribe.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10</w:t>
      </w:r>
      <w:r>
        <w:rPr>
          <w:rFonts w:ascii="Times New Roman;serif" w:hAnsi="Times New Roman;serif"/>
          <w:b w:val="false"/>
          <w:color w:val="000000"/>
          <w:sz w:val="24"/>
        </w:rPr>
        <w:t>.    </w:t>
      </w:r>
      <w:r>
        <w:rPr>
          <w:rFonts w:ascii="Times New Roman;serif" w:hAnsi="Times New Roman;serif"/>
          <w:b w:val="false"/>
          <w:color w:val="000000"/>
          <w:sz w:val="24"/>
          <w:u w:val="single"/>
        </w:rPr>
        <w:t>Other Officers, Assistant Officers and Agents</w:t>
      </w:r>
      <w:r>
        <w:rPr>
          <w:rFonts w:ascii="Times New Roman;serif" w:hAnsi="Times New Roman;serif"/>
          <w:b w:val="false"/>
          <w:color w:val="000000"/>
          <w:sz w:val="24"/>
        </w:rPr>
        <w:t>. Officers, assistant officers and agents, if any, other than those whose duties are provided for in these by-laws, shall have such authority and perform such duties as may from time to time be prescribed by resolution of the Board of Directors or by a duly authorized officer.</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w:t>
      </w:r>
      <w:r>
        <w:rPr>
          <w:rFonts w:ascii="Times New Roman;serif" w:hAnsi="Times New Roman;serif"/>
          <w:b w:val="false"/>
          <w:color w:val="000000"/>
          <w:sz w:val="24"/>
          <w:u w:val="single"/>
        </w:rPr>
        <w:t>Delegation</w:t>
      </w:r>
      <w:r>
        <w:rPr>
          <w:rFonts w:ascii="Times New Roman;serif" w:hAnsi="Times New Roman;serif"/>
          <w:b w:val="false"/>
          <w:color w:val="000000"/>
          <w:sz w:val="24"/>
        </w:rPr>
        <w:t>. The Board of Directors may from time to time delegate the powers and duties of any officer, assistant officer or agent to any other officer, assistant officer or agent or to any director, or to any other person whom it may select, notwithstanding the foregoing provisions of this Article.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IV-A</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APPOINTED OFFICERS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Appointment of Officers</w:t>
      </w:r>
      <w:r>
        <w:rPr>
          <w:rFonts w:ascii="Times New Roman;serif" w:hAnsi="Times New Roman;serif"/>
          <w:b w:val="false"/>
          <w:color w:val="000000"/>
          <w:sz w:val="24"/>
        </w:rPr>
        <w:t>. The Board of Directors may authorize the chief executive officer to appoint such other vice presidents and other officers as the business of the corporation may require, each of whom shall hold office for such period, have such authority and perform such duties as are provided in the by-laws or as the Board of Directors may from time to time determine (or, in the absence of such determination by the Board of Directors, as the chief executive officer from time to time determines).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Removal</w:t>
      </w:r>
      <w:r>
        <w:rPr>
          <w:rFonts w:ascii="Times New Roman;serif" w:hAnsi="Times New Roman;serif"/>
          <w:b w:val="false"/>
          <w:color w:val="000000"/>
          <w:sz w:val="24"/>
        </w:rPr>
        <w:t>. Any officer appointed in accordance with the provisions of Section 1 may be removed by the Board of Directors or by the chief executive officer (if appointed by such person) whenever in his or her judgment the best interest of the corporation would be served thereby, provided that such removal shall be without prejudice to the contract rights, if any, of the persons so removed.</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w:t>
      </w:r>
      <w:r>
        <w:rPr>
          <w:rFonts w:ascii="Times New Roman;serif" w:hAnsi="Times New Roman;serif"/>
          <w:b w:val="false"/>
          <w:color w:val="000000"/>
          <w:sz w:val="24"/>
          <w:u w:val="single"/>
        </w:rPr>
        <w:t>Appointment Officers and Deemed Elected Officers</w:t>
      </w:r>
      <w:r>
        <w:rPr>
          <w:rFonts w:ascii="Times New Roman;serif" w:hAnsi="Times New Roman;serif"/>
          <w:b w:val="false"/>
          <w:color w:val="000000"/>
          <w:sz w:val="24"/>
        </w:rPr>
        <w:t>. Officers appointed pursuant to Section 1 hereof shall not be deemed to be elected officers of the corporation, and in particular but without limitation shall not be deemed to be executive officers of the corporation for the purposes of the 1934 Act, or officers for purposes of Article V herein, unless elected as such by the Board of Directors.</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INDEMNIFICATION OF OFFICERS, DIRECTORS AND OTHERS</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Nature of Indemnity</w:t>
      </w:r>
      <w:r>
        <w:rPr>
          <w:rFonts w:ascii="Times New Roman;serif" w:hAnsi="Times New Roman;serif"/>
          <w:b w:val="false"/>
          <w:color w:val="000000"/>
          <w:sz w:val="24"/>
        </w:rPr>
        <w:t xml:space="preserve">. Each person who was or is made a party or is threatened to be made a party to or is involved in any action, suit or proceeding, whether civil, criminal, administrative, investigative or otherwise (hereinafter a “proceeding”), by reason of the fact that he or she is or was a director or officer of the corporation or, while a director or officer of the corporation, is or was serving at the request of the corporation as a director, officer, employee, fiduciary or agent of another corporation or of a partnership, joint venture, trust or other enterprise, shall be indemnified and held harmless by the corporation to the fullest extent which it is empowered to do so unless prohibited from doing so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actually and reasonably incurred by such person in connection with such proceeding; provided, however, that, except as provided in Section 2 hereof, the corporation shall indemnify or advance expenses to any such person in connection with a proceeding (or part thereof) initiated by such person only if such proceeding (or part thereof) was authorized by the Board of Directors. Subject to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Sections 2 and 5 hereof, the corporation shall also pay the expenses incurred by such directors and officers in defending any such proceeding in advance of its final disposition. For purposes of this Article V, an “officer” means an officer elected by the Board of Directors under Article IV but does not include officers appointed under Article IV-A unless elected by the Board of Directors.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Procedure for Indemnification of Directors and Officers</w:t>
      </w:r>
      <w:r>
        <w:rPr>
          <w:rFonts w:ascii="Times New Roman;serif" w:hAnsi="Times New Roman;serif"/>
          <w:b w:val="false"/>
          <w:color w:val="000000"/>
          <w:sz w:val="24"/>
        </w:rPr>
        <w:t>. Any indemnification of a director or officer of the corporation under Section 1 of this Article V or advance of expenses under Section 5 of this Article V shall be made promptly, and in any event within 30 days, upon the written request of the director or officer. If a determination by the corporation that the director or officer is entitled to indemnification pursuant to this Article V is required, and the corporation fails to respond within 60 days to a written request for indemnity, the corporation shall be deemed to have approved the request. If the corporation denies a written request for indemnification or advancing of expenses, in whole or in part, or if payment in full pursuant to such request is not made within 60 days, the right to indemnification or advances as granted by this Article V shall be enforceable by the director or officer in any court of competent jurisdiction in the State of Delaware.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DGCL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w:t>
      </w:r>
      <w:r>
        <w:rPr>
          <w:rFonts w:ascii="Times New Roman;serif" w:hAnsi="Times New Roman;serif"/>
          <w:b w:val="false"/>
          <w:color w:val="000000"/>
          <w:sz w:val="24"/>
          <w:u w:val="single"/>
        </w:rPr>
        <w:t>Article Not Exclusive</w:t>
      </w:r>
      <w:r>
        <w:rPr>
          <w:rFonts w:ascii="Times New Roman;serif" w:hAnsi="Times New Roman;serif"/>
          <w:b w:val="false"/>
          <w:color w:val="000000"/>
          <w:sz w:val="24"/>
        </w:rPr>
        <w:t>. The rights to indemnification and the payment of expenses incurred in defending a proceeding in advance of its final disposition conferred in this Article V shall not be exclusive of any other right which any person may have or hereafter acquire under any statute, provision of a certificate of incorporation, by-law, agreement, vote of stockholders or disinterested directors or otherwise.</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4</w:t>
      </w:r>
      <w:r>
        <w:rPr>
          <w:rFonts w:ascii="Times New Roman;serif" w:hAnsi="Times New Roman;serif"/>
          <w:b w:val="false"/>
          <w:color w:val="000000"/>
          <w:sz w:val="24"/>
        </w:rPr>
        <w:t>.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The corporation may purchase and maintain insurance on its own behalf and on behalf of any person who is or was a director, officer, employee, fiduciary, or agent of the corporation or was serving at the request of the corporation as a director, officer, employee or agent of another corporation, partnership, joint venture, trust or other enterprise against any liability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asserted against him or her and incurred by him or her in any such capacity, whether or not the corporation would have the power to indemnify such person against such liability under this Article V.</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w:t>
      </w:r>
      <w:r>
        <w:rPr>
          <w:rFonts w:ascii="Times New Roman;serif" w:hAnsi="Times New Roman;serif"/>
          <w:b w:val="false"/>
          <w:color w:val="000000"/>
          <w:sz w:val="24"/>
          <w:u w:val="single"/>
        </w:rPr>
        <w:t>Expenses</w:t>
      </w:r>
      <w:r>
        <w:rPr>
          <w:rFonts w:ascii="Times New Roman;serif" w:hAnsi="Times New Roman;serif"/>
          <w:b w:val="false"/>
          <w:color w:val="000000"/>
          <w:sz w:val="24"/>
        </w:rPr>
        <w:t>. Expenses incurred by any person described in Section 1 of this Article V in defending a proceeding shall be paid by the corporation in advance of such proceeding’s final disposition unless otherwise determined by the Board of Directors in the specific case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upon receipt of an undertaking by or on behalf of the director or officer to repay such amount if it shall ultimately be determined that he or she is not entitled to be indemnified by the corporation.</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6</w:t>
      </w:r>
      <w:r>
        <w:rPr>
          <w:rFonts w:ascii="Times New Roman;serif" w:hAnsi="Times New Roman;serif"/>
          <w:b w:val="false"/>
          <w:color w:val="000000"/>
          <w:sz w:val="24"/>
        </w:rPr>
        <w:t>.    </w:t>
      </w:r>
      <w:r>
        <w:rPr>
          <w:rFonts w:ascii="Times New Roman;serif" w:hAnsi="Times New Roman;serif"/>
          <w:b w:val="false"/>
          <w:color w:val="000000"/>
          <w:sz w:val="24"/>
          <w:u w:val="single"/>
        </w:rPr>
        <w:t>Employees and Agents</w:t>
      </w:r>
      <w:r>
        <w:rPr>
          <w:rFonts w:ascii="Times New Roman;serif" w:hAnsi="Times New Roman;serif"/>
          <w:b w:val="false"/>
          <w:color w:val="000000"/>
          <w:sz w:val="24"/>
        </w:rPr>
        <w:t>. For persons who are not covered by the foregoing provisions of this Article V and who are or were employees or agents of the corporation, or who, while employees or agents of the corporation, are or were serving at the request of the corporation as employees or agents of another corporation, partnership, joint venture, trust or other enterprise, the corporation may, to the extent and in the manner permitted by law, grant rights to indemnification and to the advancement of expenses, to the extent and on such terms and conditions authorized at any time or from time to time.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7</w:t>
      </w:r>
      <w:r>
        <w:rPr>
          <w:rFonts w:ascii="Times New Roman;serif" w:hAnsi="Times New Roman;serif"/>
          <w:b w:val="false"/>
          <w:color w:val="000000"/>
          <w:sz w:val="24"/>
        </w:rPr>
        <w:t>.    </w:t>
      </w:r>
      <w:r>
        <w:rPr>
          <w:rFonts w:ascii="Times New Roman;serif" w:hAnsi="Times New Roman;serif"/>
          <w:b w:val="false"/>
          <w:color w:val="000000"/>
          <w:sz w:val="24"/>
          <w:u w:val="single"/>
        </w:rPr>
        <w:t>Contract Rights</w:t>
      </w:r>
      <w:r>
        <w:rPr>
          <w:rFonts w:ascii="Times New Roman;serif" w:hAnsi="Times New Roman;serif"/>
          <w:b w:val="false"/>
          <w:color w:val="000000"/>
          <w:sz w:val="24"/>
        </w:rPr>
        <w:t>. The provisions of this Article V shall be deemed to be contract rights and such rights shall continue as to any person who has ceased to be a director or officer and shall inure to the benefit of such person’s heirs, executors and administrators. Any repeal or modification of this Article V that adversely affects any rights of such person or its successors shall be prospective only and shall not affect any rights or obligations then existing with respect to any proceeding involving any occurrence or alleged occurrence of any action or omission to act that took place prior to such repeal or modification.</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w:t>
      </w:r>
      <w:r>
        <w:rPr>
          <w:rFonts w:ascii="Times New Roman;serif" w:hAnsi="Times New Roman;serif"/>
          <w:b w:val="false"/>
          <w:color w:val="000000"/>
          <w:sz w:val="24"/>
          <w:u w:val="single"/>
        </w:rPr>
        <w:t>Merger or Consolidation</w:t>
      </w:r>
      <w:r>
        <w:rPr>
          <w:rFonts w:ascii="Times New Roman;serif" w:hAnsi="Times New Roman;serif"/>
          <w:b w:val="false"/>
          <w:color w:val="000000"/>
          <w:sz w:val="24"/>
        </w:rPr>
        <w:t>. For purposes of this Article 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 with respect to the resulting or surviving corporation as he or she would have with respect to such constituent corporation if its separate existence had continued.</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STOCK AND STOCK CERTIFICATES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Form</w:t>
      </w:r>
      <w:r>
        <w:rPr>
          <w:rFonts w:ascii="Times New Roman;serif" w:hAnsi="Times New Roman;serif"/>
          <w:b w:val="false"/>
          <w:color w:val="000000"/>
          <w:sz w:val="24"/>
        </w:rPr>
        <w:t>. The capital stock of the corporation shall be represented by certificates; provided that the Board of Directors may provide by resolution or resolutions that some or all of any or all classes of stock of the corporation shall be uncertificated shares. Any such resolution shall not apply to shares represented by a certificate until such certificate is surrendered to the corporation. Except as otherwise provided by law, the rights and obligations of the holders of uncertificated shares and the rights and obligations of the holders of certificated shares of the same class and series shall be identical. Every holder of stock in the corporation represented by certificates shall be entitled to have a certificate, signed by, or in the name of the corporation by, any two authorized officers, including, without limitation, the chief executive officer, a vice-president, the treasurer or an assistant treasurer, or the secretary or an assistant secretary of the corporation, certifying the number of shares registered in certificate form. Any or all such signatures may be electronic. In case any officer or officers who have signed, or whose electronic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electronic signature or signatures have been used thereon had not ceased to be such officer or officers of the corporation. Share certificates shall be consecutively numbered or otherwise identified and shall exhibit the name of the person to whom the shares represented thereby are issued, with the number of shares and date of issue, shall be entered on the books of the corporation. Shares of capital stock of the corporation shall only be transferred on the books of the corporation by the holder of record thereof or by such holder’s attorney duly authorized in writing and, if such stock is certificated, upon surrender to the corporation of the certificate or certificates for such shares endorsed by the appropriate person or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 or certificates, and record the transaction on its books. Upon receipt of proper transfer instructions from the holder of uncertificated shares, the corporation shall cancel such uncertificated shares and issue new equivalent uncertificated shares, or, upon such holder’s request, certificated shares, to the person entitled thereto, and record the transaction upon its books. The Board of Directors may appoint a bank or trust company organized under the laws of the United States or any state thereof to act as its transfer agent or registrar, or both in connection with the transfer of any class or series of securities of the corporation.</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Lost Certificates</w:t>
      </w:r>
      <w:r>
        <w:rPr>
          <w:rFonts w:ascii="Times New Roman;serif" w:hAnsi="Times New Roman;serif"/>
          <w:b w:val="false"/>
          <w:color w:val="000000"/>
          <w:sz w:val="24"/>
        </w:rPr>
        <w:t xml:space="preserve">. The corporation may direct a new certificate or certificates, or uncertificated shares, to be issued in place of any certificate or certificates previously issued by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corporation may, in its discretion and as a condition precedent to the issuance thereof, require the owner of such lost, stolen, or destroyed certificate or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 or uncertificated shares.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w:t>
      </w:r>
      <w:r>
        <w:rPr>
          <w:rFonts w:ascii="Times New Roman;serif" w:hAnsi="Times New Roman;serif"/>
          <w:b w:val="false"/>
          <w:color w:val="000000"/>
          <w:sz w:val="24"/>
          <w:u w:val="single"/>
        </w:rPr>
        <w:t>Fixing a Record Date for Stockholder Meetings</w:t>
      </w:r>
      <w:r>
        <w:rPr>
          <w:rFonts w:ascii="Times New Roman;serif" w:hAnsi="Times New Roman;serif"/>
          <w:b w:val="false"/>
          <w:color w:val="000000"/>
          <w:sz w:val="24"/>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the Close of Business (as defined in Section 13(c) of Article II herein)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[RESERVED]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w:t>
      </w:r>
      <w:r>
        <w:rPr>
          <w:rFonts w:ascii="Times New Roman;serif" w:hAnsi="Times New Roman;serif"/>
          <w:b w:val="false"/>
          <w:color w:val="000000"/>
          <w:sz w:val="24"/>
          <w:u w:val="single"/>
        </w:rPr>
        <w:t>Fixing a Record Date for Other Purposes</w:t>
      </w:r>
      <w:r>
        <w:rPr>
          <w:rFonts w:ascii="Times New Roman;serif" w:hAnsi="Times New Roman;serif"/>
          <w:b w:val="false"/>
          <w:color w:val="000000"/>
          <w:sz w:val="24"/>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6</w:t>
      </w:r>
      <w:r>
        <w:rPr>
          <w:rFonts w:ascii="Times New Roman;serif" w:hAnsi="Times New Roman;serif"/>
          <w:b w:val="false"/>
          <w:color w:val="000000"/>
          <w:sz w:val="24"/>
        </w:rPr>
        <w:t>.    </w:t>
      </w:r>
      <w:r>
        <w:rPr>
          <w:rFonts w:ascii="Times New Roman;serif" w:hAnsi="Times New Roman;serif"/>
          <w:b w:val="false"/>
          <w:color w:val="000000"/>
          <w:sz w:val="24"/>
          <w:u w:val="single"/>
        </w:rPr>
        <w:t>Registered Stockholders</w:t>
      </w:r>
      <w:r>
        <w:rPr>
          <w:rFonts w:ascii="Times New Roman;serif" w:hAnsi="Times New Roman;serif"/>
          <w:b w:val="false"/>
          <w:color w:val="000000"/>
          <w:sz w:val="24"/>
        </w:rPr>
        <w:t>. Prior to (i) the surrender to the corporation of the certificate or certificates for a share or shares of capital stock with a request to record the transfer of such share or shares or (ii) the receipt of proper transfer instructions from the holder of uncertificated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 except as otherwise required by law.</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7</w:t>
      </w:r>
      <w:r>
        <w:rPr>
          <w:rFonts w:ascii="Times New Roman;serif" w:hAnsi="Times New Roman;serif"/>
          <w:b w:val="false"/>
          <w:color w:val="000000"/>
          <w:sz w:val="24"/>
        </w:rPr>
        <w:t>.    </w:t>
      </w:r>
      <w:r>
        <w:rPr>
          <w:rFonts w:ascii="Times New Roman;serif" w:hAnsi="Times New Roman;serif"/>
          <w:b w:val="false"/>
          <w:color w:val="000000"/>
          <w:sz w:val="24"/>
          <w:u w:val="single"/>
        </w:rPr>
        <w:t>Subscriptions for Stock</w:t>
      </w:r>
      <w:r>
        <w:rPr>
          <w:rFonts w:ascii="Times New Roman;serif" w:hAnsi="Times New Roman;serif"/>
          <w:b w:val="false"/>
          <w:color w:val="000000"/>
          <w:sz w:val="24"/>
        </w:rPr>
        <w:t>.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GENERAL PROVISIONS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w:t>
      </w:r>
      <w:r>
        <w:rPr>
          <w:rFonts w:ascii="Times New Roman;serif" w:hAnsi="Times New Roman;serif"/>
          <w:b w:val="false"/>
          <w:color w:val="000000"/>
          <w:sz w:val="24"/>
        </w:rPr>
        <w:t>.    </w:t>
      </w:r>
      <w:r>
        <w:rPr>
          <w:rFonts w:ascii="Times New Roman;serif" w:hAnsi="Times New Roman;serif"/>
          <w:b w:val="false"/>
          <w:color w:val="000000"/>
          <w:sz w:val="24"/>
          <w:u w:val="single"/>
        </w:rPr>
        <w:t>Dividends</w:t>
      </w:r>
      <w:r>
        <w:rPr>
          <w:rFonts w:ascii="Times New Roman;serif" w:hAnsi="Times New Roman;serif"/>
          <w:b w:val="false"/>
          <w:color w:val="000000"/>
          <w:sz w:val="24"/>
        </w:rPr>
        <w:t>. Dividends upon the capital stock of the corporation, subject to the provisions of the certificate of incorporation, if any (including any certificate of designations relating to any series of preferred stock), may be declared by the Board of Directors, pursuant to law. Dividends may be paid in cash, in property or in shares of the capital stock, subject to the provisions of the certificate of incorporation (including any certificate of designations relating to any series of preferred stock).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any other purpose, and the directors may modify or abolish any such reserve in the manner in which it was created.</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w:t>
      </w:r>
      <w:r>
        <w:rPr>
          <w:rFonts w:ascii="Times New Roman;serif" w:hAnsi="Times New Roman;serif"/>
          <w:b w:val="false"/>
          <w:color w:val="000000"/>
          <w:sz w:val="24"/>
          <w:u w:val="single"/>
        </w:rPr>
        <w:t>Checks, Drafts or Orders</w:t>
      </w:r>
      <w:r>
        <w:rPr>
          <w:rFonts w:ascii="Times New Roman;serif" w:hAnsi="Times New Roman;serif"/>
          <w:b w:val="false"/>
          <w:color w:val="000000"/>
          <w:sz w:val="24"/>
        </w:rPr>
        <w:t>.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 or by officers of the corporation authorized by the Board of Directors or such a committee to make such determinations.</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w:t>
      </w:r>
      <w:r>
        <w:rPr>
          <w:rFonts w:ascii="Times New Roman;serif" w:hAnsi="Times New Roman;serif"/>
          <w:b w:val="false"/>
          <w:color w:val="000000"/>
          <w:sz w:val="24"/>
          <w:u w:val="single"/>
        </w:rPr>
        <w:t>Contracts</w:t>
      </w:r>
      <w:r>
        <w:rPr>
          <w:rFonts w:ascii="Times New Roman;serif" w:hAnsi="Times New Roman;serif"/>
          <w:b w:val="false"/>
          <w:color w:val="000000"/>
          <w:sz w:val="24"/>
        </w:rPr>
        <w:t xml:space="preserve">. The Board of Directors may authorize any officer or officers, or any agent or agents, of the corporation to enter into any contract or to execute and deliver any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instrument in the name of and on behalf of the corporation, or authorize any officer or officers of the corporation to designate the persons or persons who shall have authority to enter into any such contracts or to execute and deliver any such instruments in the name of and on behalf of the corporation. Such authority may be general or confined to specific instances.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4</w:t>
      </w:r>
      <w:r>
        <w:rPr>
          <w:rFonts w:ascii="Times New Roman;serif" w:hAnsi="Times New Roman;serif"/>
          <w:b w:val="false"/>
          <w:color w:val="000000"/>
          <w:sz w:val="24"/>
        </w:rPr>
        <w:t>.    </w:t>
      </w:r>
      <w:r>
        <w:rPr>
          <w:rFonts w:ascii="Times New Roman;serif" w:hAnsi="Times New Roman;serif"/>
          <w:b w:val="false"/>
          <w:color w:val="000000"/>
          <w:sz w:val="24"/>
          <w:u w:val="single"/>
        </w:rPr>
        <w:t>Waiver of Notice</w:t>
      </w:r>
      <w:r>
        <w:rPr>
          <w:rFonts w:ascii="Times New Roman;serif" w:hAnsi="Times New Roman;serif"/>
          <w:b w:val="false"/>
          <w:color w:val="000000"/>
          <w:sz w:val="24"/>
        </w:rPr>
        <w:t>. Whenever notice is required to be given under any provision of the DGCL or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stockholders, the Board of Directors or a committee of the Board of Directors need be specified in any written waiver of notice or any waiver by electronic transmission unless so required by the certificate of incorporation or these by-laws.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corporation shall be fixed by resolution of the Board of Directors.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6</w:t>
      </w:r>
      <w:r>
        <w:rPr>
          <w:rFonts w:ascii="Times New Roman;serif" w:hAnsi="Times New Roman;serif"/>
          <w:b w:val="false"/>
          <w:color w:val="000000"/>
          <w:sz w:val="24"/>
        </w:rPr>
        <w:t>.    </w:t>
      </w:r>
      <w:r>
        <w:rPr>
          <w:rFonts w:ascii="Times New Roman;serif" w:hAnsi="Times New Roman;serif"/>
          <w:b w:val="false"/>
          <w:color w:val="000000"/>
          <w:sz w:val="24"/>
          <w:u w:val="single"/>
        </w:rPr>
        <w:t>Corporate Seal</w:t>
      </w:r>
      <w:r>
        <w:rPr>
          <w:rFonts w:ascii="Times New Roman;serif" w:hAnsi="Times New Roman;serif"/>
          <w:b w:val="false"/>
          <w:color w:val="000000"/>
          <w:sz w:val="24"/>
        </w:rPr>
        <w:t>. The Board of Directors shall provide a corporate seal which shall be in the form of a circle and shall have inscribed thereon the name of the corporation and the words “Corporate Seal, Delaware”. The seal may be used by causing it or an electronic copy thereof to be impressed or affixed or reproduced or otherwise.</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7</w:t>
      </w:r>
      <w:r>
        <w:rPr>
          <w:rFonts w:ascii="Times New Roman;serif" w:hAnsi="Times New Roman;serif"/>
          <w:b w:val="false"/>
          <w:color w:val="000000"/>
          <w:sz w:val="24"/>
        </w:rPr>
        <w:t>.    </w:t>
      </w:r>
      <w:r>
        <w:rPr>
          <w:rFonts w:ascii="Times New Roman;serif" w:hAnsi="Times New Roman;serif"/>
          <w:b w:val="false"/>
          <w:color w:val="000000"/>
          <w:sz w:val="24"/>
          <w:u w:val="single"/>
        </w:rPr>
        <w:t>Voting Securities Owned by Corporation</w:t>
      </w:r>
      <w:r>
        <w:rPr>
          <w:rFonts w:ascii="Times New Roman;serif" w:hAnsi="Times New Roman;serif"/>
          <w:b w:val="false"/>
          <w:color w:val="000000"/>
          <w:sz w:val="24"/>
        </w:rPr>
        <w:t>. Voting securities in any other corporation or entity held by the corporation shall be voted by the chief executive officer,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[RESERVED]</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9</w:t>
      </w:r>
      <w:r>
        <w:rPr>
          <w:rFonts w:ascii="Times New Roman;serif" w:hAnsi="Times New Roman;serif"/>
          <w:b w:val="false"/>
          <w:color w:val="000000"/>
          <w:sz w:val="24"/>
        </w:rPr>
        <w:t>.    </w:t>
      </w:r>
      <w:r>
        <w:rPr>
          <w:rFonts w:ascii="Times New Roman;serif" w:hAnsi="Times New Roman;serif"/>
          <w:b w:val="false"/>
          <w:color w:val="000000"/>
          <w:sz w:val="24"/>
          <w:u w:val="single"/>
        </w:rPr>
        <w:t>Section Headings</w:t>
      </w:r>
      <w:r>
        <w:rPr>
          <w:rFonts w:ascii="Times New Roman;serif" w:hAnsi="Times New Roman;serif"/>
          <w:b w:val="false"/>
          <w:color w:val="000000"/>
          <w:sz w:val="24"/>
        </w:rPr>
        <w:t>. Section headings in these by-laws are for convenience of reference only and shall not be given any substantive effect in limiting or otherwise construing any provision herein.</w:t>
      </w:r>
    </w:p>
    <w:p>
      <w:pPr>
        <w:pStyle w:val="TextBody"/>
        <w:bidi w:val="0"/>
        <w:spacing w:before="0" w:after="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u w:val="single"/>
        </w:rPr>
        <w:t>Section 10</w:t>
      </w:r>
      <w:r>
        <w:rPr>
          <w:rFonts w:ascii="Times New Roman;serif" w:hAnsi="Times New Roman;serif"/>
          <w:b w:val="false"/>
          <w:color w:val="000000"/>
          <w:sz w:val="24"/>
        </w:rPr>
        <w:t>.    </w:t>
      </w:r>
      <w:r>
        <w:rPr>
          <w:rFonts w:ascii="Times New Roman;serif" w:hAnsi="Times New Roman;serif"/>
          <w:b w:val="false"/>
          <w:color w:val="000000"/>
          <w:sz w:val="24"/>
          <w:u w:val="single"/>
        </w:rPr>
        <w:t>Statutory and Other References; Inconsistent Provisions</w:t>
      </w:r>
      <w:r>
        <w:rPr>
          <w:rFonts w:ascii="Times New Roman;serif" w:hAnsi="Times New Roman;serif"/>
          <w:b w:val="false"/>
          <w:color w:val="000000"/>
          <w:sz w:val="24"/>
        </w:rPr>
        <w:t xml:space="preserve">. All statutory, regulatory and similar references in these by-laws shall include any successor provisions. In the event that any provision of these by-laws is or becomes inconsistent with any provision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certificate of incorporation, the DGCL or any other applicable law, the provision of these by-laws shall not be given any effect to the extent of such inconsistency but shall otherwise be given full force and effect.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w:t>
      </w:r>
      <w:r>
        <w:rPr>
          <w:rFonts w:ascii="Times New Roman;serif" w:hAnsi="Times New Roman;serif"/>
          <w:b w:val="false"/>
          <w:color w:val="000000"/>
          <w:sz w:val="24"/>
          <w:u w:val="single"/>
        </w:rPr>
        <w:t>Electronic Signatures, etc</w:t>
      </w:r>
      <w:r>
        <w:rPr>
          <w:rFonts w:ascii="Times New Roman;serif" w:hAnsi="Times New Roman;serif"/>
          <w:b w:val="false"/>
          <w:color w:val="000000"/>
          <w:sz w:val="24"/>
        </w:rPr>
        <w:t>. Except as otherwise required by the certificate of incorporation (including any certificate of designations relating to any series of preferred stock) or these by-laws (including, without limitation, as otherwise required by Section 13 of Article II herein), any document, including, without limitation, any consent, agreement, certificate or instrument, required by the DGCL, the certificate of incorporation (including any certificate of designations relating to any series of preferred stock) or these by-laws to be executed by any officer, director, stockholder, employee or agent of the corporation may be executed using a facsimile or other form of electronic signature to the fullest extent permitted by law. All other contracts, agreements, certificates or instruments to be executed on behalf of the corporation may be executed using an electronic signature to the fullest extent permitted by law. The terms “electronic mail,” “electronic mail address,” “electronic signature” and “electronic transmission” as used herein shall have the meanings ascribed thereto in the DGCL.</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u w:val="single"/>
        </w:rPr>
        <w:t>Section 12.</w:t>
      </w:r>
      <w:r>
        <w:rPr>
          <w:color w:val="000000"/>
        </w:rPr>
        <w:t>    </w:t>
      </w:r>
      <w:r>
        <w:rPr>
          <w:rFonts w:ascii="Times New Roman;serif" w:hAnsi="Times New Roman;serif"/>
          <w:b w:val="false"/>
          <w:color w:val="000000"/>
          <w:sz w:val="24"/>
          <w:u w:val="single"/>
        </w:rPr>
        <w:t>Forum Selection</w:t>
      </w:r>
      <w:r>
        <w:rPr>
          <w:rFonts w:ascii="Times New Roman;serif" w:hAnsi="Times New Roman;serif"/>
          <w:b w:val="false"/>
          <w:color w:val="000000"/>
          <w:sz w:val="24"/>
        </w:rPr>
        <w:t xml:space="preserve">. </w:t>
      </w:r>
    </w:p>
    <w:p>
      <w:pPr>
        <w:pStyle w:val="TextBody"/>
        <w:bidi w:val="0"/>
        <w:spacing w:lineRule="auto" w:line="333" w:before="240" w:after="283"/>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Unless the corporation consents in writing to the selection of an alternative forum, the Court of Chancery of the State of Delaware (or, if the Court of Chancery of the State of Delaware does not have jurisdiction, another State court in Delaware or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stockholder,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w:t>
      </w:r>
    </w:p>
    <w:p>
      <w:pPr>
        <w:pStyle w:val="TextBody"/>
        <w:bidi w:val="0"/>
        <w:spacing w:lineRule="auto" w:line="333" w:before="240" w:after="283"/>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4"/>
        </w:rPr>
      </w:pPr>
      <w:r>
        <w:rPr>
          <w:rFonts w:ascii="Times New Roman;serif" w:hAnsi="Times New Roman;serif"/>
          <w:b w:val="false"/>
          <w:color w:val="000000"/>
          <w:sz w:val="24"/>
        </w:rPr>
        <w:t>Any person or entity purchasing, holding or otherwise acquiring any interest in any security of the corporation shall be deemed to have notice of and consented to the provisions of this Section 12. This provision shall be enforceable by any party to a complaint covered by the provisions of this Section 12.</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VIII</w:t>
      </w:r>
    </w:p>
    <w:p>
      <w:pPr>
        <w:pStyle w:val="TextBody"/>
        <w:bidi w:val="0"/>
        <w:spacing w:lineRule="auto" w:line="333"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AMENDMENTS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pStyle w:val="TextBody"/>
        <w:bidi w:val="0"/>
        <w:spacing w:before="0" w:after="0"/>
        <w:jc w:val="both"/>
        <w:rPr/>
      </w:pPr>
      <w:r>
        <w:rPr/>
      </w:r>
    </w:p>
    <w:p>
      <w:pPr>
        <w:pStyle w:val="TextBody"/>
        <w:bidi w:val="0"/>
        <w:spacing w:lineRule="auto" w:line="333"/>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Eugene A. Hall,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2025,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tbl>
      <w:tblPr>
        <w:tblW w:w="2145" w:type="dxa"/>
        <w:jc w:val="left"/>
        <w:tblInd w:w="0" w:type="dxa"/>
        <w:tblLayout w:type="fixed"/>
        <w:tblCellMar>
          <w:top w:w="28" w:type="dxa"/>
          <w:left w:w="28" w:type="dxa"/>
          <w:bottom w:w="28" w:type="dxa"/>
          <w:right w:w="28" w:type="dxa"/>
        </w:tblCellMar>
      </w:tblPr>
      <w:tblGrid>
        <w:gridCol w:w="684"/>
        <w:gridCol w:w="600"/>
        <w:gridCol w:w="861"/>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Craig W. Safian,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2025,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540"/>
        <w:jc w:val="both"/>
        <w:rPr/>
      </w:pPr>
      <w:r>
        <w:rPr/>
      </w:r>
    </w:p>
    <w:tbl>
      <w:tblPr>
        <w:tblW w:w="2144" w:type="dxa"/>
        <w:jc w:val="left"/>
        <w:tblInd w:w="0" w:type="dxa"/>
        <w:tblLayout w:type="fixed"/>
        <w:tblCellMar>
          <w:top w:w="28" w:type="dxa"/>
          <w:left w:w="28" w:type="dxa"/>
          <w:bottom w:w="28" w:type="dxa"/>
          <w:right w:w="28" w:type="dxa"/>
        </w:tblCellMar>
      </w:tblPr>
      <w:tblGrid>
        <w:gridCol w:w="685"/>
        <w:gridCol w:w="602"/>
        <w:gridCol w:w="857"/>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Gartner, Inc. (the “Company”) on Form 10-Q for the quarter ended September 30, 2025,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pStyle w:val="TextBody"/>
        <w:bidi w:val="0"/>
        <w:spacing w:lineRule="auto" w:line="312" w:before="0" w:after="0"/>
        <w:ind w:left="0" w:right="0" w:firstLine="720"/>
        <w:jc w:val="both"/>
        <w:rPr>
          <w:color w:val="000000"/>
        </w:rPr>
      </w:pPr>
      <w:r>
        <w:rPr>
          <w:color w:val="000000"/>
        </w:rPr>
        <w:t> </w:t>
      </w:r>
    </w:p>
    <w:p>
      <w:pPr>
        <w:pStyle w:val="TextBody"/>
        <w:bidi w:val="0"/>
        <w:spacing w:lineRule="auto" w:line="312"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ind w:left="0" w:right="0" w:hanging="450"/>
        <w:jc w:val="both"/>
        <w:rPr/>
      </w:pPr>
      <w:r>
        <w:rPr/>
      </w:r>
    </w:p>
    <w:p>
      <w:pPr>
        <w:pStyle w:val="TextBody"/>
        <w:bidi w:val="0"/>
        <w:spacing w:lineRule="auto" w:line="312"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450"/>
        <w:jc w:val="both"/>
        <w:rPr/>
      </w:pPr>
      <w:r>
        <w:rPr/>
      </w:r>
    </w:p>
    <w:tbl>
      <w:tblPr>
        <w:tblW w:w="2997" w:type="dxa"/>
        <w:jc w:val="left"/>
        <w:tblInd w:w="0" w:type="dxa"/>
        <w:tblLayout w:type="fixed"/>
        <w:tblCellMar>
          <w:top w:w="28" w:type="dxa"/>
          <w:left w:w="28" w:type="dxa"/>
          <w:bottom w:w="28" w:type="dxa"/>
          <w:right w:w="28" w:type="dxa"/>
        </w:tblCellMar>
      </w:tblPr>
      <w:tblGrid>
        <w:gridCol w:w="946"/>
        <w:gridCol w:w="834"/>
        <w:gridCol w:w="845"/>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Eugene A. Hall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Craig W. Safian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9251/000095012305008192/y10586exv3w1.htm" TargetMode="External"/><Relationship Id="rId3" Type="http://schemas.openxmlformats.org/officeDocument/2006/relationships/hyperlink" Target="https://www.sec.gov/Archives/edgar/data/749251/000095012305008192/y10586exv3w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40468</Words>
  <Characters>217542</Characters>
  <CharactersWithSpaces>256719</CharactersWithSpaces>
  <Paragraphs>3377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