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3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7"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ind w:left="640" w:hanging="614"/>
        <w:spacing w:after="0"/>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67" w:lineRule="exact"/>
        <w:rPr>
          <w:sz w:val="24"/>
          <w:szCs w:val="24"/>
          <w:color w:val="auto"/>
        </w:rPr>
      </w:pPr>
    </w:p>
    <w:tbl>
      <w:tblPr>
        <w:tblLayout w:type="fixed"/>
        <w:tblInd w:w="1380" w:type="dxa"/>
        <w:tblCellMar>
          <w:top w:w="0" w:type="dxa"/>
          <w:left w:w="0" w:type="dxa"/>
          <w:bottom w:w="0" w:type="dxa"/>
          <w:right w:w="0" w:type="dxa"/>
        </w:tblCellMar>
      </w:tblPr>
      <w:tr>
        <w:trPr>
          <w:trHeight w:val="207"/>
        </w:trPr>
        <w:tc>
          <w:tcPr>
            <w:tcW w:w="6180" w:type="dxa"/>
            <w:vAlign w:val="bottom"/>
          </w:tcPr>
          <w:p>
            <w:pPr>
              <w:jc w:val="center"/>
              <w:ind w:left="2219"/>
              <w:spacing w:after="0"/>
              <w:rPr>
                <w:sz w:val="20"/>
                <w:szCs w:val="20"/>
                <w:color w:val="auto"/>
              </w:rPr>
            </w:pPr>
            <w:r>
              <w:rPr>
                <w:rFonts w:ascii="Times New Roman" w:cs="Times New Roman" w:eastAsia="Times New Roman" w:hAnsi="Times New Roman"/>
                <w:sz w:val="18"/>
                <w:szCs w:val="18"/>
                <w:b w:val="1"/>
                <w:bCs w:val="1"/>
                <w:color w:val="auto"/>
              </w:rPr>
              <w:t>Commission File Number 1-14443</w:t>
            </w:r>
          </w:p>
        </w:tc>
        <w:tc>
          <w:tcPr>
            <w:tcW w:w="1700" w:type="dxa"/>
            <w:vAlign w:val="bottom"/>
          </w:tcPr>
          <w:p>
            <w:pPr>
              <w:spacing w:after="0"/>
              <w:rPr>
                <w:sz w:val="17"/>
                <w:szCs w:val="17"/>
                <w:color w:val="auto"/>
              </w:rPr>
            </w:pPr>
          </w:p>
        </w:tc>
      </w:tr>
      <w:tr>
        <w:trPr>
          <w:trHeight w:val="546"/>
        </w:trPr>
        <w:tc>
          <w:tcPr>
            <w:tcW w:w="6180" w:type="dxa"/>
            <w:vAlign w:val="bottom"/>
          </w:tcPr>
          <w:p>
            <w:pPr>
              <w:jc w:val="center"/>
              <w:ind w:left="2199"/>
              <w:spacing w:after="0"/>
              <w:rPr>
                <w:sz w:val="20"/>
                <w:szCs w:val="20"/>
                <w:color w:val="auto"/>
              </w:rPr>
            </w:pPr>
            <w:r>
              <w:rPr>
                <w:rFonts w:ascii="Times New Roman" w:cs="Times New Roman" w:eastAsia="Times New Roman" w:hAnsi="Times New Roman"/>
                <w:sz w:val="43"/>
                <w:szCs w:val="43"/>
                <w:b w:val="1"/>
                <w:bCs w:val="1"/>
                <w:color w:val="auto"/>
                <w:w w:val="98"/>
              </w:rPr>
              <w:t>Gartner, Inc.</w:t>
            </w:r>
          </w:p>
        </w:tc>
        <w:tc>
          <w:tcPr>
            <w:tcW w:w="1700" w:type="dxa"/>
            <w:vAlign w:val="bottom"/>
          </w:tcPr>
          <w:p>
            <w:pPr>
              <w:spacing w:after="0"/>
              <w:rPr>
                <w:sz w:val="24"/>
                <w:szCs w:val="24"/>
                <w:color w:val="auto"/>
              </w:rPr>
            </w:pPr>
          </w:p>
        </w:tc>
      </w:tr>
      <w:tr>
        <w:trPr>
          <w:trHeight w:val="234"/>
        </w:trPr>
        <w:tc>
          <w:tcPr>
            <w:tcW w:w="6180" w:type="dxa"/>
            <w:vAlign w:val="bottom"/>
          </w:tcPr>
          <w:p>
            <w:pPr>
              <w:jc w:val="center"/>
              <w:ind w:left="22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700" w:type="dxa"/>
            <w:vAlign w:val="bottom"/>
          </w:tcPr>
          <w:p>
            <w:pPr>
              <w:spacing w:after="0"/>
              <w:rPr>
                <w:sz w:val="20"/>
                <w:szCs w:val="20"/>
                <w:color w:val="auto"/>
              </w:rPr>
            </w:pPr>
          </w:p>
        </w:tc>
      </w:tr>
      <w:tr>
        <w:trPr>
          <w:trHeight w:val="252"/>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w w:val="98"/>
              </w:rPr>
              <w:t>Delaware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04-3099750</w:t>
            </w:r>
          </w:p>
        </w:tc>
      </w:tr>
      <w:tr>
        <w:trPr>
          <w:trHeight w:val="230"/>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54"/>
        </w:trPr>
        <w:tc>
          <w:tcPr>
            <w:tcW w:w="6180" w:type="dxa"/>
            <w:vAlign w:val="bottom"/>
          </w:tcPr>
          <w:p>
            <w:pPr>
              <w:jc w:val="center"/>
              <w:ind w:right="3219"/>
              <w:spacing w:after="0"/>
              <w:rPr>
                <w:sz w:val="20"/>
                <w:szCs w:val="20"/>
                <w:color w:val="auto"/>
              </w:rPr>
            </w:pPr>
            <w:r>
              <w:rPr>
                <w:rFonts w:ascii="Times New Roman" w:cs="Times New Roman" w:eastAsia="Times New Roman" w:hAnsi="Times New Roman"/>
                <w:sz w:val="18"/>
                <w:szCs w:val="18"/>
                <w:color w:val="auto"/>
                <w:w w:val="98"/>
              </w:rPr>
              <w:t>P.O. Box 10212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06902-7700</w:t>
            </w:r>
          </w:p>
        </w:tc>
      </w:tr>
      <w:tr>
        <w:trPr>
          <w:trHeight w:val="230"/>
        </w:trPr>
        <w:tc>
          <w:tcPr>
            <w:tcW w:w="6180" w:type="dxa"/>
            <w:vAlign w:val="bottom"/>
          </w:tcPr>
          <w:p>
            <w:pPr>
              <w:jc w:val="center"/>
              <w:ind w:right="3219"/>
              <w:spacing w:after="0"/>
              <w:rPr>
                <w:sz w:val="20"/>
                <w:szCs w:val="20"/>
                <w:color w:val="auto"/>
              </w:rPr>
            </w:pPr>
            <w:r>
              <w:rPr>
                <w:rFonts w:ascii="Times New Roman" w:cs="Times New Roman" w:eastAsia="Times New Roman" w:hAnsi="Times New Roman"/>
                <w:sz w:val="18"/>
                <w:szCs w:val="18"/>
                <w:color w:val="auto"/>
                <w:w w:val="98"/>
              </w:rPr>
              <w:t>56 Top Gallant Road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29"/>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rPr>
              <w:t>Stamford,</w:t>
            </w:r>
          </w:p>
        </w:tc>
        <w:tc>
          <w:tcPr>
            <w:tcW w:w="1700" w:type="dxa"/>
            <w:vAlign w:val="bottom"/>
          </w:tcPr>
          <w:p>
            <w:pPr>
              <w:spacing w:after="0"/>
              <w:rPr>
                <w:sz w:val="19"/>
                <w:szCs w:val="19"/>
                <w:color w:val="auto"/>
              </w:rPr>
            </w:pPr>
          </w:p>
        </w:tc>
      </w:tr>
      <w:tr>
        <w:trPr>
          <w:trHeight w:val="230"/>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rPr>
              <w:t>Connecticut</w:t>
            </w:r>
          </w:p>
        </w:tc>
        <w:tc>
          <w:tcPr>
            <w:tcW w:w="1700" w:type="dxa"/>
            <w:vAlign w:val="bottom"/>
          </w:tcPr>
          <w:p>
            <w:pPr>
              <w:spacing w:after="0"/>
              <w:rPr>
                <w:sz w:val="19"/>
                <w:szCs w:val="19"/>
                <w:color w:val="auto"/>
              </w:rPr>
            </w:pPr>
          </w:p>
        </w:tc>
      </w:tr>
      <w:tr>
        <w:trPr>
          <w:trHeight w:val="234"/>
        </w:trPr>
        <w:tc>
          <w:tcPr>
            <w:tcW w:w="6180" w:type="dxa"/>
            <w:vAlign w:val="bottom"/>
          </w:tcPr>
          <w:p>
            <w:pPr>
              <w:jc w:val="center"/>
              <w:ind w:right="3219"/>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00" w:type="dxa"/>
            <w:vAlign w:val="bottom"/>
          </w:tcPr>
          <w:p>
            <w:pPr>
              <w:spacing w:after="0"/>
              <w:rPr>
                <w:sz w:val="20"/>
                <w:szCs w:val="20"/>
                <w:color w:val="auto"/>
              </w:rPr>
            </w:pPr>
          </w:p>
        </w:tc>
      </w:tr>
    </w:tbl>
    <w:p>
      <w:pPr>
        <w:spacing w:after="0" w:line="11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Registrant’s telephone number, including area code: (203) 964-0096</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$.0005 par value per share</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IT</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5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72" w:right="339" w:bottom="1440" w:gutter="0" w:footer="0" w:header="0"/>
        </w:sectPr>
      </w:pPr>
    </w:p>
    <w:p>
      <w:pPr>
        <w:spacing w:after="0" w:line="8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both"/>
        <w:ind w:right="240" w:hanging="1759"/>
        <w:spacing w:after="0" w:line="266" w:lineRule="exact"/>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 w:lineRule="exact"/>
        <w:rPr>
          <w:sz w:val="24"/>
          <w:szCs w:val="24"/>
          <w:color w:val="auto"/>
        </w:rPr>
      </w:pPr>
    </w:p>
    <w:p>
      <w:pPr>
        <w:sectPr>
          <w:pgSz w:w="11900" w:h="16838" w:orient="portrait"/>
          <w:cols w:equalWidth="0" w:num="2">
            <w:col w:w="3180" w:space="720"/>
            <w:col w:w="7340"/>
          </w:cols>
          <w:pgMar w:left="320" w:top="1272" w:right="339" w:bottom="1440" w:gutter="0" w:footer="0" w:header="0"/>
          <w:type w:val="continuous"/>
        </w:sectPr>
      </w:pPr>
    </w:p>
    <w:p>
      <w:pPr>
        <w:ind w:left="20" w:right="140"/>
        <w:spacing w:after="0" w:line="20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3" w:lineRule="exact"/>
        <w:rPr>
          <w:sz w:val="24"/>
          <w:szCs w:val="24"/>
          <w:color w:val="auto"/>
        </w:rPr>
      </w:pPr>
    </w:p>
    <w:p>
      <w:pPr>
        <w:ind w:right="208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26, 2024, 77,630,468 shares of the registrant’s common shares were outstanding.</w:t>
      </w:r>
    </w:p>
    <w:p>
      <w:pPr>
        <w:spacing w:after="0" w:line="200" w:lineRule="exact"/>
        <w:rPr>
          <w:sz w:val="24"/>
          <w:szCs w:val="24"/>
          <w:color w:val="auto"/>
        </w:rPr>
      </w:pPr>
    </w:p>
    <w:p>
      <w:pPr>
        <w:spacing w:after="0" w:line="376" w:lineRule="exact"/>
        <w:rPr>
          <w:sz w:val="24"/>
          <w:szCs w:val="24"/>
          <w:color w:val="auto"/>
        </w:rPr>
      </w:pPr>
    </w:p>
    <w:p>
      <w:pPr>
        <w:ind w:left="59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type w:val="continuous"/>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7020" w:type="dxa"/>
            <w:vAlign w:val="bottom"/>
            <w:gridSpan w:val="10"/>
            <w:vMerge w:val="restart"/>
          </w:tcPr>
          <w:p>
            <w:pPr>
              <w:spacing w:after="0"/>
              <w:rPr>
                <w:sz w:val="20"/>
                <w:szCs w:val="20"/>
                <w:color w:val="auto"/>
              </w:rPr>
            </w:pPr>
          </w:p>
        </w:tc>
        <w:tc>
          <w:tcPr>
            <w:tcW w:w="9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3080" w:type="dxa"/>
            <w:vAlign w:val="bottom"/>
            <w:tcBorders>
              <w:bottom w:val="single" w:sz="8" w:color="0000FF"/>
            </w:tcBorders>
            <w:gridSpan w:val="5"/>
            <w:vMerge w:val="continue"/>
          </w:tcPr>
          <w:p>
            <w:pPr>
              <w:spacing w:after="0"/>
              <w:rPr>
                <w:sz w:val="16"/>
                <w:szCs w:val="16"/>
                <w:color w:val="auto"/>
              </w:rPr>
            </w:pPr>
          </w:p>
        </w:tc>
        <w:tc>
          <w:tcPr>
            <w:tcW w:w="7020" w:type="dxa"/>
            <w:vAlign w:val="bottom"/>
            <w:gridSpan w:val="10"/>
            <w:vMerge w:val="continue"/>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ITEM 1. FINANCIAL STATEMENTS (Unaudited)</w:t>
            </w:r>
          </w:p>
        </w:tc>
        <w:tc>
          <w:tcPr>
            <w:tcW w:w="6360" w:type="dxa"/>
            <w:vAlign w:val="bottom"/>
            <w:gridSpan w:val="8"/>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March 31, 2024 and December 31, 2023</w:t>
            </w:r>
          </w:p>
        </w:tc>
        <w:tc>
          <w:tcPr>
            <w:tcW w:w="90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2024 and 2023</w:t>
            </w:r>
          </w:p>
        </w:tc>
        <w:tc>
          <w:tcPr>
            <w:tcW w:w="90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Months Ended March 31, 2024 and 2023</w:t>
            </w:r>
          </w:p>
        </w:tc>
        <w:tc>
          <w:tcPr>
            <w:tcW w:w="1520" w:type="dxa"/>
            <w:vAlign w:val="bottom"/>
            <w:gridSpan w:val="3"/>
          </w:tcPr>
          <w:p>
            <w:pPr>
              <w:spacing w:after="0"/>
              <w:rPr>
                <w:sz w:val="18"/>
                <w:szCs w:val="18"/>
                <w:color w:val="auto"/>
              </w:rPr>
            </w:pPr>
          </w:p>
        </w:tc>
        <w:tc>
          <w:tcPr>
            <w:tcW w:w="90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0000FF"/>
                <w:w w:val="88"/>
              </w:rPr>
              <w:t>5</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Stockholders’ Equity for the Three Months Ended March 31, 2024 and 2023</w:t>
            </w:r>
          </w:p>
        </w:tc>
        <w:tc>
          <w:tcPr>
            <w:tcW w:w="860" w:type="dxa"/>
            <w:vAlign w:val="bottom"/>
            <w:gridSpan w:val="2"/>
          </w:tcPr>
          <w:p>
            <w:pPr>
              <w:spacing w:after="0"/>
              <w:rPr>
                <w:sz w:val="18"/>
                <w:szCs w:val="18"/>
                <w:color w:val="auto"/>
              </w:rPr>
            </w:pPr>
          </w:p>
        </w:tc>
        <w:tc>
          <w:tcPr>
            <w:tcW w:w="90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0000FF"/>
                <w:w w:val="88"/>
              </w:rPr>
              <w:t>6</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2023</w:t>
            </w:r>
          </w:p>
        </w:tc>
        <w:tc>
          <w:tcPr>
            <w:tcW w:w="860" w:type="dxa"/>
            <w:vAlign w:val="bottom"/>
            <w:gridSpan w:val="2"/>
          </w:tcPr>
          <w:p>
            <w:pPr>
              <w:spacing w:after="0"/>
              <w:rPr>
                <w:sz w:val="18"/>
                <w:szCs w:val="18"/>
                <w:color w:val="auto"/>
              </w:rPr>
            </w:pPr>
          </w:p>
        </w:tc>
        <w:tc>
          <w:tcPr>
            <w:tcW w:w="90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0000FF"/>
                <w:w w:val="88"/>
              </w:rPr>
              <w:t>7</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640" w:type="dxa"/>
            <w:vAlign w:val="bottom"/>
            <w:gridSpan w:val="3"/>
          </w:tcPr>
          <w:p>
            <w:pPr>
              <w:spacing w:after="0"/>
              <w:rPr>
                <w:sz w:val="18"/>
                <w:szCs w:val="18"/>
                <w:color w:val="auto"/>
              </w:rPr>
            </w:pPr>
          </w:p>
        </w:tc>
        <w:tc>
          <w:tcPr>
            <w:tcW w:w="2460" w:type="dxa"/>
            <w:vAlign w:val="bottom"/>
            <w:gridSpan w:val="4"/>
          </w:tcPr>
          <w:p>
            <w:pPr>
              <w:spacing w:after="0"/>
              <w:rPr>
                <w:sz w:val="18"/>
                <w:szCs w:val="18"/>
                <w:color w:val="auto"/>
              </w:rPr>
            </w:pPr>
          </w:p>
        </w:tc>
        <w:tc>
          <w:tcPr>
            <w:tcW w:w="90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90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0000FF"/>
                <w:w w:val="99"/>
              </w:rPr>
              <w:t>25</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80" w:type="dxa"/>
            <w:vAlign w:val="bottom"/>
            <w:gridSpan w:val="4"/>
            <w:shd w:val="clear" w:color="auto" w:fill="0000FF"/>
          </w:tcPr>
          <w:p>
            <w:pPr>
              <w:spacing w:after="0" w:line="20" w:lineRule="exact"/>
              <w:rPr>
                <w:sz w:val="1"/>
                <w:szCs w:val="1"/>
                <w:color w:val="auto"/>
              </w:rPr>
            </w:pPr>
          </w:p>
        </w:tc>
        <w:tc>
          <w:tcPr>
            <w:tcW w:w="2840" w:type="dxa"/>
            <w:vAlign w:val="bottom"/>
            <w:tcBorders>
              <w:left w:val="single" w:sz="8" w:color="0000FF"/>
            </w:tcBorders>
            <w:gridSpan w:val="4"/>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520" w:type="dxa"/>
            <w:vAlign w:val="bottom"/>
          </w:tcPr>
          <w:p>
            <w:pPr>
              <w:spacing w:after="0"/>
              <w:rPr>
                <w:sz w:val="18"/>
                <w:szCs w:val="18"/>
                <w:color w:val="auto"/>
              </w:rPr>
            </w:pPr>
          </w:p>
        </w:tc>
        <w:tc>
          <w:tcPr>
            <w:tcW w:w="90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0000FF"/>
                <w:w w:val="99"/>
              </w:rPr>
              <w:t>36</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360" w:type="dxa"/>
            <w:vAlign w:val="bottom"/>
            <w:gridSpan w:val="5"/>
          </w:tcPr>
          <w:p>
            <w:pPr>
              <w:spacing w:after="0"/>
              <w:rPr>
                <w:sz w:val="18"/>
                <w:szCs w:val="18"/>
                <w:color w:val="auto"/>
              </w:rPr>
            </w:pPr>
          </w:p>
        </w:tc>
        <w:tc>
          <w:tcPr>
            <w:tcW w:w="90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0000FF"/>
                <w:w w:val="99"/>
              </w:rPr>
              <w:t>37</w:t>
            </w:r>
          </w:p>
        </w:tc>
        <w:tc>
          <w:tcPr>
            <w:tcW w:w="0" w:type="dxa"/>
            <w:vAlign w:val="bottom"/>
          </w:tcPr>
          <w:p>
            <w:pPr>
              <w:spacing w:after="0"/>
              <w:rPr>
                <w:sz w:val="1"/>
                <w:szCs w:val="1"/>
                <w:color w:val="auto"/>
              </w:rPr>
            </w:pPr>
          </w:p>
        </w:tc>
      </w:tr>
      <w:tr>
        <w:trPr>
          <w:trHeight w:val="210"/>
        </w:trPr>
        <w:tc>
          <w:tcPr>
            <w:tcW w:w="27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480" w:type="dxa"/>
            <w:vAlign w:val="bottom"/>
            <w:tcBorders>
              <w:top w:val="single" w:sz="8" w:color="0000FF"/>
            </w:tcBorders>
            <w:gridSpan w:val="2"/>
          </w:tcPr>
          <w:p>
            <w:pPr>
              <w:spacing w:after="0"/>
              <w:rPr>
                <w:sz w:val="18"/>
                <w:szCs w:val="18"/>
                <w:color w:val="auto"/>
              </w:rPr>
            </w:pPr>
          </w:p>
        </w:tc>
        <w:tc>
          <w:tcPr>
            <w:tcW w:w="6840" w:type="dxa"/>
            <w:vAlign w:val="bottom"/>
            <w:gridSpan w:val="9"/>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90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0000FF"/>
                <w:w w:val="99"/>
              </w:rPr>
              <w:t>38</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0" w:type="dxa"/>
            <w:vAlign w:val="bottom"/>
            <w:gridSpan w:val="7"/>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560" w:type="dxa"/>
            <w:vAlign w:val="bottom"/>
            <w:gridSpan w:val="12"/>
          </w:tcPr>
          <w:p>
            <w:pPr>
              <w:spacing w:after="0"/>
              <w:rPr>
                <w:sz w:val="18"/>
                <w:szCs w:val="18"/>
                <w:color w:val="auto"/>
              </w:rPr>
            </w:pPr>
          </w:p>
        </w:tc>
        <w:tc>
          <w:tcPr>
            <w:tcW w:w="90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0000FF"/>
                <w:w w:val="99"/>
              </w:rPr>
              <w:t>38</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700" w:type="dxa"/>
            <w:vAlign w:val="bottom"/>
            <w:gridSpan w:val="8"/>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360" w:type="dxa"/>
            <w:vAlign w:val="bottom"/>
            <w:gridSpan w:val="5"/>
          </w:tcPr>
          <w:p>
            <w:pPr>
              <w:spacing w:after="0"/>
              <w:rPr>
                <w:sz w:val="18"/>
                <w:szCs w:val="18"/>
                <w:color w:val="auto"/>
              </w:rPr>
            </w:pPr>
          </w:p>
        </w:tc>
        <w:tc>
          <w:tcPr>
            <w:tcW w:w="90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0000FF"/>
                <w:w w:val="99"/>
              </w:rPr>
              <w:t>38</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5240" w:type="dxa"/>
            <w:vAlign w:val="bottom"/>
            <w:gridSpan w:val="9"/>
          </w:tcPr>
          <w:p>
            <w:pPr>
              <w:spacing w:after="0"/>
              <w:rPr>
                <w:sz w:val="18"/>
                <w:szCs w:val="18"/>
                <w:color w:val="auto"/>
              </w:rPr>
            </w:pPr>
          </w:p>
        </w:tc>
        <w:tc>
          <w:tcPr>
            <w:tcW w:w="3360" w:type="dxa"/>
            <w:vAlign w:val="bottom"/>
            <w:gridSpan w:val="5"/>
          </w:tcPr>
          <w:p>
            <w:pPr>
              <w:spacing w:after="0"/>
              <w:rPr>
                <w:sz w:val="18"/>
                <w:szCs w:val="18"/>
                <w:color w:val="auto"/>
              </w:rPr>
            </w:pPr>
          </w:p>
        </w:tc>
        <w:tc>
          <w:tcPr>
            <w:tcW w:w="90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0000FF"/>
                <w:w w:val="99"/>
              </w:rPr>
              <w:t>39</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891"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 except share data)</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1,235,801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1,318,999</w:t>
            </w:r>
          </w:p>
        </w:tc>
        <w:tc>
          <w:tcPr>
            <w:tcW w:w="0" w:type="dxa"/>
            <w:vAlign w:val="bottom"/>
          </w:tcPr>
          <w:p>
            <w:pPr>
              <w:spacing w:after="0"/>
              <w:rPr>
                <w:sz w:val="1"/>
                <w:szCs w:val="1"/>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Fees receivable, net of allowances of $9,000 for both periods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1,565,960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1,601,228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380,479</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127,180</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3,326,271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3,427,886</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262,718</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366,809</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2,934,398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2,937,260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501,958</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339,288</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7,709,810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7,835,919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1,127,604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2,640,515</w:t>
            </w:r>
          </w:p>
        </w:tc>
        <w:tc>
          <w:tcPr>
            <w:tcW w:w="0" w:type="dxa"/>
            <w:vAlign w:val="bottom"/>
          </w:tcPr>
          <w:p>
            <w:pPr>
              <w:spacing w:after="0"/>
              <w:rPr>
                <w:sz w:val="1"/>
                <w:szCs w:val="1"/>
                <w:color w:val="auto"/>
              </w:rPr>
            </w:pP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0" w:type="dxa"/>
            <w:vAlign w:val="bottom"/>
          </w:tcPr>
          <w:p>
            <w:pPr>
              <w:spacing w:after="0"/>
              <w:rPr>
                <w:sz w:val="1"/>
                <w:szCs w:val="1"/>
                <w:color w:val="auto"/>
              </w:rPr>
            </w:pPr>
          </w:p>
        </w:tc>
      </w:tr>
      <w:tr>
        <w:trPr>
          <w:trHeight w:val="223"/>
        </w:trPr>
        <w:tc>
          <w:tcPr>
            <w:tcW w:w="81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3,640,290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3,777,719</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deferred financing fees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2,456,877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2,448,696</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513,406</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415,464</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6,991,636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7,155,285</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none issued or outstanding</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$0.0005 par value, 250,000,000 shares authorized; 163,602,067 shares issued for both periods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2,320,289</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earnings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4,949,837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4,739,292</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Treasury stock, at cost, 85,390,263 and 85,264,526 common shares, respectively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(6,522,860)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(6,302,698)</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680,634</w:t>
            </w:r>
          </w:p>
        </w:tc>
        <w:tc>
          <w:tcPr>
            <w:tcW w:w="0" w:type="dxa"/>
            <w:vAlign w:val="bottom"/>
          </w:tcPr>
          <w:p>
            <w:pPr>
              <w:spacing w:after="0"/>
              <w:rPr>
                <w:sz w:val="1"/>
                <w:szCs w:val="1"/>
                <w:color w:val="auto"/>
              </w:rPr>
            </w:pPr>
          </w:p>
        </w:tc>
      </w:tr>
      <w:tr>
        <w:trPr>
          <w:trHeight w:val="223"/>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7,709,810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7,835,919</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27"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1,268,172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1,217,191</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Conferences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64,642</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Consulting</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127,036</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1,472,926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1,408,869</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435,139</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657,090</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23,896</w:t>
            </w: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22,735</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30"/>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(139,316)</w:t>
            </w:r>
          </w:p>
        </w:tc>
      </w:tr>
      <w:tr>
        <w:trPr>
          <w:trHeight w:val="22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1,199,041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1,000,912</w:t>
            </w: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407,957</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(27,391)</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event cancellation insurance claims</w:t>
            </w: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381,277</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85,494</w:t>
            </w: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210,545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295,783</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5"/>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0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3.68</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8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78,339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79,452</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GARTNER,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r>
      <w:tr>
        <w:trPr>
          <w:trHeight w:val="223"/>
        </w:trPr>
        <w:tc>
          <w:tcPr>
            <w:tcW w:w="8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210,545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295,783</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30"/>
        </w:trPr>
        <w:tc>
          <w:tcPr>
            <w:tcW w:w="8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swaps – net change in deferred gain or loss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r>
      <w:tr>
        <w:trPr>
          <w:trHeight w:val="229"/>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plans – net change in deferred actuarial loss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204,490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301,483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80" w:type="dxa"/>
            <w:vAlign w:val="bottom"/>
          </w:tcPr>
          <w:p>
            <w:pPr>
              <w:spacing w:after="0"/>
              <w:rPr>
                <w:sz w:val="15"/>
                <w:szCs w:val="15"/>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Paid-In Capital</w:t>
            </w:r>
          </w:p>
        </w:tc>
        <w:tc>
          <w:tcPr>
            <w:tcW w:w="16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Loss, Net</w:t>
            </w:r>
          </w:p>
        </w:tc>
        <w:tc>
          <w:tcPr>
            <w:tcW w:w="140" w:type="dxa"/>
            <w:vAlign w:val="bottom"/>
          </w:tcPr>
          <w:p>
            <w:pPr>
              <w:spacing w:after="0"/>
              <w:rPr>
                <w:sz w:val="21"/>
                <w:szCs w:val="21"/>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2,320,289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4,739,292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(6,302,698)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680,634</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210,545</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(225,522)</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0" w:type="dxa"/>
            <w:vAlign w:val="bottom"/>
          </w:tcPr>
          <w:p>
            <w:pPr>
              <w:spacing w:after="0"/>
              <w:rPr>
                <w:sz w:val="1"/>
                <w:szCs w:val="1"/>
                <w:color w:val="auto"/>
              </w:rPr>
            </w:pPr>
          </w:p>
        </w:tc>
      </w:tr>
      <w:tr>
        <w:trPr>
          <w:trHeight w:val="221"/>
        </w:trPr>
        <w:tc>
          <w:tcPr>
            <w:tcW w:w="31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at March 31, 2024</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2,373,501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(82,386)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4,949,837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(6,522,860)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718,174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3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80" w:type="dxa"/>
            <w:vAlign w:val="bottom"/>
          </w:tcPr>
          <w:p>
            <w:pPr>
              <w:spacing w:after="0"/>
              <w:rPr>
                <w:sz w:val="15"/>
                <w:szCs w:val="15"/>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Paid-In Capital</w:t>
            </w:r>
          </w:p>
        </w:tc>
        <w:tc>
          <w:tcPr>
            <w:tcW w:w="16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Loss, Net</w:t>
            </w:r>
          </w:p>
        </w:tc>
        <w:tc>
          <w:tcPr>
            <w:tcW w:w="140" w:type="dxa"/>
            <w:vAlign w:val="bottom"/>
          </w:tcPr>
          <w:p>
            <w:pPr>
              <w:spacing w:after="0"/>
              <w:rPr>
                <w:sz w:val="21"/>
                <w:szCs w:val="21"/>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2,179,604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3,856,826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(5,707,104)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227,798</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295,783</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 repurchases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(108,850)</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45,048</w:t>
            </w:r>
          </w:p>
        </w:tc>
        <w:tc>
          <w:tcPr>
            <w:tcW w:w="0" w:type="dxa"/>
            <w:vAlign w:val="bottom"/>
          </w:tcPr>
          <w:p>
            <w:pPr>
              <w:spacing w:after="0"/>
              <w:rPr>
                <w:sz w:val="1"/>
                <w:szCs w:val="1"/>
                <w:color w:val="auto"/>
              </w:rPr>
            </w:pPr>
          </w:p>
        </w:tc>
      </w:tr>
      <w:tr>
        <w:trPr>
          <w:trHeight w:val="221"/>
        </w:trPr>
        <w:tc>
          <w:tcPr>
            <w:tcW w:w="31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at March 31, 2023</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2,222,511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(95,910)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4,152,609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(5,806,434)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472,858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210,545</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295,783</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46,631</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45,048</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(139,316)</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impairment of lease related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8,720</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Reduction in the carrying amount of operating lease right-of-use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17,644</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and write-off of deferred financing fees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29"/>
        </w:trPr>
        <w:tc>
          <w:tcPr>
            <w:tcW w:w="8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loss on de-designated swaps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acquisitions and divestitures: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Fees receivable,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36,177</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19,635</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(18,370)</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(14,799)</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155,153</w:t>
            </w:r>
          </w:p>
        </w:tc>
      </w:tr>
      <w:tr>
        <w:trPr>
          <w:trHeight w:val="229"/>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and other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(263,688)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(282,315)</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164,679</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 to property, equipment and leasehold improvements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(21,122)</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of business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divested operation</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158,733</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(24,660)</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137,611</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deferred financing fees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30"/>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(106,850)</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(219,681)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(101,292)</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200,998</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rates on cash and cash equivalents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1,319,599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698,599</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1,236,401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894,112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Business and Basis of Presentation</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Gartner, Inc. (NYSE: IT) delivers actionable, objective insight that drives smarter decisions and stronger performance on an organization’s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mission-critical priorities.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Segments</w:t>
      </w:r>
      <w:r>
        <w:rPr>
          <w:rFonts w:ascii="Times New Roman" w:cs="Times New Roman" w:eastAsia="Times New Roman" w:hAnsi="Times New Roman"/>
          <w:sz w:val="18"/>
          <w:szCs w:val="18"/>
          <w:color w:val="auto"/>
        </w:rPr>
        <w:t>. Gartner delivers its products and services globally through three business segments: Research, Conferences and Consulting. Revenues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information for the Company’s segments are discussed in Note 7 — Segment Information.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The accompanying interim Condensed Consolidated Financial Statements have been prepared in accordance with generally accepted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principles in the United States of America (“U.S. GAAP”), as defined in Financial Accounting Standards Board (“FASB”) Accounting Standards Codification (“ASC”) Topic 270 for interim financial information and with the applicable instructions of U.S. Securities and Exchange Commission (“SEC”) Rule 10-01 of Regulation S-X on Form 10-Q, and should be read in conjunction with the consolidated financial statements and related notes of the Company in its Annual Report on Form 10-K for the year ended December 31, 2023.</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fiscal year of Gartner is the twelve-month period from January 1 through December 31. In the opinion of management, all normal recurring accruals and adjustments considered necessary for a fair presentation of financial position, results of operations and cash flows at the dates and for the periods presented herein have been included. The results of operations for the three months ended March 31, 2024 may not be indicative of the results of operations for the remainder of 2024 or beyond. When used in these notes, the terms “Gartner,” the “Company,” “we,” “us,” or “our” refer to Gartner, Inc. and its consolidated subsidiaries.</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Principles of consolidation</w:t>
      </w:r>
      <w:r>
        <w:rPr>
          <w:rFonts w:ascii="Times New Roman" w:cs="Times New Roman" w:eastAsia="Times New Roman" w:hAnsi="Times New Roman"/>
          <w:sz w:val="18"/>
          <w:szCs w:val="18"/>
          <w:color w:val="auto"/>
        </w:rPr>
        <w:t>. The accompanying interim Condensed Consolidated Financial Statements include the accounts of the Company and its wholly-owned subsidiaries. All significant intercompany transactions and balances have been eliminated.</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 The preparation of the accompanying interim Condensed Consolidated Financial Statements requires management to make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about future events. These estimates and the underlying assumptions affect the amounts of assets and liabilities reported, disclosures about contingent assets and liabilities, and reported amounts of revenues and expenses. Such estimates include the valuation of fees receivable, goodwill, intangible assets and other long-lived assets, as well as tax accruals and other liabilities. In addition, estimates are used in revenue recognition, income tax expense or benefit, performance-based compensation charges, depreciation and amortization. Management believes its use of estimates in these interim Condensed Consolidated Financial Statements to be reasonable.</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continually evaluates and revises its estimates using historical experience and other factors, including the general economic environment and actions it may take in the future. Management adjusts these estimates when facts and circumstances dictate. However, these estimates may involve significant uncertainties and judgments and cannot be determined with precision. In addition, these estimates are based on management’s best judgment at a point in time. As a result, differences between estimates and actual results could be material and would be reflected in the Company’s consolidated financial statements in future periods.</w:t>
      </w:r>
    </w:p>
    <w:p>
      <w:pPr>
        <w:spacing w:after="0" w:line="20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and restricted cash. </w:t>
      </w:r>
      <w:r>
        <w:rPr>
          <w:rFonts w:ascii="Times New Roman" w:cs="Times New Roman" w:eastAsia="Times New Roman" w:hAnsi="Times New Roman"/>
          <w:sz w:val="18"/>
          <w:szCs w:val="18"/>
          <w:color w:val="auto"/>
        </w:rPr>
        <w:t>Below is a table presenting the beginning-of-period and end-of-period cash amounts from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Balance Sheets and the total cash amounts presented in the Condensed Consolidated Statements of Cash Flows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380" w:type="dxa"/>
            <w:vAlign w:val="bottom"/>
            <w:tcBorders>
              <w:bottom w:val="single" w:sz="8" w:color="CCEEFF"/>
            </w:tcBorders>
          </w:tcPr>
          <w:p>
            <w:pPr>
              <w:spacing w:after="0"/>
              <w:rPr>
                <w:sz w:val="20"/>
                <w:szCs w:val="20"/>
                <w:color w:val="auto"/>
              </w:rPr>
            </w:pPr>
          </w:p>
        </w:tc>
        <w:tc>
          <w:tcPr>
            <w:tcW w:w="38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1,235,801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1,318,999</w:t>
            </w:r>
          </w:p>
        </w:tc>
      </w:tr>
      <w:tr>
        <w:trPr>
          <w:trHeight w:val="23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classified in (1):</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1,236,401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1,319,599</w:t>
            </w:r>
          </w:p>
        </w:tc>
      </w:tr>
      <w:tr>
        <w:trPr>
          <w:trHeight w:val="20"/>
        </w:trPr>
        <w:tc>
          <w:tcPr>
            <w:tcW w:w="4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42"/>
        </w:trPr>
        <w:tc>
          <w:tcPr>
            <w:tcW w:w="4380" w:type="dxa"/>
            <w:vAlign w:val="bottom"/>
            <w:tcBorders>
              <w:bottom w:val="single" w:sz="8" w:color="auto"/>
            </w:tcBorders>
          </w:tcPr>
          <w:p>
            <w:pPr>
              <w:spacing w:after="0"/>
              <w:rPr>
                <w:sz w:val="12"/>
                <w:szCs w:val="12"/>
                <w:color w:val="auto"/>
              </w:rPr>
            </w:pPr>
          </w:p>
        </w:tc>
        <w:tc>
          <w:tcPr>
            <w:tcW w:w="3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r>
    </w:tbl>
    <w:p>
      <w:pPr>
        <w:spacing w:after="0" w:line="117" w:lineRule="exact"/>
        <w:rPr>
          <w:sz w:val="20"/>
          <w:szCs w:val="20"/>
          <w:color w:val="auto"/>
        </w:rPr>
      </w:pPr>
    </w:p>
    <w:p>
      <w:pPr>
        <w:ind w:left="340" w:hanging="332"/>
        <w:spacing w:after="0" w:line="282"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consisted of an escrow account established in connection with one of the Company’s business acquisitions. Generally, such cash is restricted to use due to provisions contained in the underlying acquisition agreement. The Company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ind w:left="340" w:right="20"/>
        <w:spacing w:after="0" w:line="282" w:lineRule="auto"/>
        <w:rPr>
          <w:sz w:val="20"/>
          <w:szCs w:val="20"/>
          <w:color w:val="auto"/>
        </w:rPr>
      </w:pPr>
      <w:r>
        <w:rPr>
          <w:rFonts w:ascii="Times New Roman" w:cs="Times New Roman" w:eastAsia="Times New Roman" w:hAnsi="Times New Roman"/>
          <w:sz w:val="18"/>
          <w:szCs w:val="18"/>
          <w:color w:val="auto"/>
        </w:rPr>
        <w:t>will disburse the restricted cash to the sellers of the business upon satisfaction of any contingencies described in such agreements (e.g., potential indemnification claims, etc.).</w:t>
      </w:r>
    </w:p>
    <w:p>
      <w:pPr>
        <w:spacing w:after="0" w:line="2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Revenue is recognized in accordance with the requirements of FASB ASC Topic 606,</w:t>
      </w:r>
      <w:r>
        <w:rPr>
          <w:rFonts w:ascii="Times New Roman" w:cs="Times New Roman" w:eastAsia="Times New Roman" w:hAnsi="Times New Roman"/>
          <w:sz w:val="18"/>
          <w:szCs w:val="18"/>
          <w:i w:val="1"/>
          <w:iCs w:val="1"/>
          <w:color w:val="auto"/>
        </w:rPr>
        <w:t xml:space="preserve"> Revenue from Contracts with Customers </w:t>
      </w:r>
      <w:r>
        <w:rPr>
          <w:rFonts w:ascii="Times New Roman" w:cs="Times New Roman" w:eastAsia="Times New Roman" w:hAnsi="Times New Roman"/>
          <w:sz w:val="18"/>
          <w:szCs w:val="18"/>
          <w:color w:val="auto"/>
        </w:rPr>
        <w:t>(“ASC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606”). Revenue is only recognized when all of the required criteria for revenue recognition have been met. The accompanying Condensed Consolidated Statements of Operations present revenue net of any sales or value-added taxes that we collect from customers and remit to government authorities. ASC Topic 270 requires certain disclosures in interim financial statements around the nature, amount, timing and uncertainty of revenue and cash flows arising from contracts with customers. Note 4 — Revenue and Related Matters provides additional information regarding the Company’s revenues.</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event cancellation insurance claims. </w:t>
      </w:r>
      <w:r>
        <w:rPr>
          <w:rFonts w:ascii="Times New Roman" w:cs="Times New Roman" w:eastAsia="Times New Roman" w:hAnsi="Times New Roman"/>
          <w:sz w:val="18"/>
          <w:szCs w:val="18"/>
          <w:color w:val="auto"/>
        </w:rPr>
        <w:t>In February 2023, the Company received $3.1 million of proceeds related to 2020 event cancellation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claims. The Company does not record any gain on insurance claims in excess of expenses incurred until the receipt of the insurance proceeds is deemed to be realizable.</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Accounting standards issued but not yet adopted. </w:t>
      </w:r>
      <w:r>
        <w:rPr>
          <w:rFonts w:ascii="Times New Roman" w:cs="Times New Roman" w:eastAsia="Times New Roman" w:hAnsi="Times New Roman"/>
          <w:sz w:val="18"/>
          <w:szCs w:val="18"/>
          <w:color w:val="auto"/>
        </w:rPr>
        <w:t>The FASB has issued an accounting standard that has not yet become effective as of March 31,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impact the Company’s Consolidated Financial Statements or related disclosures in future periods. The standard and its potential impact are discussed below.</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December 2023, the FASB issued ASU 2023-09,</w:t>
      </w:r>
      <w:r>
        <w:rPr>
          <w:rFonts w:ascii="Times New Roman" w:cs="Times New Roman" w:eastAsia="Times New Roman" w:hAnsi="Times New Roman"/>
          <w:sz w:val="18"/>
          <w:szCs w:val="18"/>
          <w:i w:val="1"/>
          <w:iCs w:val="1"/>
          <w:color w:val="auto"/>
        </w:rPr>
        <w:t xml:space="preserve"> Improvements to Income Tax Disclosures </w:t>
      </w:r>
      <w:r>
        <w:rPr>
          <w:rFonts w:ascii="Times New Roman" w:cs="Times New Roman" w:eastAsia="Times New Roman" w:hAnsi="Times New Roman"/>
          <w:sz w:val="18"/>
          <w:szCs w:val="18"/>
          <w:color w:val="auto"/>
        </w:rPr>
        <w:t>(“ASU No. 2023-09”). The amendments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are expected to enhance the transparency and decision usefulness of income tax disclosures. ASU 2023-09 requires entities to enhance income tax disclosures primarily related to the rate reconciliation and income taxes paid information. Companies will need to disaggregate the disclosure of income taxes paid (net of refunds received) by federal, state, and foreign taxes on an annual basis. Additionally, on an annual basis, companies would disclose income taxes paid disaggregated by individual jurisdiction using a quantitative threshold of 5% of total income taxes paid. Public business entities would also be required to provide, on an annual basis, rate reconciliation information by specific categories, including state and local income tax, the effect of cross-border tax laws, foreign tax effects, changes in prior year unrecognized tax benefits, and tax credits, among others. Additionally, some categories would then require disaggregation based on a quantitative threshold of 5%. The foreign tax effect category requires disaggregation by both jurisdiction and nature. The ASU also requires additional qualitative disclosures. All public entities will be required to report income tax information in accordance with the new guidance starting in annual periods beginning after December 15, 2024. The Company expects this ASU to only impact its disclosures with no impacts to the Company’s results of operations, cash flows, and financial condition.</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 November 2023, the FASB issued ASU 2023-07,</w:t>
      </w:r>
      <w:r>
        <w:rPr>
          <w:rFonts w:ascii="Times New Roman" w:cs="Times New Roman" w:eastAsia="Times New Roman" w:hAnsi="Times New Roman"/>
          <w:sz w:val="18"/>
          <w:szCs w:val="18"/>
          <w:i w:val="1"/>
          <w:iCs w:val="1"/>
          <w:color w:val="auto"/>
        </w:rPr>
        <w:t xml:space="preserve"> Segment Reporting: Improvements in Reportable Segment Disclosures </w:t>
      </w:r>
      <w:r>
        <w:rPr>
          <w:rFonts w:ascii="Times New Roman" w:cs="Times New Roman" w:eastAsia="Times New Roman" w:hAnsi="Times New Roman"/>
          <w:sz w:val="18"/>
          <w:szCs w:val="18"/>
          <w:color w:val="auto"/>
        </w:rPr>
        <w:t>(“ASU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2023-07”). The amendments in the ASU are expected to improve disclosures about a public entity’s reportable segments and addresses requests from investors and other allocators or capital for additional, more detailed information about a reportable segment’s expenses. ASU 2023-07 requires public companies to disclose, on an annual and interim basis, significant expenses that are regularly provided to the chief operating decision maker (CODM) and included within each reported measure of segment profit and loss. The amendments in the ASU require that a public company provide all annual disclosures about a reportable segment’s profit or loss and assets currently required under ASC 280 in interim periods. The amendments in the ASU also require that a public entity disclose, on an annual and interim basis, an amount for other segment items by reportable segment and a description of its composition. The other segment items category is the difference between segment revenue less the significant expenses disclosed and each reported measure of segment profit or loss. The amendments in the ASU, among other items, also requires that a public company disclose the title and position of the CODM and an explanation of how the CODM uses the reported measure(s) of segment profit or loss in assessing segment performance and deciding how to allocate resources. The ASU applies to all public entities that are required to report segment information in accordance with Topic 280. All public entities will be required to report segment information in accordance with the new guidance starting in annual periods beginning after December 15, 2023 and for interim periods within annual periods beginning after December 15, 2024. The Company expects this ASU to only impact its disclosures with no impacts to the Company’s results of operations, cash flows, and financial condition.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Acquisition and Divestiture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2023, the Company acquired 100% of a formerly independent sales agent of Gartner research products in the Czech Republic for an aggregate purchase price of $7.9 million, including cash acquired and deferred consideration. During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three months ended March 31, 2024, the Company paid $2.0 million of deferred consideration. The allocation of the purchase price is preliminary with respect to certain tax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2023, the Company completed the sale of a non-core business, TalentNeuron, for approximately $161.1 million net of post-close adjustments. The Company recorded pre-tax gains of $139.3 million and $135.4 million on the sale of TalentNeuron, which is included in Gain from sale of divested operation in the Consolidated Statement of Operations during the three months ended March 31, 2023 and the year ended December 31, 2023, respectively. TalentNeuron was included in the Company’s Research segment.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Goodwill and Intangible Assets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of acquired businesses over the estimated fair values of the tangible and identifiable intangible net assets acquired. Evaluations of the recoverability of goodwill are performed in accordance with FASB ASC Topic 350, which requires an annual assessment of potential goodwill impairment at the reporting unit level and whenever events or changes in circumstances indicate that the carrying value of goodwill may not be recoverable.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performing the annual assessment of the recoverability of goodwill, the Company initially performs a qualitative analysis evaluating whether any events or circumstances occurred or exist that provide evidence that it is more likely than not that the fair value of any of the Company’s reporting units is less than the related carrying amount. If the Company does not believe that it is more likely than not that the fair value of any of the Company’s reporting units is less than the related carrying amount, then no quantitative impairment test is performed. However, if the results of the qualitative assessment indicate that it is more likely than not that the fair value of a reporting unit is less than its respective carrying amount, then a quantitative impairment test is performed. Evaluating the recoverability of goodwill requires judgments and assumptions regarding future trends and events. As a result, both the precision and reliability of the estimates are subject to uncertainty.</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most recent annual impairment test of goodwill was a qualitative analysis conducted during the quarter ended September 30, 2023 that indicated no impairment. Subsequent to completing the 2023 annual impairment test, there were no events or changes in circumstances noted that required an interim impairment test.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changes to the carrying amount of goodwill by segment during the three months ended March 31, 2024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 (1)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2,657,549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2,937,260</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 (1)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2,654,915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2,934,398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34715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accumulated goodwill impairment losses.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reconciliations of the carrying amounts of the Company’s finite-lived intangible assets as of the dates indicated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Technology-</w:t>
            </w:r>
          </w:p>
        </w:tc>
        <w:tc>
          <w:tcPr>
            <w:tcW w:w="280" w:type="dxa"/>
            <w:vAlign w:val="bottom"/>
          </w:tcPr>
          <w:p>
            <w:pPr>
              <w:spacing w:after="0"/>
              <w:rPr>
                <w:sz w:val="17"/>
                <w:szCs w:val="17"/>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00" w:type="dxa"/>
            <w:vAlign w:val="bottom"/>
          </w:tcPr>
          <w:p>
            <w:pPr>
              <w:spacing w:after="0"/>
              <w:rPr>
                <w:sz w:val="17"/>
                <w:szCs w:val="17"/>
                <w:color w:val="auto"/>
              </w:rPr>
            </w:pP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3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related</w:t>
            </w:r>
          </w:p>
        </w:tc>
        <w:tc>
          <w:tcPr>
            <w:tcW w:w="2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 at December 31, 2023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1,098,583</w:t>
            </w:r>
          </w:p>
        </w:tc>
        <w:tc>
          <w:tcPr>
            <w:tcW w:w="0" w:type="dxa"/>
            <w:vAlign w:val="bottom"/>
          </w:tcPr>
          <w:p>
            <w:pPr>
              <w:spacing w:after="0"/>
              <w:rPr>
                <w:sz w:val="1"/>
                <w:szCs w:val="1"/>
                <w:color w:val="auto"/>
              </w:rPr>
            </w:pPr>
          </w:p>
        </w:tc>
      </w:tr>
      <w:tr>
        <w:trPr>
          <w:trHeight w:val="22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w:t>
            </w: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1,074,484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1,095,884</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amortization (1)</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(601,317)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(618,183)</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477,701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Technology-</w:t>
            </w:r>
          </w:p>
        </w:tc>
        <w:tc>
          <w:tcPr>
            <w:tcW w:w="280" w:type="dxa"/>
            <w:vAlign w:val="bottom"/>
          </w:tcPr>
          <w:p>
            <w:pPr>
              <w:spacing w:after="0"/>
              <w:rPr>
                <w:sz w:val="17"/>
                <w:szCs w:val="17"/>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00" w:type="dxa"/>
            <w:vAlign w:val="bottom"/>
          </w:tcPr>
          <w:p>
            <w:pPr>
              <w:spacing w:after="0"/>
              <w:rPr>
                <w:sz w:val="17"/>
                <w:szCs w:val="17"/>
                <w:color w:val="auto"/>
              </w:rPr>
            </w:pP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3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related</w:t>
            </w:r>
          </w:p>
        </w:tc>
        <w:tc>
          <w:tcPr>
            <w:tcW w:w="2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1,098,583</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amortization (1)</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(596,625)</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501,958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33775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286" w:lineRule="exact"/>
        <w:rPr>
          <w:sz w:val="20"/>
          <w:szCs w:val="20"/>
          <w:color w:val="auto"/>
        </w:rPr>
      </w:pPr>
    </w:p>
    <w:p>
      <w:pPr>
        <w:ind w:left="340" w:hanging="332"/>
        <w:spacing w:after="0" w:line="282" w:lineRule="auto"/>
        <w:tabs>
          <w:tab w:leader="none" w:pos="3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Finite-lived intangible assets are amortized using the straight-line method over the following periods: Customer relationships—6 to 13 years; Technology-related—3 years; and Other—11 years.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related to finite-lived intangible assets was $23.0 million and $22.7 million during the three months ended March 31, 2024 and 2023, respectively. The estimated future amortization expense by year for finite-lived intangible assets is presented in the table below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nine months)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66,973</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81,263</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78,589</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77,980</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76,509</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96,387</w:t>
            </w:r>
          </w:p>
        </w:tc>
      </w:tr>
      <w:tr>
        <w:trPr>
          <w:trHeight w:val="248"/>
        </w:trPr>
        <w:tc>
          <w:tcPr>
            <w:tcW w:w="9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477,701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Revenue and Related Matters</w:t>
      </w:r>
    </w:p>
    <w:p>
      <w:pPr>
        <w:spacing w:after="0" w:line="2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Disaggregated Revenue </w:t>
      </w:r>
      <w:r>
        <w:rPr>
          <w:rFonts w:ascii="Times New Roman" w:cs="Times New Roman" w:eastAsia="Times New Roman" w:hAnsi="Times New Roman"/>
          <w:sz w:val="18"/>
          <w:szCs w:val="18"/>
          <w:color w:val="auto"/>
        </w:rPr>
        <w:t>— The Company’s disaggregated revenue by reportable segment is presented in the tables below for the periods indicated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Primary Geographic Market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78,539</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961,850</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287,543</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10,328</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334,473</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145,408</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19,544</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176,603</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1,268,172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70,069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134,685</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1,472,926</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9"/>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76,975</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935,149</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268,657</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9,207</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310,802</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139,135</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17,123</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162,918</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1,217,191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127,036</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1,408,869</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34715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Revenue is reported based on where the sale is fulfilled.</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revenue is generated primarily through direct sales to clients by domestic and international sales forces and a network of independent international sales agents.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Timing of Revenue Recognition</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1,182,268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108,587</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1,290,855</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85,904</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70,069</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182,071</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134,685</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1,472,926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0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97,006</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1,206,802</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107,395</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64,642</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30,030</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202,067</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1,217,191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127,036</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1,408,869</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34715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left="340" w:hanging="332"/>
        <w:spacing w:after="0" w:line="257"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revenues in this category are recognized in connection with performance obligations that are satisfied over time using a time-elapsed output method to measure progress. Consulting revenues in this category are recognized over time using costs incurred to date relative to total estimated costs at completion.</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in this category are recognized in connection with performance obligations that are satisfied at the point in time that the contractual deliverables are provided to the customer.</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Performance Obligations </w:t>
      </w:r>
      <w:r>
        <w:rPr>
          <w:rFonts w:ascii="Times New Roman" w:cs="Times New Roman" w:eastAsia="Times New Roman" w:hAnsi="Times New Roman"/>
          <w:sz w:val="18"/>
          <w:szCs w:val="18"/>
          <w:color w:val="auto"/>
        </w:rPr>
        <w:t>— For customer contracts that are greater than one year in duration, the aggregate amount of the transaction price allocated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that were unsatisfied (or partially unsatisfied) as of March 31, 2024 was approximately $5.6 billion. The Company expects to recognize $2.6 billion, $2.2 billion and $0.8 billion of this revenue (most of which pertains to Research) during the remainder of 2024, the year ending December 31, 2025 and thereafter, respectively. The Company applies a practical expedient that is permitted under ASC Topic 606 and, accordingly, it does not disclose such performance obligation information for customer contracts that have original durations of one year or less. The Company’s performance obligations for contracts meeting this ASC Topic 606 disclosure exclusion primarily include: (i) stand-ready services under Research subscription contracts; (ii) holding conferences and meetings where attendees and exhibitors can participate; and (iii) providing customized Consulting solutions for clients under fixed fee and time and materials engagements. The remaining duration of these performance obligations is generally less than one year, which aligns with the period that the parties have enforceable rights and obligations under the affected contracts.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 Contract Assets and Liabilities </w:t>
      </w:r>
      <w:r>
        <w:rPr>
          <w:rFonts w:ascii="Times New Roman" w:cs="Times New Roman" w:eastAsia="Times New Roman" w:hAnsi="Times New Roman"/>
          <w:sz w:val="18"/>
          <w:szCs w:val="18"/>
          <w:color w:val="auto"/>
        </w:rPr>
        <w:t>— The timing of the recognition of revenue and the amount and timing of the Company’s billings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collections, including upfront customer payments, result in the recognition of both assets and liabilities on the Company’s Condensed Consolidated Balance Sheets. The table below provides information regarding certain of the Company’s balance sheet accounts that pertain to its contracts with customers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9"/>
                <w:szCs w:val="19"/>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77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receivable, gross (1)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1,574,960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1,610,228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Contract assets recorded in Prepaid expenses and other current assets (2)</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29,773</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28,791</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7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(current liability) (3)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2,796,016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2,640,515</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deferred revenues recorded in Other liabilities (3)</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24,523</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33,490</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2,820,539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2,674,005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480" w:type="dxa"/>
            <w:vAlign w:val="bottom"/>
            <w:tcBorders>
              <w:bottom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receivable represent an unconditional right to payment from the Company’s customers and include both billed and unbilled amounts.</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assets represent recognized revenue for which the Company does not have an unconditional right to payment as of the balance sheet date because the project may be subject to a progress billing milestone or some other billing restrictions.</w:t>
      </w:r>
    </w:p>
    <w:p>
      <w:pPr>
        <w:ind w:left="340" w:right="20" w:hanging="332"/>
        <w:spacing w:after="0" w:line="260"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revenues represent amounts (i) for which the Company has received an upfront customer payment or (ii) that pertain to recognized fees receivable. Both situations occur before the completion of the Company’s performance obligation(s).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revenue of $1.0 billion and $0.9 billion during the three months ended March 31, 2024 and 2023, respectively, that was attributable to deferred revenues that were recorded at the beginning of each such period. Those amounts primarily consisted of Research revenues that were recognized ratably as control of the goods or services passed to the customer during the reporting periods. During each of the three months ended March 31, 2024 and 2023, the Company did not record any material impairments related to its contract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Computation of Earnings Per Share</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by the weighted average number of shares of Common Stock outstanding during the period. Diluted EPS reflects the potential dilution of securities that could share in earnings. Potential shares of common stock are excluded from the computation of diluted earnings per share when their effect would be anti-dilutive.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calculation of basic and diluted income per share for the periods indicated (in thousands, except per share data).</w:t>
      </w:r>
    </w:p>
    <w:p>
      <w:pPr>
        <w:spacing w:after="0" w:line="46"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b w:val="1"/>
          <w:bCs w:val="1"/>
          <w:color w:val="auto"/>
        </w:rPr>
        <w:t>March 31,</w:t>
      </w:r>
    </w:p>
    <w:p>
      <w:pPr>
        <w:sectPr>
          <w:pgSz w:w="11900" w:h="16838" w:orient="portrait"/>
          <w:cols w:equalWidth="0" w:num="1">
            <w:col w:w="11240"/>
          </w:cols>
          <w:pgMar w:left="320" w:top="1132" w:right="339" w:bottom="1440" w:gutter="0" w:footer="0" w:header="0"/>
        </w:sect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used for calculating basic and diluted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Denominator:</w:t>
      </w:r>
    </w:p>
    <w:p>
      <w:pPr>
        <w:spacing w:after="0" w:line="27" w:lineRule="exact"/>
        <w:rPr>
          <w:sz w:val="20"/>
          <w:szCs w:val="20"/>
          <w:color w:val="auto"/>
        </w:rPr>
      </w:pPr>
    </w:p>
    <w:p>
      <w:pPr>
        <w:ind w:left="20" w:right="1540"/>
        <w:spacing w:after="0" w:line="294" w:lineRule="auto"/>
        <w:rPr>
          <w:sz w:val="20"/>
          <w:szCs w:val="20"/>
          <w:color w:val="auto"/>
        </w:rPr>
      </w:pPr>
      <w:r>
        <w:rPr>
          <w:rFonts w:ascii="Times New Roman" w:cs="Times New Roman" w:eastAsia="Times New Roman" w:hAnsi="Times New Roman"/>
          <w:sz w:val="17"/>
          <w:szCs w:val="17"/>
          <w:color w:val="auto"/>
        </w:rPr>
        <w:t>Weighted average common shares used in the calculation of basic income per share Dilutive effect of outstanding awards associated with stock-based compensation plans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53"/>
        </w:trPr>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210,545</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295,783</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48"/>
        </w:trPr>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78,339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79,452</w:t>
            </w:r>
          </w:p>
        </w:tc>
      </w:tr>
      <w:tr>
        <w:trPr>
          <w:trHeight w:val="234"/>
        </w:trPr>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r>
    </w:tbl>
    <w:p>
      <w:pPr>
        <w:spacing w:after="0" w:line="20" w:lineRule="exact"/>
        <w:rPr>
          <w:sz w:val="20"/>
          <w:szCs w:val="20"/>
          <w:color w:val="auto"/>
        </w:rPr>
      </w:pPr>
    </w:p>
    <w:p>
      <w:pPr>
        <w:sectPr>
          <w:pgSz w:w="11900" w:h="16838" w:orient="portrait"/>
          <w:cols w:equalWidth="0" w:num="2">
            <w:col w:w="8000" w:space="720"/>
            <w:col w:w="2520"/>
          </w:cols>
          <w:pgMar w:left="320" w:top="1132"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87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Shares used in the calculation of diluted income per share</w:t>
            </w:r>
          </w:p>
        </w:tc>
        <w:tc>
          <w:tcPr>
            <w:tcW w:w="3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78,964</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80,282</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8"/>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7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income per share</w:t>
            </w: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3.68</w:t>
            </w:r>
          </w:p>
        </w:tc>
      </w:tr>
      <w:tr>
        <w:trPr>
          <w:trHeight w:val="20"/>
        </w:trPr>
        <w:tc>
          <w:tcPr>
            <w:tcW w:w="5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9"/>
        </w:trPr>
        <w:tc>
          <w:tcPr>
            <w:tcW w:w="5480" w:type="dxa"/>
            <w:vAlign w:val="bottom"/>
            <w:tcBorders>
              <w:bottom w:val="single" w:sz="8" w:color="auto"/>
            </w:tcBorders>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76" w:lineRule="exact"/>
        <w:rPr>
          <w:sz w:val="20"/>
          <w:szCs w:val="20"/>
          <w:color w:val="auto"/>
        </w:rPr>
      </w:pPr>
    </w:p>
    <w:p>
      <w:pPr>
        <w:ind w:left="340" w:hanging="332"/>
        <w:spacing w:after="0" w:line="282"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outstanding awards associated with stock-based compensation plans were not included in the computation of diluted income per share because the effect would have been anti-dilutive. These anti-dilutive outstanding awards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bookmarkStart w:id="13" w:name="page14"/>
    <w:bookmarkEnd w:id="13"/>
    <w:p>
      <w:pPr>
        <w:ind w:left="340"/>
        <w:spacing w:after="0" w:line="282" w:lineRule="auto"/>
        <w:rPr>
          <w:sz w:val="20"/>
          <w:szCs w:val="20"/>
          <w:color w:val="auto"/>
        </w:rPr>
      </w:pPr>
      <w:r>
        <w:rPr>
          <w:rFonts w:ascii="Times New Roman" w:cs="Times New Roman" w:eastAsia="Times New Roman" w:hAnsi="Times New Roman"/>
          <w:sz w:val="18"/>
          <w:szCs w:val="18"/>
          <w:color w:val="auto"/>
        </w:rPr>
        <w:t>associated with stock-based compensation plans was de minimis for the three months ended March 31, 2024 and approximately 0.3 million for the three months ended March 31,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Stock-Based Compensation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stock-based compensation awards as an incentive for employees and directors to contribute to the Company’s long-term success. The Company currently awards stock-settled stock appreciation rights, service-based and performance-based restricted stock units, and common stock equivalents. As of March 31, 2024, the Company had 5.6 million shares of its common stock, par value $0.0005 per share, (the “Common Stock”) available for stock-based compensation awards under the Gartner, Inc. Long-Term Incentive Plan as amended and restated in June 2023 (the “Plan”).</w:t>
      </w:r>
    </w:p>
    <w:p>
      <w:pPr>
        <w:spacing w:after="0" w:line="20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tables below summarize the Company’s stock-based compensation expense by award type and expense category line item during the periods indicated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r>
      <w:tr>
        <w:trPr>
          <w:trHeight w:val="223"/>
        </w:trPr>
        <w:tc>
          <w:tcPr>
            <w:tcW w:w="8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Award type</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equivalents</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(1)</w:t>
            </w:r>
          </w:p>
        </w:tc>
        <w:tc>
          <w:tcPr>
            <w:tcW w:w="4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0"/>
        </w:trPr>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 category line item</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48"/>
        </w:trPr>
        <w:tc>
          <w:tcPr>
            <w:tcW w:w="8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34715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40" w:hanging="332"/>
        <w:spacing w:after="0" w:line="282"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of $30.6 million and $26.8 million during the three months ended March 31, 2024 and 2023, respectively, for awards to retirement-eligible employees. Those awards vest on an accelerated basis.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Segment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products and services are delivered through three segments – Research, Conferences and Consulting, as described below.</w:t>
      </w:r>
    </w:p>
    <w:p>
      <w:pPr>
        <w:spacing w:after="0" w:line="248" w:lineRule="exact"/>
        <w:rPr>
          <w:sz w:val="20"/>
          <w:szCs w:val="20"/>
          <w:color w:val="auto"/>
        </w:rPr>
      </w:pPr>
    </w:p>
    <w:p>
      <w:pPr>
        <w:jc w:val="both"/>
        <w:ind w:left="340" w:hanging="332"/>
        <w:spacing w:after="0" w:line="268"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Research </w:t>
      </w:r>
      <w:r>
        <w:rPr>
          <w:rFonts w:ascii="Times New Roman" w:cs="Times New Roman" w:eastAsia="Times New Roman" w:hAnsi="Times New Roman"/>
          <w:sz w:val="18"/>
          <w:szCs w:val="18"/>
          <w:color w:val="auto"/>
        </w:rPr>
        <w:t>equips executives and their teams from every function and across all industries with actionable, objective insight, guidance and tools.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experienced experts deliver all this value informed by an unmatched combination of practitioner-sourced and data-driven research to help our clients address their mission critical priorities.</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28"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b w:val="1"/>
          <w:bCs w:val="1"/>
          <w:i w:val="1"/>
          <w:iCs w:val="1"/>
          <w:color w:val="auto"/>
        </w:rPr>
        <w:t xml:space="preserve">Conferences </w:t>
      </w:r>
      <w:r>
        <w:rPr>
          <w:rFonts w:ascii="Times New Roman" w:cs="Times New Roman" w:eastAsia="Times New Roman" w:hAnsi="Times New Roman"/>
          <w:sz w:val="18"/>
          <w:szCs w:val="18"/>
          <w:color w:val="auto"/>
        </w:rPr>
        <w:t>provides executives and teams across an organization the opportunity to learn, share and network. From our Gartner Symposium/Xpo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to industry-leading conferences focused on specific business roles and topics, to peer-driven sessions, our offerings enable attendees to experience the best of Gartner insight and guidance.</w:t>
      </w:r>
    </w:p>
    <w:p>
      <w:pPr>
        <w:spacing w:after="0" w:line="204" w:lineRule="exact"/>
        <w:rPr>
          <w:rFonts w:ascii="Arial" w:cs="Arial" w:eastAsia="Arial" w:hAnsi="Arial"/>
          <w:sz w:val="20"/>
          <w:szCs w:val="20"/>
          <w:color w:val="auto"/>
        </w:rPr>
      </w:pPr>
    </w:p>
    <w:p>
      <w:pPr>
        <w:jc w:val="both"/>
        <w:ind w:left="340" w:hanging="332"/>
        <w:spacing w:after="0" w:line="253" w:lineRule="auto"/>
        <w:tabs>
          <w:tab w:leader="none" w:pos="333" w:val="left"/>
        </w:tabs>
        <w:numPr>
          <w:ilvl w:val="0"/>
          <w:numId w:val="10"/>
        </w:numPr>
        <w:rPr>
          <w:rFonts w:ascii="Calibri" w:cs="Calibri" w:eastAsia="Calibri" w:hAnsi="Calibri"/>
          <w:sz w:val="20"/>
          <w:szCs w:val="20"/>
          <w:color w:val="auto"/>
        </w:rPr>
      </w:pPr>
      <w:r>
        <w:rPr>
          <w:rFonts w:ascii="Times New Roman" w:cs="Times New Roman" w:eastAsia="Times New Roman" w:hAnsi="Times New Roman"/>
          <w:sz w:val="18"/>
          <w:szCs w:val="18"/>
          <w:b w:val="1"/>
          <w:bCs w:val="1"/>
          <w:i w:val="1"/>
          <w:iCs w:val="1"/>
          <w:color w:val="auto"/>
        </w:rPr>
        <w:t xml:space="preserve">Consulting </w:t>
      </w:r>
      <w:r>
        <w:rPr>
          <w:rFonts w:ascii="Times New Roman" w:cs="Times New Roman" w:eastAsia="Times New Roman" w:hAnsi="Times New Roman"/>
          <w:sz w:val="18"/>
          <w:szCs w:val="18"/>
          <w:color w:val="auto"/>
        </w:rPr>
        <w:t>serves senior executives leading technology-driven strategic initiatives leveraging the power of Gartner’s actionable, objective insight.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custom analysis and on-the-ground support we enable optimized technology investments and stronger performance on our clients’ mission critical priorities.</w:t>
      </w:r>
    </w:p>
    <w:p>
      <w:pPr>
        <w:spacing w:after="0" w:line="2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evaluates segment performance and allocates resources based on gross contribution margin. Gross contribution, as presented in the tables below, is defined as operating income or loss excluding certain Cost of services and product development expenses, Selling, general and administrative expenses, Depreciation, Amortization of intangibles, Acquisition and integration charges and Gain from sale of divested operation. Certain bonus and fringe benefit costs included in consolidated Cost of services and product development are not allocated to segment expense. The accounting policies used by the reportable segments are the same as those used by the Company. There are no intersegment revenues. The Company does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4" w:name="page15"/>
    <w:bookmarkEnd w:id="14"/>
    <w:p>
      <w:pPr>
        <w:jc w:val="both"/>
        <w:spacing w:after="0" w:line="250" w:lineRule="auto"/>
        <w:rPr>
          <w:sz w:val="20"/>
          <w:szCs w:val="20"/>
          <w:color w:val="auto"/>
        </w:rPr>
      </w:pPr>
      <w:r>
        <w:rPr>
          <w:rFonts w:ascii="Times New Roman" w:cs="Times New Roman" w:eastAsia="Times New Roman" w:hAnsi="Times New Roman"/>
          <w:sz w:val="18"/>
          <w:szCs w:val="18"/>
          <w:color w:val="auto"/>
        </w:rPr>
        <w:t>not identify or allocate assets, including capital expenditures, by reportable segment. Accordingly, assets are not reported by segment because the information is not available by segment and is not reviewed in the evaluation of segment performance or in making decisions regarding the allocation of resources.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information about the Company’s reportable segments for the periods indicated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2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14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1,268,172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134,685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1,472,926</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contribution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1,022,112</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(748,227)</w:t>
            </w: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273,885</w:t>
            </w:r>
          </w:p>
        </w:tc>
      </w:tr>
      <w:tr>
        <w:trPr>
          <w:trHeight w:val="20"/>
        </w:trPr>
        <w:tc>
          <w:tcPr>
            <w:tcW w:w="5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22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14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1,217,191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1,408,869</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contribution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899,514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977,110</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(569,153)</w:t>
            </w: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407,957</w:t>
            </w:r>
          </w:p>
        </w:tc>
      </w:tr>
      <w:tr>
        <w:trPr>
          <w:trHeight w:val="20"/>
        </w:trPr>
        <w:tc>
          <w:tcPr>
            <w:tcW w:w="5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reconciliation of total segment gross contribution to net income for the periods indicated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54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r>
      <w:tr>
        <w:trPr>
          <w:trHeight w:val="223"/>
        </w:trPr>
        <w:tc>
          <w:tcPr>
            <w:tcW w:w="5480" w:type="dxa"/>
            <w:vAlign w:val="bottom"/>
            <w:tcBorders>
              <w:bottom w:val="single" w:sz="8" w:color="CCEEFF"/>
            </w:tcBorders>
          </w:tcPr>
          <w:p>
            <w:pPr>
              <w:spacing w:after="0"/>
              <w:rPr>
                <w:sz w:val="19"/>
                <w:szCs w:val="19"/>
                <w:color w:val="auto"/>
              </w:rPr>
            </w:pPr>
          </w:p>
        </w:tc>
        <w:tc>
          <w:tcPr>
            <w:tcW w:w="29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gross contribution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1,022,112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977,110</w:t>
            </w:r>
          </w:p>
        </w:tc>
      </w:tr>
      <w:tr>
        <w:trPr>
          <w:trHeight w:val="23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services and product development - unallocated (1)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30"/>
        </w:trPr>
        <w:tc>
          <w:tcPr>
            <w:tcW w:w="8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689,833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657,090</w:t>
            </w:r>
          </w:p>
        </w:tc>
      </w:tr>
      <w:tr>
        <w:trPr>
          <w:trHeight w:val="229"/>
        </w:trPr>
        <w:tc>
          <w:tcPr>
            <w:tcW w:w="8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49,307</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46,631</w:t>
            </w:r>
          </w:p>
        </w:tc>
      </w:tr>
      <w:tr>
        <w:trPr>
          <w:trHeight w:val="230"/>
        </w:trPr>
        <w:tc>
          <w:tcPr>
            <w:tcW w:w="8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30"/>
        </w:trPr>
        <w:tc>
          <w:tcPr>
            <w:tcW w:w="8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(139,316)</w:t>
            </w:r>
          </w:p>
        </w:tc>
      </w:tr>
      <w:tr>
        <w:trPr>
          <w:trHeight w:val="22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273,885</w:t>
            </w: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407,957</w:t>
            </w:r>
          </w:p>
        </w:tc>
      </w:tr>
      <w:tr>
        <w:trPr>
          <w:trHeight w:val="230"/>
        </w:trPr>
        <w:tc>
          <w:tcPr>
            <w:tcW w:w="8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(29,757)</w:t>
            </w:r>
          </w:p>
        </w:tc>
      </w:tr>
      <w:tr>
        <w:trPr>
          <w:trHeight w:val="230"/>
        </w:trPr>
        <w:tc>
          <w:tcPr>
            <w:tcW w:w="8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Gain on event cancellation insurance claims</w:t>
            </w:r>
          </w:p>
        </w:tc>
        <w:tc>
          <w:tcPr>
            <w:tcW w:w="2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r>
      <w:tr>
        <w:trPr>
          <w:trHeight w:val="229"/>
        </w:trPr>
        <w:tc>
          <w:tcPr>
            <w:tcW w:w="8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49,012</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85,494</w:t>
            </w:r>
          </w:p>
        </w:tc>
      </w:tr>
      <w:tr>
        <w:trPr>
          <w:trHeight w:val="22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210,545</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295,783</w:t>
            </w:r>
          </w:p>
        </w:tc>
      </w:tr>
      <w:tr>
        <w:trPr>
          <w:trHeight w:val="21"/>
        </w:trPr>
        <w:tc>
          <w:tcPr>
            <w:tcW w:w="54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9"/>
        </w:trPr>
        <w:tc>
          <w:tcPr>
            <w:tcW w:w="5480" w:type="dxa"/>
            <w:vAlign w:val="bottom"/>
            <w:tcBorders>
              <w:bottom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63" w:lineRule="exact"/>
        <w:rPr>
          <w:sz w:val="20"/>
          <w:szCs w:val="20"/>
          <w:color w:val="auto"/>
        </w:rPr>
      </w:pPr>
    </w:p>
    <w:p>
      <w:pPr>
        <w:jc w:val="both"/>
        <w:ind w:left="340" w:hanging="332"/>
        <w:spacing w:after="0" w:line="266"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amounts consist of certain bonus and fringe costs recorded in consolidated Cost of services and product development that are not allocated to segment expense. The Company’s policy is to allocate bonuses to segments at 100% of a segment employee’s target bonus. Amounts above or below 100% are absorbed by corporate.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Company’s total outstanding borrowings are summarized in the table below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756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Agreement - Revolving facility (1), (2)</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7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Credit Agreement - Term loan facility</w:t>
            </w:r>
          </w:p>
        </w:tc>
        <w:tc>
          <w:tcPr>
            <w:tcW w:w="2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7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Agreement - Revolving credit facility</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4.50% Senior Notes due 2028 (“2028 Notes”)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29"/>
        </w:trPr>
        <w:tc>
          <w:tcPr>
            <w:tcW w:w="8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3.625% Senior Notes due 2029 (“2029 Notes”)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3.75% Senior Notes due 2030 (“2030 Notes”)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29"/>
        </w:trPr>
        <w:tc>
          <w:tcPr>
            <w:tcW w:w="8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Principal amount outstanding (4)</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2,479,400</w:t>
            </w:r>
          </w:p>
        </w:tc>
      </w:tr>
      <w:tr>
        <w:trPr>
          <w:trHeight w:val="229"/>
        </w:trPr>
        <w:tc>
          <w:tcPr>
            <w:tcW w:w="8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financing fees (5)</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(21,104)</w:t>
            </w:r>
          </w:p>
        </w:tc>
      </w:tr>
      <w:tr>
        <w:trPr>
          <w:trHeight w:val="223"/>
        </w:trPr>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balance sheet carrying amount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2,456,877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2,458,296</w:t>
            </w:r>
          </w:p>
        </w:tc>
      </w:tr>
      <w:tr>
        <w:trPr>
          <w:trHeight w:val="20"/>
        </w:trPr>
        <w:tc>
          <w:tcPr>
            <w:tcW w:w="4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40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117" w:lineRule="exact"/>
        <w:rPr>
          <w:sz w:val="20"/>
          <w:szCs w:val="20"/>
          <w:color w:val="auto"/>
        </w:rPr>
      </w:pPr>
    </w:p>
    <w:p>
      <w:pPr>
        <w:jc w:val="both"/>
        <w:ind w:left="340" w:right="20" w:hanging="332"/>
        <w:spacing w:after="0" w:line="257"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annualized interest rate as of March 31, 2024 on the 2024 Credit Agreement was 6.725%, which consisted of Term Secured Overnight Financing Rate (“SOFR”) of 5.375% plus a margin of 1.350%. However, the Company has an interest rate swap contract that effectively converts the floating SOFR on outstanding amounts to a fixed base rate.</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approximately $0.7 billion of available borrowing capacity on the 2024 Credit Agreement revolver (not including the expansion feature) as of March 31, 2024.</w:t>
      </w:r>
    </w:p>
    <w:p>
      <w:pPr>
        <w:ind w:left="340" w:hanging="332"/>
        <w:spacing w:after="0" w:line="250"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State of Connecticut economic development loan originated in 2019 with a 10-year maturity and bears interest at a fixed rate of 1.75%. This loan may be repaid at any time by the Company without penalty.</w:t>
      </w:r>
    </w:p>
    <w:p>
      <w:pPr>
        <w:ind w:left="340" w:right="20" w:hanging="332"/>
        <w:spacing w:after="0" w:line="250"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annual effective rate on the Company’s outstanding debt for the three months ended March 31, 2024, including the effects of its interest rate swaps discussed below, was 5.01%.</w:t>
      </w: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financing fees are being amortized to Interest expense, net over the term of the related debt obligation.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Credit Agreement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26, 2024, the Company entered into a Credit Agreement (the “2024 Credit Agreement”) among the Company, as borrower, the lenders party thereto and JPMorgan Chase Bank, N.A., as administrative agent (the “Administrative Agent”).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Credit Agreement provides for a $1.0 billion senior unsecured five-year revolving facility. The facility may be increased, at the Company’s option and under certain conditions, by up to an additional $750 million in the aggregate. The facility may be used for revolving loans, and up to $75.0 million may be used for letters of credit. The revolving loans may be borrowed, repaid and re-borrowed until March 26, 2029, at which time all amounts borrowed must be repaid, subject to customary extension mechanics.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26, 2024, the Company borrowed $274.4 million under the 2024 Credit Agreement. The initial borrowing was used to repay the outstanding amounts under the 2020 Credit Agreement. Additional amounts borrowed under the 2024 Credit Agreement will be used for working capital needs and general corporate purposes of the Company and its subsidiaries, including the funding of acquisitions and investments, payment of capital expenditures and the repurchase of shares.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under the revolving facility accrues, at a variable rate, based on, at our option, (i) the Secured Overnight Funding Rate (“SOFR”) plus a credit spread adjustment of 0.10% or (ii) an alternate base rate (“Base Rate”) plus, in each case, an applicable margin, and is payable monthly. The applicable margin ranges between 1.125% and 1.75%, depending on the lower rate determined by either the Company’s leverage ratio or the credit rating of the Company’s senior unsecured debt. At March 31, 2024, the applicable all-in margin on the revolving facility was 1.35% (including the credit spread adjustment). The commitment fee payable on the unused portion of the facility is equal to between 0.125% and 0.25% based on utilization of the facility. The Company has also agreed to pay customary letter of credit fees.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Credit Agreement contains certain customary restrictive loan covenants, including, among others, a financial covenant requiring a maximum leverage ratio and covenants limiting the Company’s ability to grant liens, make acquisitions, be acquired and the ability of the Company’s subsidiaries to incur indebtedness. Subsidiaries of the Company are not required to guarantee obligations under the facility, unless such subsidiaries guarantee indebtedness in excess of a threshold set out in the 2024 Credit Agreement, subject to certain limitations and exceptions.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The 2024 Credit Agreement contains customary events of default that include, among others, non-payment of principal, interest or fees, material inaccuracy of representations and warranties, violation of covenants, cross defaults to certain other indebtedness, bankruptcy and insolvency events, ERISA defaults, material judgments, and events constituting a change of control. The occurrence of an event of default allows the lenders to terminate their obligations to lend under the 2024 Credit Agreement and could result in the acceleration of the Company’s obligations under the facility.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2021, the Company issued $600.0 million aggregate principal amount of 3.625% Senior Notes due 2029. The 2029 Notes were issued pursuant to an indenture, dated as of June 18, 2021 (the “2029 Note Indenture”), among the Company, the guarantors party thereto and U.S. Bank National Association, as trustee.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2029 Notes were issued at an issue price of 100.0% and bear interest at a rate of 3.625% per annum. Interest on the 2029 Notes is payable on June 15 and December 15 of each year, beginning on December 15, 2021. The 2029 Notes will mature on June 15, 2029.</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redeem some or all of the 2029 Notes at any time on or after June 15, 2024 for cash at the redemption prices set forth in the 2029 Notes Indenture, plus accrued and unpaid interest to, but excluding, the redemption date. Prior to June 15, 2024, the Company may redeem up to 40% of the aggregate principal amount of the 2029 Notes in connection with certain equity offerings, or some or all of the 2029 Notes with a “make-whole” premium, in each case subject to the terms set forth in the 2029 Note Indenture.</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26, 2024, in connection with the closing of the Credit Agreement and as a result of the termination of the 2020 Credit Agreement, the Company’s subsidiaries that guaranteed the Company’s 2029 Notes were released from their guarantee obligations with respect to the Notes, in accordance with the terms of the indenture pursuant to which the 2029 Notes was issued.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28, 2020, the Company issued $800.0 million aggregate principal amount of 3.75% Senior Notes due 2030. The 2030 Notes were issued pursuant to an indenture, dated as of September 28, 2020 (the “2030 Note Indenture”), among the Company, the guarantors party thereto and U.S. Bank National Association, as trustee.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2030 Notes were issued at an issue price of 100.0% and bear interest at a rate of 3.75% per annum. Interest on the 2030 Notes is payable on April 1 and October 1 of each year, beginning on April 1, 2021. The 2030 Notes will mature on October 1, 2030.</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redeem some or all of the 2030 Notes at any time on or after October 1, 2025 for cash at the redemption prices set forth in the 2030 Note Indenture, plus accrued and unpaid interest to, but excluding, the redemption date. Prior to October 1, 2025, the Company may redeem up to 40% of the aggregate principal amount of the 2030 Notes in connection with certain equity offerings, or some or all of the 2030 Notes with a “make-whole” premium, in each case subject to the terms set forth in the 2030 Note Indenture.</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26, 2024, in connection with the closing of the Credit Agreement and as a result of the termination of the 2020 Credit Agreement, the Company’s subsidiaries that guaranteed the Company’s 2030 Notes were released from their guarantee obligations with respect to the Notes, in accordance with the terms of the indenture pursuant to which the 2030 Notes was issued.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2028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22, 2020, the Company issued $800.0 million aggregate principal amount of 4.50% Senior Notes due 2028. The 2028 Notes were issued pursuant to an indenture, dated as of June 22, 2020 (the “2028 Note Indenture”), among the Company, the guarantors party thereto and U.S. Bank National Association, as trustee.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2028 Notes were issued at an issue price of 100.0% and bear interest at a rate of 4.50% per annum. Interest on the 2028 Notes is payable on January 1 and July 1 of each year, beginning on January 1, 2021. The 2028 Notes will mature on July 1, 2028.</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redeem some or all of the 2028 Notes at any time on or after July 1, 2023 for cash at the redemption prices set forth in the 2028 Note Indenture, plus accrued and unpaid interest to, but excluding, the redemption date. Prior to July 1, 2023, the Company may redeem up to 40% of the aggregate principal amount of the 2028 Notes in connection with certain equity offerings, or some or all of the 2028 Notes with a “make-whole” premium, in each case subject to the terms set forth in the 2028 Note Indenture.</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26, 2024, in connection with the closing of the Credit Agreement and as a result of the termination of the 2020 Credit Agreement, the Company’s subsidiaries that guaranteed the Company’s 2028 Notes were released from their guarantee obligations with respect to the Notes, in accordance with the terms of the indenture pursuant to which the 2028 Notes was issued.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Credit Agreement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entering into the 2024 Credit Agreement, the Company had a credit facility that provided for a $400.0 million Term loan facility and a $1.0 billion Revolving credit facility (the “2020 Credit Agreement”). The 2020 Credit Agreement contained certain customary restrictive loan covenants, including, among others, financial covenants that applied a maximum consolidated leverage ratio and a minimum consolidated interest expense coverage ratio. On March 26, 2024, concurrently with the Company’s entry into the 2024 Credit Agreement, the Company terminated the 2020 Credit Agreement and repaid all amounts outstanding.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had one fixed-for-floating interest rate swap contract with a notional value of $350.0 million that matures in September 2025. Under the contract, the Company pays a base fixed rate of 2.98% and in return receives a floating Term SOFR base rate on 30-day notional borrowings.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June 30, 2020, the Company de-designated all of its interest rate swaps and discontinued hedge accounting. Accordingly, subsequent changes to the fair value of the interest rate swap are recorded in Other income (expense), net. The amounts previously recorded in Accumulated other comprehensive loss are amortized into Interest expense, net over the terms of the hedged forecasted interest payments. As of March 31, 2024, $27.5 million is remaining in Accumulated other comprehensive loss, net. See Note 11 — Derivatives and Hedging for the amounts remaining in Accumulated other comprehensive loss, net of tax effect, at March 31, 2024 and December 31, 2023. See Note 12 — Fair Value Disclosures for a discussion of the fair values of Company’s interest rate swaps.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Equity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Authorization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2015, the Company’s Board of Directors (the “Board”) authorized a share repurchase program to repurchase up to $1.2 billion of the Company’s common stock. The Board authorized incremental share repurchases of up to an aggregate additional $3.5 billion of the Company’s common stock during 2021, 2022, and 2023. As of March 31, 2024, $831.3 million remained available under the share repurchase program.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share repurchase activity is presented in the table below for the periods indicated.</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8"/>
        </w:trPr>
        <w:tc>
          <w:tcPr>
            <w:tcW w:w="8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2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8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20" w:type="dxa"/>
            <w:vAlign w:val="bottom"/>
            <w:tcBorders>
              <w:bottom w:val="single" w:sz="8" w:color="auto"/>
            </w:tcBorders>
          </w:tcPr>
          <w:p>
            <w:pPr>
              <w:spacing w:after="0"/>
              <w:rPr>
                <w:sz w:val="20"/>
                <w:szCs w:val="20"/>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repurchased (1)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489,734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327,680</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repurchased shares (in thousands) (2)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225,124</w:t>
            </w:r>
          </w:p>
        </w:tc>
        <w:tc>
          <w:tcPr>
            <w:tcW w:w="1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106,850</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8" w:name="page19"/>
    <w:bookmarkEnd w:id="18"/>
    <w:p>
      <w:pPr>
        <w:jc w:val="both"/>
        <w:ind w:left="340" w:hanging="332"/>
        <w:spacing w:after="0" w:line="257"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34715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71545" cy="8255"/>
                    </a:xfrm>
                    <a:prstGeom prst="rect">
                      <a:avLst/>
                    </a:prstGeom>
                    <a:noFill/>
                  </pic:spPr>
                </pic:pic>
              </a:graphicData>
            </a:graphic>
          </wp:anchor>
        </w:drawing>
        <w:t>The average purchase price for repurchased shares was $459.69 and $332.18 for the three months ended March 31, 2024 and 2023, respectively. The repurchased shares during the three months ended March 31, 2024 and 2023 included purchases for both open market purchases and stock-based compensation award settlements.</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paid for repurchased shares during the three months ended March 31, 2023 excluded $2.0 million of open market purchases with trade dates in March 2023 that settled in April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 net (“AOCL”)</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provide information about the changes in AOCL by component and the related amounts reclassified out of AOCL to income during the periods indicated (net of tax, in thousands) (1).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Benefit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20" w:type="dxa"/>
            <w:vAlign w:val="bottom"/>
          </w:tcPr>
          <w:p>
            <w:pPr>
              <w:spacing w:after="0"/>
              <w:rPr>
                <w:sz w:val="19"/>
                <w:szCs w:val="19"/>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2023</w:t>
            </w: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period: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AOCL before reclassifications to income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Reclassifications from AOCL to income (2), (3)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March 31, 2024</w:t>
            </w: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Benefit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20" w:type="dxa"/>
            <w:vAlign w:val="bottom"/>
          </w:tcPr>
          <w:p>
            <w:pPr>
              <w:spacing w:after="0"/>
              <w:rPr>
                <w:sz w:val="19"/>
                <w:szCs w:val="19"/>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2022</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(58,115)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(101,610)</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period: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AOCL before reclassifications to income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Reclassifications from AOCL to income (2), (3)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March 31, 2023</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(4,213)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(56,283)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(95,910)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34715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parentheses represent debits (deferred losses).</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million and $5.1 million of the reclassifications related to interest rate swaps (cash flow hedges) were recorded in Interest expense, net, for the three months ended March 31, 2024 and 2023, respectively. See Note 8 — Debt and Note 11 — Derivatives and Hedging for information regarding the cash flow hedges.</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reclassifications related to defined benefit pension plans were recorded in Other income (expense), net.</w:t>
      </w:r>
    </w:p>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net amount of the existing losses on the Company’s interest rate swaps that are reported in Accumulated other comprehensive loss, net at March 31, 2024 that is expected to be reclassified into earnings within the next 12 months is $18.7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Income Taxes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was $49.0 million and $85.5 million for the three months ended March 31, 2024 and 2023, respectively. The effective income tax rate was 18.9% and 22.4% for the three months ended March 31, 2024 and 2023, respectively. The effective income tax rate was higher in the prior year primarily due to the impact of the sale of the TalentNeuron business.</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gross unrecognized tax benefits of $152.4 million on March 31, 2024 and $148.4 million on December 31, 2023. It is reasonably possible that gross unrecognized tax benefits will decrease by approximately $6.0 million within the next twelve months due to the anticipated closure of audits and the expiration of certain statutes of limitation.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the Company completed an intercompany transfer of certain intellectual property. The tax impact of the transfer did not have a significant impact on our effective tax rate. Prior to the sale, the Company had a $103.1 million deferred tax asset for tax basis in the related IP and a full valuation allowance due to no expected local tax benefit of the asset. As a result of the IP transfer, the deferred tax asset and related valuation allowance were written off with no impact to tax expense. The Company’s intellectual property footprint continues to evolve and may result in tax rate volatility in the future.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(“the OECD”) has issued various tax proposals including a two-pillar approach to global taxation (BEPS 2.0/ Pillar Two), focusing on global profit allocation and a 15% global corporate minimum tax rate. Several countries in which Gartner does business have proposed or enacted new laws to align with OECD Pillar Two proposals. The minimum tax is treated as a current cost beginning in 2024 and does not have a significant impact on the Company's effective tax rate for the current period. Significant details around the provisions are still uncertain as the OECD and participating countries continue to work on defining the underlying rules and administrative procedures. The Company will continue to monitor and reflect the impact of such legislative changes in future financial statements as appropriate.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Derivatives and Hedging</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a limited number of derivative contracts to mitigate the cash flow risk associated with changes in interest rates on variable-rate debt and changes in foreign exchange rates on forecasted foreign currency transactions. The Company accounts for its outstanding derivative contracts in accordance with FASB ASC Topic 815, which requires all derivatives, including derivatives designated as accounting hedges, to be recorded on the balance sheet at fair value. The tables below provide information regarding the Company’s outstanding derivative contracts as of the dates indicated (in thousands, except for number of contracts).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80" w:type="dxa"/>
            <w:vAlign w:val="bottom"/>
          </w:tcPr>
          <w:p>
            <w:pPr>
              <w:spacing w:after="0"/>
              <w:rPr>
                <w:sz w:val="15"/>
                <w:szCs w:val="15"/>
                <w:color w:val="auto"/>
              </w:rPr>
            </w:pPr>
          </w:p>
        </w:tc>
        <w:tc>
          <w:tcPr>
            <w:tcW w:w="14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5"/>
                <w:szCs w:val="15"/>
                <w:color w:val="auto"/>
              </w:rPr>
            </w:pPr>
          </w:p>
        </w:tc>
        <w:tc>
          <w:tcPr>
            <w:tcW w:w="12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20" w:type="dxa"/>
            <w:vAlign w:val="bottom"/>
          </w:tcPr>
          <w:p>
            <w:pPr>
              <w:spacing w:after="0"/>
              <w:rPr>
                <w:sz w:val="15"/>
                <w:szCs w:val="15"/>
                <w:color w:val="auto"/>
              </w:rPr>
            </w:pPr>
          </w:p>
        </w:tc>
        <w:tc>
          <w:tcPr>
            <w:tcW w:w="13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Asset</w:t>
            </w:r>
          </w:p>
        </w:tc>
        <w:tc>
          <w:tcPr>
            <w:tcW w:w="100" w:type="dxa"/>
            <w:vAlign w:val="bottom"/>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Contract Type</w:t>
            </w:r>
          </w:p>
        </w:tc>
        <w:tc>
          <w:tcPr>
            <w:tcW w:w="1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(Liability), Net</w:t>
            </w:r>
          </w:p>
        </w:tc>
        <w:tc>
          <w:tcPr>
            <w:tcW w:w="100" w:type="dxa"/>
            <w:vAlign w:val="bottom"/>
          </w:tcPr>
          <w:p>
            <w:pPr>
              <w:spacing w:after="0"/>
              <w:rPr>
                <w:sz w:val="16"/>
                <w:szCs w:val="16"/>
                <w:color w:val="auto"/>
              </w:rPr>
            </w:pPr>
          </w:p>
        </w:tc>
        <w:tc>
          <w:tcPr>
            <w:tcW w:w="198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Sheet</w:t>
            </w:r>
          </w:p>
        </w:tc>
        <w:tc>
          <w:tcPr>
            <w:tcW w:w="180" w:type="dxa"/>
            <w:vAlign w:val="bottom"/>
          </w:tcPr>
          <w:p>
            <w:pPr>
              <w:spacing w:after="0"/>
              <w:rPr>
                <w:sz w:val="16"/>
                <w:szCs w:val="16"/>
                <w:color w:val="auto"/>
              </w:rPr>
            </w:pPr>
          </w:p>
        </w:tc>
        <w:tc>
          <w:tcPr>
            <w:tcW w:w="14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rPr>
              <w:t>Loss Recorded</w:t>
            </w:r>
          </w:p>
        </w:tc>
        <w:tc>
          <w:tcPr>
            <w:tcW w:w="0" w:type="dxa"/>
            <w:vAlign w:val="bottom"/>
          </w:tcPr>
          <w:p>
            <w:pPr>
              <w:spacing w:after="0"/>
              <w:rPr>
                <w:sz w:val="1"/>
                <w:szCs w:val="1"/>
                <w:color w:val="auto"/>
              </w:rPr>
            </w:pPr>
          </w:p>
        </w:tc>
      </w:tr>
      <w:tr>
        <w:trPr>
          <w:trHeight w:val="230"/>
        </w:trPr>
        <w:tc>
          <w:tcPr>
            <w:tcW w:w="3080" w:type="dxa"/>
            <w:vAlign w:val="bottom"/>
            <w:gridSpan w:val="2"/>
            <w:vMerge w:val="continue"/>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240" w:type="dxa"/>
            <w:vAlign w:val="bottom"/>
          </w:tcPr>
          <w:p>
            <w:pPr>
              <w:spacing w:after="0"/>
              <w:rPr>
                <w:sz w:val="19"/>
                <w:szCs w:val="19"/>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2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AOCL, net of tax</w:t>
            </w:r>
          </w:p>
        </w:tc>
        <w:tc>
          <w:tcPr>
            <w:tcW w:w="0" w:type="dxa"/>
            <w:vAlign w:val="bottom"/>
          </w:tcPr>
          <w:p>
            <w:pPr>
              <w:spacing w:after="0"/>
              <w:rPr>
                <w:sz w:val="1"/>
                <w:szCs w:val="1"/>
                <w:color w:val="auto"/>
              </w:rPr>
            </w:pPr>
          </w:p>
        </w:tc>
      </w:tr>
      <w:tr>
        <w:trPr>
          <w:trHeight w:val="223"/>
        </w:trPr>
        <w:tc>
          <w:tcPr>
            <w:tcW w:w="2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(1)</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(20,561)</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100" w:type="dxa"/>
            <w:vAlign w:val="bottom"/>
          </w:tcPr>
          <w:p>
            <w:pPr>
              <w:spacing w:after="0"/>
              <w:rPr>
                <w:sz w:val="19"/>
                <w:szCs w:val="19"/>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forwards (2)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186,470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Accrued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536,470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(20,561)</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308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80" w:type="dxa"/>
            <w:vAlign w:val="bottom"/>
          </w:tcPr>
          <w:p>
            <w:pPr>
              <w:spacing w:after="0"/>
              <w:rPr>
                <w:sz w:val="15"/>
                <w:szCs w:val="15"/>
                <w:color w:val="auto"/>
              </w:rPr>
            </w:pPr>
          </w:p>
        </w:tc>
        <w:tc>
          <w:tcPr>
            <w:tcW w:w="14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5"/>
                <w:szCs w:val="15"/>
                <w:color w:val="auto"/>
              </w:rPr>
            </w:pPr>
          </w:p>
        </w:tc>
        <w:tc>
          <w:tcPr>
            <w:tcW w:w="12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20" w:type="dxa"/>
            <w:vAlign w:val="bottom"/>
          </w:tcPr>
          <w:p>
            <w:pPr>
              <w:spacing w:after="0"/>
              <w:rPr>
                <w:sz w:val="15"/>
                <w:szCs w:val="15"/>
                <w:color w:val="auto"/>
              </w:rPr>
            </w:pPr>
          </w:p>
        </w:tc>
        <w:tc>
          <w:tcPr>
            <w:tcW w:w="13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Asset</w:t>
            </w:r>
          </w:p>
        </w:tc>
        <w:tc>
          <w:tcPr>
            <w:tcW w:w="100" w:type="dxa"/>
            <w:vAlign w:val="bottom"/>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Contract Type</w:t>
            </w:r>
          </w:p>
        </w:tc>
        <w:tc>
          <w:tcPr>
            <w:tcW w:w="15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(Liability), Net</w:t>
            </w:r>
          </w:p>
        </w:tc>
        <w:tc>
          <w:tcPr>
            <w:tcW w:w="100" w:type="dxa"/>
            <w:vAlign w:val="bottom"/>
          </w:tcPr>
          <w:p>
            <w:pPr>
              <w:spacing w:after="0"/>
              <w:rPr>
                <w:sz w:val="15"/>
                <w:szCs w:val="15"/>
                <w:color w:val="auto"/>
              </w:rPr>
            </w:pPr>
          </w:p>
        </w:tc>
        <w:tc>
          <w:tcPr>
            <w:tcW w:w="19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Sheet</w:t>
            </w:r>
          </w:p>
        </w:tc>
        <w:tc>
          <w:tcPr>
            <w:tcW w:w="180" w:type="dxa"/>
            <w:vAlign w:val="bottom"/>
          </w:tcPr>
          <w:p>
            <w:pPr>
              <w:spacing w:after="0"/>
              <w:rPr>
                <w:sz w:val="15"/>
                <w:szCs w:val="15"/>
                <w:color w:val="auto"/>
              </w:rPr>
            </w:pPr>
          </w:p>
        </w:tc>
        <w:tc>
          <w:tcPr>
            <w:tcW w:w="14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Loss Recorded</w:t>
            </w:r>
          </w:p>
        </w:tc>
        <w:tc>
          <w:tcPr>
            <w:tcW w:w="0" w:type="dxa"/>
            <w:vAlign w:val="bottom"/>
          </w:tcPr>
          <w:p>
            <w:pPr>
              <w:spacing w:after="0"/>
              <w:rPr>
                <w:sz w:val="1"/>
                <w:szCs w:val="1"/>
                <w:color w:val="auto"/>
              </w:rPr>
            </w:pPr>
          </w:p>
        </w:tc>
      </w:tr>
      <w:tr>
        <w:trPr>
          <w:trHeight w:val="243"/>
        </w:trPr>
        <w:tc>
          <w:tcPr>
            <w:tcW w:w="3080" w:type="dxa"/>
            <w:vAlign w:val="bottom"/>
            <w:gridSpan w:val="2"/>
            <w:vMerge w:val="continue"/>
          </w:tcPr>
          <w:p>
            <w:pPr>
              <w:spacing w:after="0"/>
              <w:rPr>
                <w:sz w:val="21"/>
                <w:szCs w:val="21"/>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240" w:type="dxa"/>
            <w:vAlign w:val="bottom"/>
          </w:tcPr>
          <w:p>
            <w:pPr>
              <w:spacing w:after="0"/>
              <w:rPr>
                <w:sz w:val="21"/>
                <w:szCs w:val="21"/>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2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1"/>
                <w:szCs w:val="21"/>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AOCL, net of tax</w:t>
            </w:r>
          </w:p>
        </w:tc>
        <w:tc>
          <w:tcPr>
            <w:tcW w:w="0" w:type="dxa"/>
            <w:vAlign w:val="bottom"/>
          </w:tcPr>
          <w:p>
            <w:pPr>
              <w:spacing w:after="0"/>
              <w:rPr>
                <w:sz w:val="1"/>
                <w:szCs w:val="1"/>
                <w:color w:val="auto"/>
              </w:rPr>
            </w:pPr>
          </w:p>
        </w:tc>
      </w:tr>
      <w:tr>
        <w:trPr>
          <w:trHeight w:val="223"/>
        </w:trPr>
        <w:tc>
          <w:tcPr>
            <w:tcW w:w="2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(1)</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0" w:type="dxa"/>
            <w:vAlign w:val="bottom"/>
          </w:tcPr>
          <w:p>
            <w:pPr>
              <w:spacing w:after="0"/>
              <w:rPr>
                <w:sz w:val="1"/>
                <w:szCs w:val="1"/>
                <w:color w:val="auto"/>
              </w:rPr>
            </w:pPr>
          </w:p>
        </w:tc>
      </w:tr>
      <w:tr>
        <w:trPr>
          <w:trHeight w:val="229"/>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tcPr>
          <w:p>
            <w:pPr>
              <w:spacing w:after="0"/>
              <w:rPr>
                <w:sz w:val="19"/>
                <w:szCs w:val="19"/>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forwards (2)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525,719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875,719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hanging="332"/>
        <w:spacing w:after="0" w:line="255"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June 30, 2020, the Company de-designated all of its interest rate swaps and discontinued hedge accounting. Accordingly, subsequent changes to fair value of the interest rate swap are recorded in Other income (expense), net. The amounts previously recorded in Accumulated other comprehensive loss are amortized into Interest expense, net over the terms of the hedged forecasted interest payments. See Note 8 — Debt for additional information regarding the Company’s interest rate swap contract.</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foreign exchange transaction risk because it typically enters into transactions in the normal course of business that are denominated in foreign currencies that differ from the local functional currency. The Company enters into short-term foreign currency forward exchange contracts to mitigate the cash flow risk associated with changes in foreign currency rates on forecasted foreign currency transactions. These contracts are accounted for at fair value with realized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ind w:left="340"/>
        <w:spacing w:after="0" w:line="261" w:lineRule="auto"/>
        <w:rPr>
          <w:sz w:val="20"/>
          <w:szCs w:val="20"/>
          <w:color w:val="auto"/>
        </w:rPr>
      </w:pPr>
      <w:r>
        <w:rPr>
          <w:rFonts w:ascii="Times New Roman" w:cs="Times New Roman" w:eastAsia="Times New Roman" w:hAnsi="Times New Roman"/>
          <w:sz w:val="18"/>
          <w:szCs w:val="18"/>
          <w:color w:val="auto"/>
        </w:rPr>
        <w:t>unrealized gains and losses recognized in Other income (expense), net because the Company does not designate these contracts as hedges for accounting purposes. All of the outstanding foreign currency forward exchange contracts at March 31, 2024 matured before April 30, 2024.</w:t>
      </w:r>
    </w:p>
    <w:p>
      <w:pPr>
        <w:spacing w:after="0"/>
        <w:rPr>
          <w:sz w:val="20"/>
          <w:szCs w:val="20"/>
          <w:color w:val="auto"/>
        </w:rPr>
      </w:pPr>
      <w:r>
        <w:rPr>
          <w:rFonts w:ascii="Times New Roman" w:cs="Times New Roman" w:eastAsia="Times New Roman" w:hAnsi="Times New Roman"/>
          <w:sz w:val="18"/>
          <w:szCs w:val="18"/>
          <w:color w:val="auto"/>
        </w:rPr>
        <w:t>(3) See Note 12 — Fair Value Disclosures for the determination of the fair values of these instruments.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2024, all of the Company’s derivative counterparties were investment grade financial institutions. The Company did not have any collateral arrangements with its derivative counterparties and none of the derivative contracts contained credit-risk related contingent features. The table below provides information regarding amounts recognized in the accompanying Condensed Consolidated Statements of Operations for derivative contracts for the periods indicated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5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r>
      <w:tr>
        <w:trPr>
          <w:trHeight w:val="22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 recorded in:</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r>
      <w:tr>
        <w:trPr>
          <w:trHeight w:val="229"/>
        </w:trPr>
        <w:tc>
          <w:tcPr>
            <w:tcW w:w="84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expense, net (2)</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48"/>
        </w:trPr>
        <w:tc>
          <w:tcPr>
            <w:tcW w:w="84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(income) expense,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5480" w:type="dxa"/>
            <w:vAlign w:val="bottom"/>
            <w:tcBorders>
              <w:bottom w:val="single" w:sz="8" w:color="auto"/>
            </w:tcBorders>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63"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interest expense from interest rate swap contracts.</w:t>
      </w:r>
    </w:p>
    <w:p>
      <w:pPr>
        <w:spacing w:after="0" w:line="27"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net realized and unrealized gains and losses on foreign currency forward contracts and gains and losses on de-designated interest rate swaps.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Fair Value Disclosures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include cash equivalents, fees receivable from customers, accounts payable and accrued liabilities, all of which are normally short-term in nature. The Company believes that the carrying amounts of these financial instruments reasonably approximate their fair values due to their short-term nature. The Company’s financial instruments also include its outstanding variable-rate borrowings under the 2024 Credit Agreement. The Company believes that the carrying amounts of its variable-rate borrowings reasonably approximate their fair values because the rates of interest on those borrowings reflect current market rates of interest for similar instruments with comparable maturities.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enters into a limited number of derivatives transactions but does not enter into repurchase agreements, securities lending transactions or master netting arrangements. Receivables or payables that result from derivatives transactions are recorded gross in the Company’s Condensed Consolidated Balance Sheets.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FASB ASC Topic 820 provides a framework for the measurement of fair value and a valuation hierarchy based on the transparency of inputs used in the valuation of assets and liabilities. Classification within the valuation hierarchy is based on the lowest level of input that is significant to the resulting fair value measurement. The valuation hierarchy contains three levels. Level 1 measurements consist of quoted prices in active markets for identical assets or liabilities. Level 2 measurements include significant other observable inputs such as quoted prices for similar assets or liabilities in active markets; identical assets or liabilities in inactive markets; observable inputs such as interest rates and yield curves; and other market-corroborated inputs. Level 3 measurements include significant unobservable inputs such as internally-created valuation models. Generally, the Company does not utilize Level 3 valuation inputs to remeasure any of its assets or liabilities. However, Level 3 inputs may be used by the Company when certain long-lived assets, including identifiable intangible assets, goodwill, and right-of-use assets are measured at fair value on a nonrecurring basis when there are indicators of impairment. Additionally, Level 3 inputs may be used by the Company in its required annual impairment review of goodwill. Information regarding the periodic assessment of the Company’s goodwill is included in Note 3 — Goodwill and Intangible Assets. The Company does not typically transfer assets or liabilities between different levels of the valuation hierarchy.</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values of certain financial assets and liabilities that are measured at fair value on a recurring basis in the Company's financial statements (in thousands).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7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0" w:type="dxa"/>
            <w:vAlign w:val="bottom"/>
          </w:tcPr>
          <w:p>
            <w:pPr>
              <w:spacing w:after="0"/>
              <w:rPr>
                <w:sz w:val="17"/>
                <w:szCs w:val="17"/>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7"/>
                <w:szCs w:val="17"/>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88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7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Values based on Level 1 inputs: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compensation plan assets (1)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0" w:type="dxa"/>
            <w:vAlign w:val="bottom"/>
          </w:tcPr>
          <w:p>
            <w:pPr>
              <w:spacing w:after="0"/>
              <w:rPr>
                <w:sz w:val="1"/>
                <w:szCs w:val="1"/>
                <w:color w:val="auto"/>
              </w:rPr>
            </w:pPr>
          </w:p>
        </w:tc>
      </w:tr>
      <w:tr>
        <w:trPr>
          <w:trHeight w:val="223"/>
        </w:trPr>
        <w:tc>
          <w:tcPr>
            <w:tcW w:w="7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Level 1 inputs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0" w:type="dxa"/>
            <w:vAlign w:val="bottom"/>
          </w:tcPr>
          <w:p>
            <w:pPr>
              <w:spacing w:after="0"/>
              <w:rPr>
                <w:sz w:val="1"/>
                <w:szCs w:val="1"/>
                <w:color w:val="auto"/>
              </w:rPr>
            </w:pPr>
          </w:p>
        </w:tc>
      </w:tr>
      <w:tr>
        <w:trPr>
          <w:trHeight w:val="229"/>
        </w:trPr>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Values based on Level 2 inputs: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Deferred compensation plan assets (1)</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104,555</w:t>
            </w:r>
          </w:p>
        </w:tc>
        <w:tc>
          <w:tcPr>
            <w:tcW w:w="0" w:type="dxa"/>
            <w:vAlign w:val="bottom"/>
          </w:tcPr>
          <w:p>
            <w:pPr>
              <w:spacing w:after="0"/>
              <w:rPr>
                <w:sz w:val="1"/>
                <w:szCs w:val="1"/>
                <w:color w:val="auto"/>
              </w:rPr>
            </w:pPr>
          </w:p>
        </w:tc>
      </w:tr>
      <w:tr>
        <w:trPr>
          <w:trHeight w:val="230"/>
        </w:trPr>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 (2)</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Interest rate swap contract (3)</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0" w:type="dxa"/>
            <w:vAlign w:val="bottom"/>
          </w:tcPr>
          <w:p>
            <w:pPr>
              <w:spacing w:after="0"/>
              <w:rPr>
                <w:sz w:val="1"/>
                <w:szCs w:val="1"/>
                <w:color w:val="auto"/>
              </w:rPr>
            </w:pPr>
          </w:p>
        </w:tc>
      </w:tr>
      <w:tr>
        <w:trPr>
          <w:trHeight w:val="223"/>
        </w:trPr>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Level 2 inputs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113,260</w:t>
            </w:r>
          </w:p>
        </w:tc>
        <w:tc>
          <w:tcPr>
            <w:tcW w:w="0" w:type="dxa"/>
            <w:vAlign w:val="bottom"/>
          </w:tcPr>
          <w:p>
            <w:pPr>
              <w:spacing w:after="0"/>
              <w:rPr>
                <w:sz w:val="1"/>
                <w:szCs w:val="1"/>
                <w:color w:val="auto"/>
              </w:rPr>
            </w:pPr>
          </w:p>
        </w:tc>
      </w:tr>
      <w:tr>
        <w:trPr>
          <w:trHeight w:val="223"/>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142,627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123,550</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Values based on Level 2 inputs: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compensation plan liabilities (1)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121,708</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 (2)</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23"/>
        </w:trPr>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Level 2 inputs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123,174</w:t>
            </w:r>
          </w:p>
        </w:tc>
        <w:tc>
          <w:tcPr>
            <w:tcW w:w="0" w:type="dxa"/>
            <w:vAlign w:val="bottom"/>
          </w:tcPr>
          <w:p>
            <w:pPr>
              <w:spacing w:after="0"/>
              <w:rPr>
                <w:sz w:val="1"/>
                <w:szCs w:val="1"/>
                <w:color w:val="auto"/>
              </w:rPr>
            </w:pPr>
          </w:p>
        </w:tc>
      </w:tr>
      <w:tr>
        <w:trPr>
          <w:trHeight w:val="223"/>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136,508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123,174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480" w:type="dxa"/>
            <w:vAlign w:val="bottom"/>
            <w:tcBorders>
              <w:bottom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40" w:hanging="332"/>
        <w:spacing w:after="0" w:line="255"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deferred compensation plan for the benefit of certain highly compensated officers, managers and other key employees. The assets consist of investments in money market funds, mutual funds and company-owned life insurance contracts, which are valued based on Level 1 or Level 2 inputs. The related deferred compensation plan liabilities are recorded at fair value, or the estimated amount needed to settle the liability, which the Company considers to be a Level 2 input.</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foreign currency forward exchange contracts to hedge the effects of adverse fluctuations in foreign currency exchange rates (see Note 11 — Derivatives and Hedging). Valuation of these contracts is based on observable foreign currency exchange rates in active markets, which the Company considers to be a Level 2 input.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interest rate swap contract that hedges the risk of variability from interest payments on its borrowings (see Note 8 — Debt). The fair value of the interest rate swap is based on mark-to-market valuations prepared by a third-party broker. This valuation is based on observable interest rates from recently executed market transactions and other observable market data, which the Company considers to be Level 2 inputs. The Company independently corroborates the reasonableness of the valuations prepared by the third-party broker by using an electronic quotation service.</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table below presents the carrying amounts (net of deferred financing costs) and fair values of financial instruments that are not recorded at fair value in the Company’s Condensed Consolidated Balance Sheets (in thousands). The estimated fair value of the financial instruments was derived from quoted market prices provided by an independent dealer, which the Company considers to be a Level 2 input.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240" w:type="dxa"/>
            <w:vAlign w:val="bottom"/>
          </w:tcPr>
          <w:p>
            <w:pPr>
              <w:spacing w:after="0"/>
              <w:rPr>
                <w:sz w:val="20"/>
                <w:szCs w:val="20"/>
                <w:color w:val="auto"/>
              </w:rPr>
            </w:pPr>
          </w:p>
        </w:tc>
        <w:tc>
          <w:tcPr>
            <w:tcW w:w="2840" w:type="dxa"/>
            <w:vAlign w:val="bottom"/>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4"/>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Notes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759,040</w:t>
            </w: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543,408</w:t>
            </w: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709,600</w:t>
            </w:r>
          </w:p>
        </w:tc>
      </w:tr>
      <w:tr>
        <w:trPr>
          <w:trHeight w:val="22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2,182,804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2,182,071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2,020,328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2,012,048</w:t>
            </w:r>
          </w:p>
        </w:tc>
      </w:tr>
      <w:tr>
        <w:trPr>
          <w:trHeight w:val="21"/>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certain long-lived assets, including identifiable intangible assets, goodwill, right-of-use assets and other long-lived assets, are measured at fair value on a nonrecurring basis when there are indicators of impairment. During the three months ended March 31, 2024, the Company recorded impairment charges of $0.4 million on right-of-use assets and $0.1 million on other long-lived assets primarily related to certain office leases that the Company determined will no longer be used. The impairments were derived by comparing the fair value of the impacted assets to the carrying value of those assets as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of the impairment measurement date, as required under ASC Topic 360 using Level 3 inputs. See Note 14 — Leases for additional discussion related to these impairment charges.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Contingencies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The Company is involved in legal proceedings and litigation arising in the ordinary course of business. A provision is recorded for pending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 in the Company’s consolidated financial statements when it is determined that an unfavorable outcome is probable and the amount of the loss can be reasonably estimated. The Company believes that the potential liability, if any, in excess of amounts already accrued from all proceedings, claims and litigation will not have a material effect on its financial position, cash flows or results of operations when resolved in a future period.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Indemnifications. </w:t>
      </w:r>
      <w:r>
        <w:rPr>
          <w:rFonts w:ascii="Times New Roman" w:cs="Times New Roman" w:eastAsia="Times New Roman" w:hAnsi="Times New Roman"/>
          <w:sz w:val="18"/>
          <w:szCs w:val="18"/>
          <w:color w:val="auto"/>
        </w:rPr>
        <w:t>The Company has various agreements that may obligate it to indemnify the other party with respect to certain matters. Generally,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clauses are included in contracts arising in the normal course of business under which the Company customarily agrees to hold the other party harmless against losses arising from a breach of representations related to matters such as title to assets sold and licensed or certain intellectual property rights. It is not possible to predict the maximum potential amount of future payments under these indemnification agreements due to the conditional nature of the Company’s obligations and the unique facts of each particular agreement. Historically, payments made by the Company under these agreements have not been material. As of March 31, 2024, the Company did not have any material payment obligations under any such indemnification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Leases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leasing activities are primarily for facilities under cancelable and non-cancelable lease agreements expiring during 2024 and through 2038. These facilities support our executive and administrative activities, sales, systems support, operations, and other functions. The Company also has leases for office equipment and other assets, which are not significant. Certain of these lease agreements include (i) renewal options to extend the lease term for up to ten years and/or (ii) options to terminate the agreement within one year. Additionally, certain of the Company’s lease agreements provide standard recurring escalations of lease payments for, among other things, increases in a lessor’s maintenance costs and taxes. Under some lease agreements, the Company may be entitled to allowances, free rent, lessor-financed tenant improvements and other incentives. The Company’s lease agreements do not contain any material residual value guarantees or material restrictive covenants.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subleases certain office space that it does not intend to occupy. Such sublease arrangements expire during 2024 and through 2032 and primarily relate to facilities in Arlington, Virginia. Certain of the Company’s sublease agreements: (i) include renewal and termination options; (ii) provide for customary escalations of lease payments in the normal course of business; and (iii) grant the subtenant certain allowances, free rent, Gartner-financed tenant improvements and other incentives.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Company’s leasing and subleasing activity is recognized in Selling, general and administrative expense in the accompanying Condensed Consolidated Statements of Operations. The table below presents the Company’s net lease cost and certain other information related to the Company’s leasing activities as of and for the periods indicated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0" w:type="dxa"/>
            <w:vAlign w:val="bottom"/>
          </w:tcPr>
          <w:p>
            <w:pPr>
              <w:spacing w:after="0"/>
              <w:rPr>
                <w:sz w:val="19"/>
                <w:szCs w:val="19"/>
                <w:color w:val="auto"/>
              </w:rPr>
            </w:pPr>
          </w:p>
        </w:tc>
        <w:tc>
          <w:tcPr>
            <w:tcW w:w="8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 (1)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28,799</w:t>
            </w:r>
          </w:p>
        </w:tc>
      </w:tr>
      <w:tr>
        <w:trPr>
          <w:trHeight w:val="230"/>
        </w:trPr>
        <w:tc>
          <w:tcPr>
            <w:tcW w:w="20" w:type="dxa"/>
            <w:vAlign w:val="bottom"/>
          </w:tcPr>
          <w:p>
            <w:pPr>
              <w:spacing w:after="0"/>
              <w:rPr>
                <w:sz w:val="19"/>
                <w:szCs w:val="19"/>
                <w:color w:val="auto"/>
              </w:rPr>
            </w:pP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Lease cost (2)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r>
      <w:tr>
        <w:trPr>
          <w:trHeight w:val="230"/>
        </w:trPr>
        <w:tc>
          <w:tcPr>
            <w:tcW w:w="20" w:type="dxa"/>
            <w:vAlign w:val="bottom"/>
          </w:tcPr>
          <w:p>
            <w:pPr>
              <w:spacing w:after="0"/>
              <w:rPr>
                <w:sz w:val="19"/>
                <w:szCs w:val="19"/>
                <w:color w:val="auto"/>
              </w:rPr>
            </w:pPr>
          </w:p>
        </w:tc>
        <w:tc>
          <w:tcPr>
            <w:tcW w:w="8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(12,641)</w:t>
            </w:r>
          </w:p>
        </w:tc>
      </w:tr>
      <w:tr>
        <w:trPr>
          <w:trHeight w:val="223"/>
        </w:trPr>
        <w:tc>
          <w:tcPr>
            <w:tcW w:w="20" w:type="dxa"/>
            <w:vAlign w:val="bottom"/>
          </w:tcPr>
          <w:p>
            <w:pPr>
              <w:spacing w:after="0"/>
              <w:rPr>
                <w:sz w:val="19"/>
                <w:szCs w:val="19"/>
                <w:color w:val="auto"/>
              </w:rPr>
            </w:pP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cost, net (3) (4)</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20,878</w:t>
            </w: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34,948</w:t>
            </w:r>
          </w:p>
        </w:tc>
      </w:tr>
      <w:tr>
        <w:trPr>
          <w:trHeight w:val="229"/>
        </w:trPr>
        <w:tc>
          <w:tcPr>
            <w:tcW w:w="20" w:type="dxa"/>
            <w:vAlign w:val="bottom"/>
          </w:tcPr>
          <w:p>
            <w:pPr>
              <w:spacing w:after="0"/>
              <w:rPr>
                <w:sz w:val="19"/>
                <w:szCs w:val="19"/>
                <w:color w:val="auto"/>
              </w:rPr>
            </w:pP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receipts from sublease arrangements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12,439</w:t>
            </w:r>
          </w:p>
        </w:tc>
      </w:tr>
      <w:tr>
        <w:trPr>
          <w:trHeight w:val="230"/>
        </w:trPr>
        <w:tc>
          <w:tcPr>
            <w:tcW w:w="20" w:type="dxa"/>
            <w:vAlign w:val="bottom"/>
          </w:tcPr>
          <w:p>
            <w:pPr>
              <w:spacing w:after="0"/>
              <w:rPr>
                <w:sz w:val="19"/>
                <w:szCs w:val="19"/>
                <w:color w:val="auto"/>
              </w:rPr>
            </w:pPr>
          </w:p>
        </w:tc>
        <w:tc>
          <w:tcPr>
            <w:tcW w:w="8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155"/>
        </w:trPr>
        <w:tc>
          <w:tcPr>
            <w:tcW w:w="20" w:type="dxa"/>
            <w:vAlign w:val="bottom"/>
            <w:tcBorders>
              <w:bottom w:val="single" w:sz="8" w:color="auto"/>
            </w:tcBorders>
          </w:tcPr>
          <w:p>
            <w:pPr>
              <w:spacing w:after="0"/>
              <w:rPr>
                <w:sz w:val="13"/>
                <w:szCs w:val="13"/>
                <w:color w:val="auto"/>
              </w:rPr>
            </w:pPr>
          </w:p>
        </w:tc>
        <w:tc>
          <w:tcPr>
            <w:tcW w:w="5460" w:type="dxa"/>
            <w:vAlign w:val="bottom"/>
            <w:tcBorders>
              <w:bottom w:val="single" w:sz="8" w:color="auto"/>
            </w:tcBorders>
          </w:tcPr>
          <w:p>
            <w:pPr>
              <w:spacing w:after="0"/>
              <w:rPr>
                <w:sz w:val="13"/>
                <w:szCs w:val="13"/>
                <w:color w:val="auto"/>
              </w:rPr>
            </w:pPr>
          </w:p>
        </w:tc>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63" w:lineRule="exact"/>
        <w:rPr>
          <w:sz w:val="20"/>
          <w:szCs w:val="20"/>
          <w:color w:val="auto"/>
        </w:rPr>
      </w:pPr>
    </w:p>
    <w:p>
      <w:pPr>
        <w:ind w:left="340" w:hanging="332"/>
        <w:spacing w:after="0" w:line="261"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operating lease cost was $9.2 million and $10.6 million for the three months ended March 31, 2024 and 2023, respectively, for costs related to subleasing activities.</w:t>
      </w:r>
    </w:p>
    <w:p>
      <w:pPr>
        <w:ind w:left="340" w:hanging="332"/>
        <w:spacing w:after="0" w:line="260"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primarily variable lease and nonlease costs that are not fixed at the lease commencement date or are dependent on something other than an index or a rate.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capitalize any operating lease costs during any of the periods presented.</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excludes impairment charges on lease related assets, as discussed below.</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indicates where the discounted operating lease payments from the above table are classified in the accompanying Condensed Consolidated Balance Sheets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98,493</w:t>
            </w:r>
          </w:p>
        </w:tc>
      </w:tr>
      <w:tr>
        <w:trPr>
          <w:trHeight w:val="229"/>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491,182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513,406</w:t>
            </w: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 included in the Condensed Consolidated Balance Sheets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589,740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611,899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and in consideration of the changing nature of the Company’s use of office space, the Company continues to evaluate its existing real estate lease portfolio. In connection with this evaluation, the Company reviewed certain of its right-of-use assets and related other long-lived assets for impairment under ASC 360. As a result of the evaluation, the Company recognized impairment losses during the three months ended March 31, 2024 and 2023 of $0.5 million and $8.7 million, respectively, which are included as a component of Selling, general and administrative expenses in the accompanying Condensed Consolidated Statements of Operations. The impairment losses recorded include $0.4 million and $6.3 million related to right-of-use assets and $0.1 million and $2.4 million related to other long-lived assets, primarily leasehold improvements, for the three months ended March 31, 2024 and 2023, respectively.</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for the asset groups relating to the impaired long-lived assets were estimated primarily using discounted cash flow models (income approach) with Level 3 inputs. The significant assumptions used in estimating fair values include the expected downtime prior to the commencement of future subleases, projected sublease income over the remaining lease periods and discount rates that reflect the level of risk associated with receiving future cash flows.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of this Management’s Discussion and Analysis (“MD&amp;A”) is to facilitate an understanding of significant factors influencing the quarterly operating results, financial condition and cash flows of Gartner, Inc. Additionally, the MD&amp;A conveys our expectations of the potential impact of known trends, events or uncertainties that may impact future results. You should read this discussion in conjunction with our Condensed Consolidated Financial Statements and related notes included in this Quarterly Report on Form 10-Q and our Annual Report on Form 10-K for the year ended December 31, 2023 (the “2023 Form 10-K”). Historical results and percentage relationships are not necessarily indicative of operating results for future periods. References to “Gartner,” the “Company,” “we,” “our” and “us” in this MD&amp;A are to Gartner, Inc. and its consolidated subsidiaries.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certain forward-looking statements within the meaning of Section 27A of the Securities Act of 1933, as amended, and Section 21E of the Securities Exchange Act of 1934, as amended. Forward-looking statements are any statements other than statements of historical fact, including statements regarding our expectations, beliefs, hopes, intentions, projections or strategies regarding the future. In some cases, forward-looking statements can be identified by the use of words such as “may,” “will,” “expect,” “should,” “could,” “believe,” “plan,” “anticipate,” “estimate,” “predict,” “potential,” “continue” or other words of similar meaning.</w:t>
      </w:r>
    </w:p>
    <w:p>
      <w:pPr>
        <w:spacing w:after="0" w:line="1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that involves numerous known and unknown risks and uncertainties, some of which are beyond our control. Although we believe that the expectations reflected in any of our forward-looking statements are reasonable, actual results could differ materially from those projected or assumed in any of our forward-looking statements. Our future quarterly and annual revenues, operating income, results of operations and cash flows, as well as any forward-looking statement, are subject to change and to inherent risks and uncertainties, such as those disclosed or incorporated by reference in our filings with the Securities and Exchange Commission. Important factors that could cause our actual results, performance and achievements, or industry results to differ materially from estimates or projections contained in our forward-looking statements include, among others, the following: the impact of general economic conditions, including inflation (and related monetary policy by governments in response to inflation), recession, and national elections in a number of large countries on economic activity and our operations; changes in macroeconomic and market conditions and market volatility, including interest rates and the effect on the credit markets and access to capital; our ability to carry out our strategic initiatives and manage associated costs; our ability to recover potential claims under our event cancellation insurance; the timing of conferences and meetings, in particular our Gartner Symposium/Xpo series that normally occurs during the fourth quarter; our ability to achieve and effectively manage growth, including our ability to integrate our acquisitions and consummate and integrate future acquisitions; our ability to pay our debt obligations; our ability to maintain and expand our products and services; our ability to expand or retain our customer base; our ability to grow or sustain revenue from individual customers; our ability to attract and retain a professional staff of research analysts and consultants as well as experienced sales personnel upon whom we are dependent, especially in light of labor competition; our ability to achieve continued customer renewals and achieve new contract value, backlog and deferred revenue growth in light of competitive pressures; our ability to successfully compete with existing competitors and potential new competitors; our ability to enforce and protect our intellectual property rights; our ability to keep pace with technological developments in artificial intelligence; additional risks associated with international operations, including foreign currency fluctuations; the impact on our business resulting from changes in global geopolitical conditions, including those resulting from the conflict in the Middle East, the war in Ukraine and current and future sanctions imposed by governments or other authorities; the impact of restructuring and other charges on our businesses and operations; cybersecurity incidents; risks associated with the creditworthiness, budget cuts, and shutdown of governments and agencies; our ability to meet ESG commitments; the impact of changes in tax policy (including global minimum tax legislation) and heightened scrutiny from various taxing authorities globally; changes to laws and regulations; and other risks and uncertainties. The potential fluctuations in our operating income could cause period-to-period comparisons of operating results not to be meaningful and could provide an unreliable indication of future operating results. A description of the risk factors associated with our business is included under “Risk Factors” in Item 1A. of the 2023 Form 10-K, which is incorporated herein by reference.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are subject to risks, estimates and uncertainties that could cause actual results to differ materially from those discussed in, or implied by, the forward-looking statements. Factors that might cause such a difference include, but are not limited to, those listed above or described under “Risk Factors” in Item 1A of the 2023 Form 10-K. Readers should not place undue reliance on these forward-looking statements, which reflect management’s opinion only as of the date on which they were made. Forward-looking statements in this Quarterly Report on Form 10-Q speak only as of the date hereof, and forward-looking statements in documents attached that are incorporated by reference speak only as of the date of those documents. Except as required by law, we disclaim any obligation to review or update these forward-looking statements to reflect events or circumstances as they occur.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Gartner, Inc. (NYSE: IT) delivers actionable, objective insight that drives smarter decisions and stronger performance on an organization’s mission-critical priorities.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deliver our products and services globally through three business segments – Research, Conferences and Consulting, as described below.</w:t>
      </w:r>
    </w:p>
    <w:p>
      <w:pPr>
        <w:spacing w:after="0" w:line="248" w:lineRule="exact"/>
        <w:rPr>
          <w:sz w:val="20"/>
          <w:szCs w:val="20"/>
          <w:color w:val="auto"/>
        </w:rPr>
      </w:pPr>
    </w:p>
    <w:p>
      <w:pPr>
        <w:jc w:val="both"/>
        <w:ind w:left="340" w:hanging="332"/>
        <w:spacing w:after="0" w:line="268"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Research </w:t>
      </w:r>
      <w:r>
        <w:rPr>
          <w:rFonts w:ascii="Times New Roman" w:cs="Times New Roman" w:eastAsia="Times New Roman" w:hAnsi="Times New Roman"/>
          <w:sz w:val="18"/>
          <w:szCs w:val="18"/>
          <w:color w:val="auto"/>
        </w:rPr>
        <w:t>equips executives and their teams from every function and across all industries with actionable, objective insight, guidance and tools.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experienced experts deliver all this value informed by an unmatched combination of practitioner-sourced and data-driven research to help our clients address their mission critical priorities.</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28" w:val="left"/>
        </w:tabs>
        <w:numPr>
          <w:ilvl w:val="0"/>
          <w:numId w:val="20"/>
        </w:numPr>
        <w:rPr>
          <w:rFonts w:ascii="Arial" w:cs="Arial" w:eastAsia="Arial" w:hAnsi="Arial"/>
          <w:sz w:val="20"/>
          <w:szCs w:val="20"/>
          <w:color w:val="auto"/>
        </w:rPr>
      </w:pPr>
      <w:r>
        <w:rPr>
          <w:rFonts w:ascii="Times New Roman" w:cs="Times New Roman" w:eastAsia="Times New Roman" w:hAnsi="Times New Roman"/>
          <w:sz w:val="18"/>
          <w:szCs w:val="18"/>
          <w:b w:val="1"/>
          <w:bCs w:val="1"/>
          <w:i w:val="1"/>
          <w:iCs w:val="1"/>
          <w:color w:val="auto"/>
        </w:rPr>
        <w:t xml:space="preserve">Conferences </w:t>
      </w:r>
      <w:r>
        <w:rPr>
          <w:rFonts w:ascii="Times New Roman" w:cs="Times New Roman" w:eastAsia="Times New Roman" w:hAnsi="Times New Roman"/>
          <w:sz w:val="18"/>
          <w:szCs w:val="18"/>
          <w:color w:val="auto"/>
        </w:rPr>
        <w:t>provides executives and teams across an organization the opportunity to learn, share and network. From our Gartner Symposium/Xpo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to industry-leading conferences focused on specific business roles and topics, to peer-driven sessions, our offerings enable attendees to experience the best of Gartner insight and guidance.</w:t>
      </w:r>
    </w:p>
    <w:p>
      <w:pPr>
        <w:spacing w:after="0" w:line="204" w:lineRule="exact"/>
        <w:rPr>
          <w:rFonts w:ascii="Arial" w:cs="Arial" w:eastAsia="Arial" w:hAnsi="Arial"/>
          <w:sz w:val="20"/>
          <w:szCs w:val="20"/>
          <w:color w:val="auto"/>
        </w:rPr>
      </w:pPr>
    </w:p>
    <w:p>
      <w:pPr>
        <w:jc w:val="both"/>
        <w:ind w:left="340" w:hanging="332"/>
        <w:spacing w:after="0" w:line="253" w:lineRule="auto"/>
        <w:tabs>
          <w:tab w:leader="none" w:pos="333" w:val="left"/>
        </w:tabs>
        <w:numPr>
          <w:ilvl w:val="0"/>
          <w:numId w:val="20"/>
        </w:numPr>
        <w:rPr>
          <w:rFonts w:ascii="Calibri" w:cs="Calibri" w:eastAsia="Calibri" w:hAnsi="Calibri"/>
          <w:sz w:val="20"/>
          <w:szCs w:val="20"/>
          <w:color w:val="auto"/>
        </w:rPr>
      </w:pPr>
      <w:r>
        <w:rPr>
          <w:rFonts w:ascii="Times New Roman" w:cs="Times New Roman" w:eastAsia="Times New Roman" w:hAnsi="Times New Roman"/>
          <w:sz w:val="18"/>
          <w:szCs w:val="18"/>
          <w:b w:val="1"/>
          <w:bCs w:val="1"/>
          <w:i w:val="1"/>
          <w:iCs w:val="1"/>
          <w:color w:val="auto"/>
        </w:rPr>
        <w:t xml:space="preserve">Consulting </w:t>
      </w:r>
      <w:r>
        <w:rPr>
          <w:rFonts w:ascii="Times New Roman" w:cs="Times New Roman" w:eastAsia="Times New Roman" w:hAnsi="Times New Roman"/>
          <w:sz w:val="18"/>
          <w:szCs w:val="18"/>
          <w:color w:val="auto"/>
        </w:rPr>
        <w:t>serves senior executives leading technology-driven strategic initiatives leveraging the power of Gartner’s actionable, objective insight.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custom analysis and on-the-ground support we enable optimized technology investments and stronger performance on our clients’ mission critical priorities.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had approximately 20,290 employees globally, an increase of 2.3% from March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26, 2024, we entered into a Credit Agreement (the “2024 Credit Agreement”) among us, as borrower, the lenders party thereto and JPMorgan Chase Bank, N.A., as administrative agent (the “Administrative Agent”).</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2024 Credit Agreement provides for a $1.0 billion senior unsecured five-year revolving facility. The facility may be increased, at the Company’s option and under certain conditions, by up to an additional $750 million in the aggregate. The facility may be used for revolving loans, and up to $75.0 million may be used for letters of credit. The revolving loans may be borrowed, repaid and re-borrowed until March 26, 2029, at which time all amounts borrowed must be repaid, subject to customary extension mechanics.</w:t>
      </w:r>
    </w:p>
    <w:p>
      <w:pPr>
        <w:spacing w:after="0" w:line="2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March 26, 2024, the Company borrowed $274.4 million under the 2024 Credit Agreement. The initial borrowing was used to repay the outstanding amounts under the 2020 Credit Agreement. Additional amounts borrowed under the 2024 Credit Agreement will be used for working capital needs and general corporate purposes of the Company and its subsidiaries, including the funding of acquisitions and investments, payment of capital expenditures and the repurchase of shares.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Note 8 — Debt in the Notes to Condensed Consolidated Financial Statements.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MEASUREMENTS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business measurements are important performance indicators for our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c>
          <w:tcPr>
            <w:tcW w:w="0" w:type="dxa"/>
            <w:vAlign w:val="bottom"/>
          </w:tcPr>
          <w:p>
            <w:pPr>
              <w:spacing w:after="0"/>
              <w:rPr>
                <w:sz w:val="1"/>
                <w:szCs w:val="1"/>
                <w:color w:val="auto"/>
              </w:rPr>
            </w:pPr>
          </w:p>
        </w:tc>
      </w:tr>
      <w:tr>
        <w:trPr>
          <w:trHeight w:val="21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w:t>
            </w: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Contract value </w:t>
            </w:r>
            <w:r>
              <w:rPr>
                <w:rFonts w:ascii="Times New Roman" w:cs="Times New Roman" w:eastAsia="Times New Roman" w:hAnsi="Times New Roman"/>
                <w:sz w:val="18"/>
                <w:szCs w:val="18"/>
                <w:color w:val="auto"/>
              </w:rPr>
              <w:t>represents the dollar value attributable to all of our subscription-related contracts. It is calculated as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annualized value of all contracts in effect at a specific point in time, without regard to the duration of the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Contract value primarily includes Research deliverables for which revenue is recognized on a ratable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basis, as well as other deliverables (primarily Conferences tickets) for which revenue is recognized when the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deliverable is utilized. Comparing contract value year-over-year not only measures the short-term growth of our</w:t>
            </w:r>
          </w:p>
        </w:tc>
        <w:tc>
          <w:tcPr>
            <w:tcW w:w="0" w:type="dxa"/>
            <w:vAlign w:val="bottom"/>
          </w:tcPr>
          <w:p>
            <w:pPr>
              <w:spacing w:after="0"/>
              <w:rPr>
                <w:sz w:val="1"/>
                <w:szCs w:val="1"/>
                <w:color w:val="auto"/>
              </w:rPr>
            </w:pPr>
          </w:p>
        </w:tc>
      </w:tr>
      <w:tr>
        <w:trPr>
          <w:trHeight w:val="212"/>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but also signals the long-term health of our Research subscription business since it measures revenue that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is highly likely to recur over a multi-year period. Our contract value consists of </w:t>
            </w:r>
            <w:r>
              <w:rPr>
                <w:rFonts w:ascii="Times New Roman" w:cs="Times New Roman" w:eastAsia="Times New Roman" w:hAnsi="Times New Roman"/>
                <w:sz w:val="18"/>
                <w:szCs w:val="18"/>
                <w:b w:val="1"/>
                <w:bCs w:val="1"/>
                <w:color w:val="auto"/>
              </w:rPr>
              <w:t>Global Technology Sales</w:t>
            </w:r>
            <w:r>
              <w:rPr>
                <w:rFonts w:ascii="Times New Roman" w:cs="Times New Roman" w:eastAsia="Times New Roman" w:hAnsi="Times New Roman"/>
                <w:sz w:val="18"/>
                <w:szCs w:val="18"/>
                <w:color w:val="auto"/>
              </w:rPr>
              <w:t xml:space="preserve"> contract</w:t>
            </w:r>
          </w:p>
        </w:tc>
        <w:tc>
          <w:tcPr>
            <w:tcW w:w="0" w:type="dxa"/>
            <w:vAlign w:val="bottom"/>
          </w:tcPr>
          <w:p>
            <w:pPr>
              <w:spacing w:after="0"/>
              <w:rPr>
                <w:sz w:val="1"/>
                <w:szCs w:val="1"/>
                <w:color w:val="auto"/>
              </w:rPr>
            </w:pPr>
          </w:p>
        </w:tc>
      </w:tr>
      <w:tr>
        <w:trPr>
          <w:trHeight w:val="220"/>
        </w:trPr>
        <w:tc>
          <w:tcPr>
            <w:tcW w:w="280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value, which includes sales to users and providers of technology, and </w:t>
            </w:r>
            <w:r>
              <w:rPr>
                <w:rFonts w:ascii="Times New Roman" w:cs="Times New Roman" w:eastAsia="Times New Roman" w:hAnsi="Times New Roman"/>
                <w:sz w:val="18"/>
                <w:szCs w:val="18"/>
                <w:b w:val="1"/>
                <w:bCs w:val="1"/>
                <w:color w:val="auto"/>
              </w:rPr>
              <w:t>Global Business Sales</w:t>
            </w:r>
            <w:r>
              <w:rPr>
                <w:rFonts w:ascii="Times New Roman" w:cs="Times New Roman" w:eastAsia="Times New Roman" w:hAnsi="Times New Roman"/>
                <w:sz w:val="18"/>
                <w:szCs w:val="18"/>
                <w:color w:val="auto"/>
              </w:rPr>
              <w:t xml:space="preserve"> contract value, which</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includes sales to all other functional leaders.</w:t>
            </w:r>
          </w:p>
        </w:tc>
        <w:tc>
          <w:tcPr>
            <w:tcW w:w="0" w:type="dxa"/>
            <w:vAlign w:val="bottom"/>
          </w:tcPr>
          <w:p>
            <w:pPr>
              <w:spacing w:after="0"/>
              <w:rPr>
                <w:sz w:val="1"/>
                <w:szCs w:val="1"/>
                <w:color w:val="auto"/>
              </w:rPr>
            </w:pPr>
          </w:p>
        </w:tc>
      </w:tr>
      <w:tr>
        <w:trPr>
          <w:trHeight w:val="400"/>
        </w:trPr>
        <w:tc>
          <w:tcPr>
            <w:tcW w:w="280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Client retention rate </w:t>
            </w:r>
            <w:r>
              <w:rPr>
                <w:rFonts w:ascii="Times New Roman" w:cs="Times New Roman" w:eastAsia="Times New Roman" w:hAnsi="Times New Roman"/>
                <w:sz w:val="18"/>
                <w:szCs w:val="18"/>
                <w:color w:val="auto"/>
              </w:rPr>
              <w:t>represents a measure of client satisfaction and renewed business relationships at a specific</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point in time. Client retention is calculated on a percentage basis by dividing our current clients, who were also</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clients a year ago, by all clients from a year ago. Client retention is calculated at an enterprise level, which</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represents a single company or customer.</w:t>
            </w:r>
          </w:p>
        </w:tc>
        <w:tc>
          <w:tcPr>
            <w:tcW w:w="0" w:type="dxa"/>
            <w:vAlign w:val="bottom"/>
          </w:tcPr>
          <w:p>
            <w:pPr>
              <w:spacing w:after="0"/>
              <w:rPr>
                <w:sz w:val="1"/>
                <w:szCs w:val="1"/>
                <w:color w:val="auto"/>
              </w:rPr>
            </w:pPr>
          </w:p>
        </w:tc>
      </w:tr>
      <w:tr>
        <w:trPr>
          <w:trHeight w:val="400"/>
        </w:trPr>
        <w:tc>
          <w:tcPr>
            <w:tcW w:w="280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Wallet retention rate </w:t>
            </w:r>
            <w:r>
              <w:rPr>
                <w:rFonts w:ascii="Times New Roman" w:cs="Times New Roman" w:eastAsia="Times New Roman" w:hAnsi="Times New Roman"/>
                <w:sz w:val="18"/>
                <w:szCs w:val="18"/>
                <w:color w:val="auto"/>
              </w:rPr>
              <w:t>represents a measure of the amount of contract value we have retained with clients over a</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twelve-month period. Wallet retention is calculated on a percentage basis by dividing the contract value of our</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clients, who were also clients a year ago, by the contract value from a year ago, excluding the impact of</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When wallet retention exceeds client retention, it is an indication of retention of higher-</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spending clients, or increased spending by retained clients, or both. Wallet retention is calculated at an enterprise</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which represents a single company or customer.</w:t>
            </w:r>
          </w:p>
        </w:tc>
        <w:tc>
          <w:tcPr>
            <w:tcW w:w="0" w:type="dxa"/>
            <w:vAlign w:val="bottom"/>
          </w:tcPr>
          <w:p>
            <w:pPr>
              <w:spacing w:after="0"/>
              <w:rPr>
                <w:sz w:val="1"/>
                <w:szCs w:val="1"/>
                <w:color w:val="auto"/>
              </w:rPr>
            </w:pPr>
          </w:p>
        </w:tc>
      </w:tr>
      <w:tr>
        <w:trPr>
          <w:trHeight w:val="27"/>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Conferences</w:t>
            </w:r>
          </w:p>
        </w:tc>
        <w:tc>
          <w:tcPr>
            <w:tcW w:w="8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3"/>
        </w:trPr>
        <w:tc>
          <w:tcPr>
            <w:tcW w:w="2800" w:type="dxa"/>
            <w:vAlign w:val="bottom"/>
            <w:vMerge w:val="continue"/>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Number of destination conferences </w:t>
            </w:r>
            <w:r>
              <w:rPr>
                <w:rFonts w:ascii="Times New Roman" w:cs="Times New Roman" w:eastAsia="Times New Roman" w:hAnsi="Times New Roman"/>
                <w:sz w:val="18"/>
                <w:szCs w:val="18"/>
                <w:color w:val="auto"/>
              </w:rPr>
              <w:t>represents the total number of hosted virtual or in-person conferences</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completed during the period. Single day, local meetings are excluded.</w:t>
            </w:r>
          </w:p>
        </w:tc>
        <w:tc>
          <w:tcPr>
            <w:tcW w:w="0" w:type="dxa"/>
            <w:vAlign w:val="bottom"/>
          </w:tcPr>
          <w:p>
            <w:pPr>
              <w:spacing w:after="0"/>
              <w:rPr>
                <w:sz w:val="1"/>
                <w:szCs w:val="1"/>
                <w:color w:val="auto"/>
              </w:rPr>
            </w:pPr>
          </w:p>
        </w:tc>
      </w:tr>
      <w:tr>
        <w:trPr>
          <w:trHeight w:val="400"/>
        </w:trPr>
        <w:tc>
          <w:tcPr>
            <w:tcW w:w="280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Number of destination conferences attendees </w:t>
            </w:r>
            <w:r>
              <w:rPr>
                <w:rFonts w:ascii="Times New Roman" w:cs="Times New Roman" w:eastAsia="Times New Roman" w:hAnsi="Times New Roman"/>
                <w:sz w:val="18"/>
                <w:szCs w:val="18"/>
                <w:color w:val="auto"/>
              </w:rPr>
              <w:t>represents the total number of people who attend virtual or in-</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 conferences. Single day, local meetings are excluded.</w:t>
            </w:r>
          </w:p>
        </w:tc>
        <w:tc>
          <w:tcPr>
            <w:tcW w:w="0" w:type="dxa"/>
            <w:vAlign w:val="bottom"/>
          </w:tcPr>
          <w:p>
            <w:pPr>
              <w:spacing w:after="0"/>
              <w:rPr>
                <w:sz w:val="1"/>
                <w:szCs w:val="1"/>
                <w:color w:val="auto"/>
              </w:rPr>
            </w:pPr>
          </w:p>
        </w:tc>
      </w:tr>
      <w:tr>
        <w:trPr>
          <w:trHeight w:val="27"/>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Consulting</w:t>
            </w:r>
          </w:p>
        </w:tc>
        <w:tc>
          <w:tcPr>
            <w:tcW w:w="8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3"/>
        </w:trPr>
        <w:tc>
          <w:tcPr>
            <w:tcW w:w="2800" w:type="dxa"/>
            <w:vAlign w:val="bottom"/>
            <w:vMerge w:val="continue"/>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Consulting backlog </w:t>
            </w:r>
            <w:r>
              <w:rPr>
                <w:rFonts w:ascii="Times New Roman" w:cs="Times New Roman" w:eastAsia="Times New Roman" w:hAnsi="Times New Roman"/>
                <w:sz w:val="18"/>
                <w:szCs w:val="18"/>
                <w:color w:val="auto"/>
              </w:rPr>
              <w:t>represents future revenue to be derived from in-process consulting and benchmark analytics</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engagements.</w:t>
            </w:r>
          </w:p>
        </w:tc>
        <w:tc>
          <w:tcPr>
            <w:tcW w:w="0" w:type="dxa"/>
            <w:vAlign w:val="bottom"/>
          </w:tcPr>
          <w:p>
            <w:pPr>
              <w:spacing w:after="0"/>
              <w:rPr>
                <w:sz w:val="1"/>
                <w:szCs w:val="1"/>
                <w:color w:val="auto"/>
              </w:rPr>
            </w:pPr>
          </w:p>
        </w:tc>
      </w:tr>
      <w:tr>
        <w:trPr>
          <w:trHeight w:val="400"/>
        </w:trPr>
        <w:tc>
          <w:tcPr>
            <w:tcW w:w="280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Utilization rate </w:t>
            </w:r>
            <w:r>
              <w:rPr>
                <w:rFonts w:ascii="Times New Roman" w:cs="Times New Roman" w:eastAsia="Times New Roman" w:hAnsi="Times New Roman"/>
                <w:sz w:val="18"/>
                <w:szCs w:val="18"/>
                <w:color w:val="auto"/>
              </w:rPr>
              <w:t>represents a measure of productivity of our consultants. Utilization rates are calculated for billable</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headcount on a percentage basis by dividing total hours billed by total hours available to bill.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EXECUTIVE SUMMARY OF OPERATIONS AND FINANCIAL POSITION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fundamentals of our strategy include a focus on creating actionable insight for executives and their teams, delivering innovative and highly differentiated product offerings, building a strong sales capability, providing world class client service with a focus on client engagement and retention, and continuously improving our operational effectiveness.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total revenues of $1.5 billion during the first quarter of 2024, an increase of 5% compared to the first quarter of 2023. During the first quarter of 2024, revenues for Research increased by 4%, Conferences revenue increased by 8%, and Consulting revenues increased by 6%, compared to the first quarter of 2023. For a more complete discussion of our results by segment, see Segment Results below.</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first quarter of 2024 and 2023, we had net income of $210.5 million and $295.8 million, respectively, and diluted income per share of $2.67 and $3.68, respectively. Cash provided by operating activities was $188.8 million and $164.7 million during the three months ended March 31, 2024 and 2023, respectively. As of March 31, 2024, we had $1.2 billion of cash and cash equivalents and approximately $0.7 billion of available borrowing capacity on our revolving credit facility. For a more complete discussion of our cash flows and financial position, see the Liquidity and Capital Resources section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information regarding our critical accounting policies and estimates, please refer to Part II, Item 7, “Critical Accounting Policies and Estimates” contained in our Annual Report on Form 10-K for the fiscal year ended December 31, 2023. There have been no material changes to the critical accounting policies previously disclosed in that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FASB has issued accounting standards that have not yet become effective and that may impact the Company’s consolidated financial statements or its disclosures in future periods. Note 1 — Business and Basis of Presentation in the Notes to Condensed Consolidated Financial Statements provides information regarding those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GAAP results, we provide foreign currency neutral dollar amounts and percentages for our revenues, certain expenses, contract values and other metrics. These foreign currency neutral dollar amounts and percentages eliminate the effects of exchange rate fluctuations and thus provide a more accurate and meaningful trend in the underlying business performance being measured. We calculate foreign currency neutral dollar amounts by converting the underlying amounts in local currency for different periods into U.S. dollars by applying the same foreign exchange rates to all periods presented.</w:t>
      </w:r>
    </w:p>
    <w:p>
      <w:pPr>
        <w:spacing w:after="0" w:line="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an analysis of selected line items and period-over-period changes in our interim Condensed Consolidated Statements of Operations for the periods indicated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00" w:type="dxa"/>
            <w:vAlign w:val="bottom"/>
          </w:tcPr>
          <w:p>
            <w:pPr>
              <w:spacing w:after="0"/>
              <w:rPr>
                <w:sz w:val="17"/>
                <w:szCs w:val="17"/>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52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152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Ended March 31,</w:t>
            </w:r>
          </w:p>
        </w:tc>
        <w:tc>
          <w:tcPr>
            <w:tcW w:w="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41"/>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25"/>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1,472,926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1,408,869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64,057</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32,743</w:t>
            </w:r>
          </w:p>
        </w:tc>
        <w:tc>
          <w:tcPr>
            <w:tcW w:w="10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139,316</w:t>
            </w:r>
          </w:p>
        </w:tc>
        <w:tc>
          <w:tcPr>
            <w:tcW w:w="100" w:type="dxa"/>
            <w:vAlign w:val="bottom"/>
          </w:tcPr>
          <w:p>
            <w:pPr>
              <w:spacing w:after="0"/>
              <w:rPr>
                <w:sz w:val="19"/>
                <w:szCs w:val="19"/>
                <w:color w:val="auto"/>
              </w:rPr>
            </w:pPr>
          </w:p>
        </w:tc>
        <w:tc>
          <w:tcPr>
            <w:tcW w:w="15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273,885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407,957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(134,072)</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tcPr>
          <w:p>
            <w:pPr>
              <w:spacing w:after="0"/>
              <w:rPr>
                <w:sz w:val="19"/>
                <w:szCs w:val="19"/>
                <w:color w:val="auto"/>
              </w:rPr>
            </w:pPr>
          </w:p>
        </w:tc>
        <w:tc>
          <w:tcPr>
            <w:tcW w:w="15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event cancellation insurance claims</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00" w:type="dxa"/>
            <w:vAlign w:val="bottom"/>
          </w:tcPr>
          <w:p>
            <w:pPr>
              <w:spacing w:after="0"/>
              <w:rPr>
                <w:sz w:val="19"/>
                <w:szCs w:val="19"/>
                <w:color w:val="auto"/>
              </w:rPr>
            </w:pPr>
          </w:p>
        </w:tc>
        <w:tc>
          <w:tcPr>
            <w:tcW w:w="15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210,545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295,783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(85,238)</w:t>
            </w:r>
          </w:p>
        </w:tc>
        <w:tc>
          <w:tcPr>
            <w:tcW w:w="100" w:type="dxa"/>
            <w:vAlign w:val="bottom"/>
          </w:tcPr>
          <w:p>
            <w:pPr>
              <w:spacing w:after="0"/>
              <w:rPr>
                <w:sz w:val="19"/>
                <w:szCs w:val="19"/>
                <w:color w:val="auto"/>
              </w:rPr>
            </w:pPr>
          </w:p>
        </w:tc>
        <w:tc>
          <w:tcPr>
            <w:tcW w:w="15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nm = not meaningful.</w:t>
            </w: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revenues for the three months ended March 31, 2024 were $1.5 billion, an increase of $64.1 million, or 5% compared to the same period in 2023 on both a reported basis and excluding the foreign currency impact. Refer to the section of this MD&amp;A below entitled “Segment Results” for a discussion of revenues and results by segment.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services and product development was $459.4 million during the three months ended March 31, 2024, an increase of $24.3 million compared to the same period in 2023, or 6% on a reported basis and 5% excluding the foreign currency impact. The increase in Cost of services and product development was primarily due to increased compensation costs associated with merit increases. Cost of services and product development as a percent of revenues was 31% for both the three months ended March 31, 2024 and 2023.</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(“SG&amp;A”) expense was $689.8 million during the three months ended March 31, 2024, an increase of $32.7 million compared to the same period in 2023, or 5% on a reported basis and excluding the foreign currency impact. The increase in SG&amp;A expense during the three months ended March 31, 2024 was primarily a result of higher personnel expenses due to increased headcount and merit increases. This increase was partially offset by lower charges associated with the impairment of right-of-use assets and other long-lived assets. The number of quota-bearing sales associates in Global Technology Sales decreased by 2% to 3,602 and in Global Business Sales, increased by 7% to 1,223 compared to March 31, 2023. On a combined basis, the total number of quota-bearing sales associates was flat when compared to March 31, 2023. SG&amp;A expense as a percent of revenues was 47% during both the three months ended March 31, 2024 and 2023.</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increased by 10% during the three months ended March 31, 2024, compared to the same period in 2023. The increase for the three months ended March 31, 2024 was primarily due to increased software additions during the last twelve months.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Amortization of intangibles increased by 1% during the three months ended March 31, 2024, compared to the same period in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and integration charges decreased by $0.9 million during the three months ended March 31, 2024, compared to the same period in 2023.</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 from sale of divested operation was attributable to the sale of the TalentNeuron business in February 2023. We recognized a pre-tax gain of $139.3 million during the three months ended March 31, 2023.</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was $273.9 million and $408.0 million during the three months ended March 31, 2024 and 2023, respectively. The decrease in operating income for the three months ended March 31, 2024 as compared to the prior year period was primarily due to the gain from sale of divested operation recognized during the three months ended March 31, 2023 and increases in cost of services and product development and selling, general and administrative expenses, partially offset by increased revenue.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net decreased by $8.2 million during the three months ended March 31, 2024, compared to the same period in 2023. The decrease for the three months ended March 31, 2024 was due to increased interest income, primarily as a result of higher cash balances than the prior year.</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Gain on event cancellation insurance claims of $3.1 million during the three months ended March 31, 2023 reflected proceeds related to 2020 conference cancellation insurance claims.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for the periods presented herein included the net impact of foreign currency gains and losses from our hedging activities. Other income (expense), net for the three months ended March 31, 2024 also included a gain of $4.5 million on de-designated interest rate swaps. Other income (expense), net for the three months ended March 31, 2023 included a loss of $1.4 million on de-designated interest rate swaps.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was $49.0 million and $85.5 million for the three months ended March 31, 2024 and 2023, respectively. The effective income tax rate was 18.9% and 22.4% for the three months ended March 31, 2024 and 2023, respectively. The effective income tax rate was higher in the prior year primarily due to the impact of the sale of the TalentNeuron business.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for the three months ended March 31, 2024 and 2023 was $210.5 million and $295.8 million, respectively. Our diluted net income per share during the three months ended March 31, 2024 decreased by $1.01. The decrease in net income during the three months ended March 31, 2024 was primarily due to the gain from sale of divested operation recognized during the three months ended March 31, 2023 and increased operating expenses, partially offset by an increase in revenue and lower income tax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evaluate reportable segment performance and allocate resources based on gross contribution margin. Gross contribution is defined as operating income or loss excluding certain Cost of services and product development expenses, SG&amp;A expenses, Depreciation, Amortization of intangibles, Acquisition and integration charges and Gain from sale of divested operation. Gross contribution margin is defined as gross contribution as a percent of revenues.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Segments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sections below present the results of the Company’s three reportable business segments: Research, Conferences and Consulting.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Research</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0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rPr>
              <w:t>The Three</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The Three</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00" w:type="dxa"/>
            <w:vAlign w:val="bottom"/>
          </w:tcPr>
          <w:p>
            <w:pPr>
              <w:spacing w:after="0"/>
              <w:rPr>
                <w:sz w:val="14"/>
                <w:szCs w:val="14"/>
                <w:color w:val="auto"/>
              </w:rPr>
            </w:pPr>
          </w:p>
        </w:tc>
        <w:tc>
          <w:tcPr>
            <w:tcW w:w="116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w w:val="99"/>
              </w:rPr>
              <w:t>Increase</w:t>
            </w: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0" w:type="dxa"/>
            <w:vAlign w:val="bottom"/>
          </w:tcPr>
          <w:p>
            <w:pPr>
              <w:spacing w:after="0"/>
              <w:rPr>
                <w:sz w:val="1"/>
                <w:szCs w:val="1"/>
                <w:color w:val="auto"/>
              </w:rPr>
            </w:pPr>
          </w:p>
        </w:tc>
      </w:tr>
      <w:tr>
        <w:trPr>
          <w:trHeight w:val="202"/>
        </w:trPr>
        <w:tc>
          <w:tcPr>
            <w:tcW w:w="644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0" w:type="dxa"/>
            <w:vAlign w:val="bottom"/>
          </w:tcPr>
          <w:p>
            <w:pPr>
              <w:spacing w:after="0"/>
              <w:rPr>
                <w:sz w:val="1"/>
                <w:szCs w:val="1"/>
                <w:color w:val="auto"/>
              </w:rPr>
            </w:pPr>
          </w:p>
        </w:tc>
      </w:tr>
      <w:tr>
        <w:trPr>
          <w:trHeight w:val="192"/>
        </w:trPr>
        <w:tc>
          <w:tcPr>
            <w:tcW w:w="64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Measurements:</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1,268,172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1,217,191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50,981</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0" w:type="dxa"/>
            <w:vAlign w:val="bottom"/>
          </w:tcPr>
          <w:p>
            <w:pPr>
              <w:spacing w:after="0"/>
              <w:rPr>
                <w:sz w:val="1"/>
                <w:szCs w:val="1"/>
                <w:color w:val="auto"/>
              </w:rPr>
            </w:pPr>
          </w:p>
        </w:tc>
      </w:tr>
      <w:tr>
        <w:trPr>
          <w:trHeight w:val="200"/>
        </w:trPr>
        <w:tc>
          <w:tcPr>
            <w:tcW w:w="6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contribution (1)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944,570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899,514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45,056</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0" w:type="dxa"/>
            <w:vAlign w:val="bottom"/>
          </w:tcPr>
          <w:p>
            <w:pPr>
              <w:spacing w:after="0"/>
              <w:rPr>
                <w:sz w:val="1"/>
                <w:szCs w:val="1"/>
                <w:color w:val="auto"/>
              </w:rPr>
            </w:pPr>
          </w:p>
        </w:tc>
      </w:tr>
      <w:tr>
        <w:trPr>
          <w:trHeight w:val="20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contribution margin</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 point</w:t>
            </w:r>
          </w:p>
        </w:tc>
        <w:tc>
          <w:tcPr>
            <w:tcW w:w="11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64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Measurements</w:t>
            </w:r>
            <w:r>
              <w:rPr>
                <w:rFonts w:ascii="Times New Roman" w:cs="Times New Roman" w:eastAsia="Times New Roman" w:hAnsi="Times New Roman"/>
                <w:sz w:val="15"/>
                <w:szCs w:val="15"/>
                <w:color w:val="auto"/>
              </w:rPr>
              <w:t>:</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Contract Value (1),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4,870,000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4,554,000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316,000</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7 %</w:t>
            </w:r>
          </w:p>
        </w:tc>
        <w:tc>
          <w:tcPr>
            <w:tcW w:w="0" w:type="dxa"/>
            <w:vAlign w:val="bottom"/>
          </w:tcPr>
          <w:p>
            <w:pPr>
              <w:spacing w:after="0"/>
              <w:rPr>
                <w:sz w:val="1"/>
                <w:szCs w:val="1"/>
                <w:color w:val="auto"/>
              </w:rPr>
            </w:pPr>
          </w:p>
        </w:tc>
      </w:tr>
      <w:tr>
        <w:trPr>
          <w:trHeight w:val="200"/>
        </w:trPr>
        <w:tc>
          <w:tcPr>
            <w:tcW w:w="6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Global Technology Sales (2):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Contract value (1),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3,757,000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3,563,000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194,000</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0" w:type="dxa"/>
            <w:vAlign w:val="bottom"/>
          </w:tcPr>
          <w:p>
            <w:pPr>
              <w:spacing w:after="0"/>
              <w:rPr>
                <w:sz w:val="1"/>
                <w:szCs w:val="1"/>
                <w:color w:val="auto"/>
              </w:rPr>
            </w:pPr>
          </w:p>
        </w:tc>
      </w:tr>
      <w:tr>
        <w:trPr>
          <w:trHeight w:val="200"/>
        </w:trPr>
        <w:tc>
          <w:tcPr>
            <w:tcW w:w="6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Client retention</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 points</w:t>
            </w:r>
          </w:p>
        </w:tc>
        <w:tc>
          <w:tcPr>
            <w:tcW w:w="11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Wallet retention</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 points</w:t>
            </w:r>
          </w:p>
        </w:tc>
        <w:tc>
          <w:tcPr>
            <w:tcW w:w="11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6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Global Business Sales (2):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Contract value (1),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1,113,000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991,000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122,000</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12 %</w:t>
            </w:r>
          </w:p>
        </w:tc>
        <w:tc>
          <w:tcPr>
            <w:tcW w:w="0" w:type="dxa"/>
            <w:vAlign w:val="bottom"/>
          </w:tcPr>
          <w:p>
            <w:pPr>
              <w:spacing w:after="0"/>
              <w:rPr>
                <w:sz w:val="1"/>
                <w:szCs w:val="1"/>
                <w:color w:val="auto"/>
              </w:rPr>
            </w:pPr>
          </w:p>
        </w:tc>
      </w:tr>
      <w:tr>
        <w:trPr>
          <w:trHeight w:val="200"/>
        </w:trPr>
        <w:tc>
          <w:tcPr>
            <w:tcW w:w="6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Client retention</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 points</w:t>
            </w:r>
          </w:p>
        </w:tc>
        <w:tc>
          <w:tcPr>
            <w:tcW w:w="11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Wallet retention</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107 %</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110 %</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 points</w:t>
            </w:r>
          </w:p>
        </w:tc>
        <w:tc>
          <w:tcPr>
            <w:tcW w:w="1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4715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Technology Sales includes sales to users and providers of technology. Global Business Sales includes sales to all other functional leaders.</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values are on a foreign exchange neutral basis. Contract values as of March 31, 2023 have been calculated using the same foreign currency rates as 2024.</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revenues increased by $51.0 million during the three months ended March 31, 2024 compared to the same period in 2023, or 4% on a reported basis and excluding the foreign currency impact. The increase in revenues during 2024 was primarily due to Research contract value growth in 2023. The segment gross contribution margin was 74% for both the three months ended March 31, 2024 and 2023.</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value increased to $4.9 billion at March 31, 2024, or 7% compared to March 31, 2023 excluding the foreign currency impact. The majority of industry sectors grew high single-digit rates or faster. The higher growth sectors were the energy, manufacturing and public sectors. Global Technology Sales (“GTS”) contract value increased by 5% at March 31, 2024 when compared to March 31, 2023. The increase in GTS contract value was primarily due to new business from existing clients. GTS contract value increased by high single-digit rates or faster for the majority of enterprise sizes and half of industry sectors. Global Business Sales (“GBS”) contract value increased by 12% year-over-year, also primarily driven by new business from existing clients. The majority of our GBS practices achieved double-digit growth rates, with all enterprise sizes and the majority of sectors growing double-digits year-over-year.</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GTS client retention was 83% and 85% as of March 31, 2024 and 2023, respectively, while wallet retention was 101% and 104%, respectively. GBS client retention was 87% and 89% for March 31, 2024 and 2023, respectively, while wallet retention was 107% and 110%, respectively. The decrease in GTS and GBS wallet retention was largely due to lower levels of spending by existing clients compared to the same period in 2023. GTS client and wallet retention were also affected by a slowdown in tech vendor spending and higher levels of tech vendor spending in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Conferences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Three Months</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Three Months</w:t>
            </w:r>
          </w:p>
        </w:tc>
        <w:tc>
          <w:tcPr>
            <w:tcW w:w="140" w:type="dxa"/>
            <w:vAlign w:val="bottom"/>
          </w:tcPr>
          <w:p>
            <w:pPr>
              <w:spacing w:after="0"/>
              <w:rPr>
                <w:sz w:val="15"/>
                <w:szCs w:val="15"/>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Increase</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Ended March</w:t>
            </w: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Ended March</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0" w:type="dxa"/>
            <w:vAlign w:val="bottom"/>
          </w:tcPr>
          <w:p>
            <w:pPr>
              <w:spacing w:after="0"/>
              <w:rPr>
                <w:sz w:val="1"/>
                <w:szCs w:val="1"/>
                <w:color w:val="auto"/>
              </w:rPr>
            </w:pPr>
          </w:p>
        </w:tc>
      </w:tr>
      <w:tr>
        <w:trPr>
          <w:trHeight w:val="210"/>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31, 2024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31, 2023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0" w:type="dxa"/>
            <w:vAlign w:val="bottom"/>
          </w:tcPr>
          <w:p>
            <w:pPr>
              <w:spacing w:after="0"/>
              <w:rPr>
                <w:sz w:val="1"/>
                <w:szCs w:val="1"/>
                <w:color w:val="auto"/>
              </w:rPr>
            </w:pPr>
          </w:p>
        </w:tc>
      </w:tr>
      <w:tr>
        <w:trPr>
          <w:trHeight w:val="198"/>
        </w:trPr>
        <w:tc>
          <w:tcPr>
            <w:tcW w:w="64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Measurements:</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70,069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64,642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5,427</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8 %</w:t>
            </w:r>
          </w:p>
        </w:tc>
        <w:tc>
          <w:tcPr>
            <w:tcW w:w="0" w:type="dxa"/>
            <w:vAlign w:val="bottom"/>
          </w:tcPr>
          <w:p>
            <w:pPr>
              <w:spacing w:after="0"/>
              <w:rPr>
                <w:sz w:val="1"/>
                <w:szCs w:val="1"/>
                <w:color w:val="auto"/>
              </w:rPr>
            </w:pPr>
          </w:p>
        </w:tc>
      </w:tr>
      <w:tr>
        <w:trPr>
          <w:trHeight w:val="200"/>
        </w:trPr>
        <w:tc>
          <w:tcPr>
            <w:tcW w:w="6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contribution (1)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23,255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26,788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(3,533)</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0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contribution margin</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(8) points</w:t>
            </w:r>
          </w:p>
        </w:tc>
        <w:tc>
          <w:tcPr>
            <w:tcW w:w="11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64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Measurements:</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Number of destination conferences (2)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20 %</w:t>
            </w:r>
          </w:p>
        </w:tc>
        <w:tc>
          <w:tcPr>
            <w:tcW w:w="0" w:type="dxa"/>
            <w:vAlign w:val="bottom"/>
          </w:tcPr>
          <w:p>
            <w:pPr>
              <w:spacing w:after="0"/>
              <w:rPr>
                <w:sz w:val="1"/>
                <w:szCs w:val="1"/>
                <w:color w:val="auto"/>
              </w:rPr>
            </w:pPr>
          </w:p>
        </w:tc>
      </w:tr>
      <w:tr>
        <w:trPr>
          <w:trHeight w:val="200"/>
        </w:trPr>
        <w:tc>
          <w:tcPr>
            <w:tcW w:w="6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Number of destination conferences attendees (2)</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13,857</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11,125</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2,732</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4715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day, local meetings are excluded.</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Conferences revenues increased by $5.4 million during the three months ended March 31, 2024 compared to the same period in 2023. The increase in revenue for the three months ended March 31, 2024 was primarily due to holding two more in-person destination conferences than in the first quarter of 2023. We held 12 and 10 in-person destination conferences during the three months ended March 31, 2024 and 2023, respectively. Gross contribution decreased to $23.3 million during the three months ended March 31, 2024 compared to $26.8 million in the same period last year. The decrease in gross contribution during the three months ended March 31, 2024 was primarily due to an increase in conference-related expenses and increased headcount, partially offset by an increase in revenue.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Consulting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0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The Three</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The Three</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00" w:type="dxa"/>
            <w:vAlign w:val="bottom"/>
          </w:tcPr>
          <w:p>
            <w:pPr>
              <w:spacing w:after="0"/>
              <w:rPr>
                <w:sz w:val="14"/>
                <w:szCs w:val="14"/>
                <w:color w:val="auto"/>
              </w:rPr>
            </w:pPr>
          </w:p>
        </w:tc>
        <w:tc>
          <w:tcPr>
            <w:tcW w:w="116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w w:val="99"/>
              </w:rPr>
              <w:t>Increase</w:t>
            </w: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0" w:type="dxa"/>
            <w:vAlign w:val="bottom"/>
          </w:tcPr>
          <w:p>
            <w:pPr>
              <w:spacing w:after="0"/>
              <w:rPr>
                <w:sz w:val="1"/>
                <w:szCs w:val="1"/>
                <w:color w:val="auto"/>
              </w:rPr>
            </w:pPr>
          </w:p>
        </w:tc>
      </w:tr>
      <w:tr>
        <w:trPr>
          <w:trHeight w:val="202"/>
        </w:trPr>
        <w:tc>
          <w:tcPr>
            <w:tcW w:w="6460" w:type="dxa"/>
            <w:vAlign w:val="bottom"/>
          </w:tcPr>
          <w:p>
            <w:pPr>
              <w:spacing w:after="0"/>
              <w:rPr>
                <w:sz w:val="17"/>
                <w:szCs w:val="17"/>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0" w:type="dxa"/>
            <w:vAlign w:val="bottom"/>
          </w:tcPr>
          <w:p>
            <w:pPr>
              <w:spacing w:after="0"/>
              <w:rPr>
                <w:sz w:val="1"/>
                <w:szCs w:val="1"/>
                <w:color w:val="auto"/>
              </w:rPr>
            </w:pPr>
          </w:p>
        </w:tc>
      </w:tr>
      <w:tr>
        <w:trPr>
          <w:trHeight w:val="192"/>
        </w:trPr>
        <w:tc>
          <w:tcPr>
            <w:tcW w:w="64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Measurements:</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134,685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127,036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7,649</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6 %</w:t>
            </w:r>
          </w:p>
        </w:tc>
        <w:tc>
          <w:tcPr>
            <w:tcW w:w="0" w:type="dxa"/>
            <w:vAlign w:val="bottom"/>
          </w:tcPr>
          <w:p>
            <w:pPr>
              <w:spacing w:after="0"/>
              <w:rPr>
                <w:sz w:val="1"/>
                <w:szCs w:val="1"/>
                <w:color w:val="auto"/>
              </w:rPr>
            </w:pPr>
          </w:p>
        </w:tc>
      </w:tr>
      <w:tr>
        <w:trPr>
          <w:trHeight w:val="200"/>
        </w:trPr>
        <w:tc>
          <w:tcPr>
            <w:tcW w:w="6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contribution (1)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54,287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50,808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3,479</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7 %</w:t>
            </w:r>
          </w:p>
        </w:tc>
        <w:tc>
          <w:tcPr>
            <w:tcW w:w="0" w:type="dxa"/>
            <w:vAlign w:val="bottom"/>
          </w:tcPr>
          <w:p>
            <w:pPr>
              <w:spacing w:after="0"/>
              <w:rPr>
                <w:sz w:val="1"/>
                <w:szCs w:val="1"/>
                <w:color w:val="auto"/>
              </w:rPr>
            </w:pPr>
          </w:p>
        </w:tc>
      </w:tr>
      <w:tr>
        <w:trPr>
          <w:trHeight w:val="20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contribution margin</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 point</w:t>
            </w:r>
          </w:p>
        </w:tc>
        <w:tc>
          <w:tcPr>
            <w:tcW w:w="11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64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Measurements:</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Backlog (1),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188,200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161,200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27,000</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17 %</w:t>
            </w:r>
          </w:p>
        </w:tc>
        <w:tc>
          <w:tcPr>
            <w:tcW w:w="0" w:type="dxa"/>
            <w:vAlign w:val="bottom"/>
          </w:tcPr>
          <w:p>
            <w:pPr>
              <w:spacing w:after="0"/>
              <w:rPr>
                <w:sz w:val="1"/>
                <w:szCs w:val="1"/>
                <w:color w:val="auto"/>
              </w:rPr>
            </w:pPr>
          </w:p>
        </w:tc>
      </w:tr>
      <w:tr>
        <w:trPr>
          <w:trHeight w:val="200"/>
        </w:trPr>
        <w:tc>
          <w:tcPr>
            <w:tcW w:w="6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Billable headcount</w:t>
            </w:r>
          </w:p>
        </w:tc>
        <w:tc>
          <w:tcPr>
            <w:tcW w:w="100" w:type="dxa"/>
            <w:vAlign w:val="bottom"/>
          </w:tcPr>
          <w:p>
            <w:pPr>
              <w:spacing w:after="0"/>
              <w:rPr>
                <w:sz w:val="17"/>
                <w:szCs w:val="17"/>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948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904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0" w:type="dxa"/>
            <w:vAlign w:val="bottom"/>
          </w:tcPr>
          <w:p>
            <w:pPr>
              <w:spacing w:after="0"/>
              <w:rPr>
                <w:sz w:val="1"/>
                <w:szCs w:val="1"/>
                <w:color w:val="auto"/>
              </w:rPr>
            </w:pPr>
          </w:p>
        </w:tc>
      </w:tr>
      <w:tr>
        <w:trPr>
          <w:trHeight w:val="20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Consultant utilization</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 point</w:t>
            </w:r>
          </w:p>
        </w:tc>
        <w:tc>
          <w:tcPr>
            <w:tcW w:w="11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4715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is on a foreign exchange neutral basis. Backlog as of March 31, 2023 has been calculated using the same foreign currency rates as 2024.</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Consulting revenues increased by 6% during the three months ended March 31, 2024 compared to the same period in 2023 on a reported basis and 7% excluding the foreign currency impact, with an increase in labor-based consulting revenue of 12% and a decrease in contract optimization revenue of 13%, each on a reported basis. Contract optimization revenue may vary significantly and, as such, revenues for the first quarter of 2024 may not be indicative of results for the remainder of 2024 or beyond. The segment gross contribution margin was 40% for both the three months ended March 31, 2024 and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increased by $27.0 million, or 17%, from March 31, 2023 to March 31, 2024, excluding the foreign currency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finance our operations through cash generated from our operating activities and, to a lesser extent, borrowings. Note 8 — Debt in the Notes to Condensed Consolidated Financial Statements provides additional information regarding the Company’s outstanding debt obligations. At March 31, 2024, we had $1.2 billion of cash and cash equivalents and approximately $706.7 million of available borrowing capacity on the revolving credit facility under our 2024 Credit Agreement. We believe that the Company has adequate liquidity to meet its currently anticipated needs for both the next twelve months and the foreseeable future.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historically generated significant cash flows from our operating activities, benefiting from the favorable working capital dynamics of our subscription-based business model in our Research segment, which is our largest business segment and historically has constituted a significant portion of our total revenues. The majority of our Research customer contracts are paid in advance and, combined with a strong customer retention rate and high incremental margins, our subscription-based business model has resulted in continuously strong operating cash flow. Cash flow generation has also benefited from our ongoing efforts to improve the operating efficiencies of our businesses as well as a focus on the optimal management of our working capital as we increase sales.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cash and cash equivalents are held in numerous locations throughout the world with 49% held outside the U.S. at March 31, 2024. We intend to reinvest substantially all of our accumulated undistributed foreign earnings, except in instances where repatriation would result in minimal additional tax.</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changes in our cash balances for the periods indicated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6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Pr>
          <w:p>
            <w:pPr>
              <w:spacing w:after="0"/>
              <w:rPr>
                <w:sz w:val="17"/>
                <w:szCs w:val="17"/>
                <w:color w:val="auto"/>
              </w:rPr>
            </w:pPr>
          </w:p>
        </w:tc>
        <w:tc>
          <w:tcPr>
            <w:tcW w:w="12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176"/>
        </w:trPr>
        <w:tc>
          <w:tcPr>
            <w:tcW w:w="6500" w:type="dxa"/>
            <w:vAlign w:val="bottom"/>
          </w:tcPr>
          <w:p>
            <w:pPr>
              <w:spacing w:after="0"/>
              <w:rPr>
                <w:sz w:val="15"/>
                <w:szCs w:val="15"/>
                <w:color w:val="auto"/>
              </w:rPr>
            </w:pPr>
          </w:p>
        </w:tc>
        <w:tc>
          <w:tcPr>
            <w:tcW w:w="158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1600" w:type="dxa"/>
            <w:vAlign w:val="bottom"/>
            <w:gridSpan w:val="3"/>
          </w:tcPr>
          <w:p>
            <w:pPr>
              <w:jc w:val="right"/>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Ended March 31,</w:t>
            </w: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5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w:t>
            </w:r>
          </w:p>
        </w:tc>
        <w:tc>
          <w:tcPr>
            <w:tcW w:w="0" w:type="dxa"/>
            <w:vAlign w:val="bottom"/>
          </w:tcPr>
          <w:p>
            <w:pPr>
              <w:spacing w:after="0"/>
              <w:rPr>
                <w:sz w:val="1"/>
                <w:szCs w:val="1"/>
                <w:color w:val="auto"/>
              </w:rPr>
            </w:pP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(162,271)</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(101,292)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(118,389)</w:t>
            </w: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(256,503)</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rates on cash and cash equivalents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(22,208)</w:t>
            </w:r>
          </w:p>
        </w:tc>
        <w:tc>
          <w:tcPr>
            <w:tcW w:w="0" w:type="dxa"/>
            <w:vAlign w:val="bottom"/>
          </w:tcPr>
          <w:p>
            <w:pPr>
              <w:spacing w:after="0"/>
              <w:rPr>
                <w:sz w:val="1"/>
                <w:szCs w:val="1"/>
                <w:color w:val="auto"/>
              </w:rPr>
            </w:pPr>
          </w:p>
        </w:tc>
      </w:tr>
      <w:tr>
        <w:trPr>
          <w:trHeight w:val="23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cash and cash equivalents and restricted cash</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1,319,599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621,000</w:t>
            </w:r>
          </w:p>
        </w:tc>
        <w:tc>
          <w:tcPr>
            <w:tcW w:w="0" w:type="dxa"/>
            <w:vAlign w:val="bottom"/>
          </w:tcPr>
          <w:p>
            <w:pPr>
              <w:spacing w:after="0"/>
              <w:rPr>
                <w:sz w:val="1"/>
                <w:szCs w:val="1"/>
                <w:color w:val="auto"/>
              </w:rPr>
            </w:pP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cash and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342,289</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was $188.8 million and $164.7 million during the three months ended March 31, 2024 and 2023, respectively. The year-over-year increase was primarily due to increased operating income, excluding the 2023 gain from sale of divested operation.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(used in) provided by investing activities was $(24.7) million and $137.6 million during the three months ended March 31, 2024 and 2023, respectively. The decrease from 2023 to 2024 was the result of the proceeds received from the sale of the TalentNeuron business in February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$219.7 million and $101.3 million during the three months ended March 31, 2024 and 2023, respectively. We used $225.1 million and $106.9 million of cash for share repurchases during the three months ended March 31, 2024 and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$2.5 billion of principal amount of debt outstanding. Note 8 — Debt in the Notes to Condensed Consolidated Financial Statements provides additional information regarding the Company’s outstanding debt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obligations. From time to time, the Company may seek to retire or repurchase its outstanding debt through various methods including open market repurchases, negotiated block transactions, or otherwise, all or some of which may be effected through Rule 10b5-1 plans. Such transactions, if any, depend on prevailing market conditions, our liquidity and capital requirements, contractual restrictions, and other factors, and may involve material amounts.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January 1, 2024 through March 31, 2024, the Company has not entered into any material off-balance sheet arrangements or transactions with unconsolidated entities or other persons.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$2.5 billion in total debt principal outstanding. Note 8 — Debt in the Notes to Condensed Consolidated Financial Statements provides additional information regarding the Company’s outstanding debt obligations.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$274.4 million of the Company’s total debt outstanding as of March 31, 2024 was based on a floating base rate of interest, which potentially exposes the Company to increases in interest rates. However, we reduce our overall exposure to interest rate increases through our interest rate swap contract, which effectively converts the floating base interest rates on all of our variable rate borrowings to fixed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our revenues are typically derived from sales outside of the United States. Among the major foreign currencies in which we conduct business are the Euro, the British Pound, the Japanese Yen, the Australian dollar and the Canadian dollar. The reporting currency of our Condensed Consolidated Financial Statements is the U.S. dollar. As the values of the foreign currencies in which we operate fluctuate over time relative to the U.S. dollar, the Company is exposed to both foreign currency translation and transaction risk.</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Translation risk arises as our foreign currency assets and liabilities are translated into U.S. dollars because the functional currencies of our foreign operations are generally denominated in the local currency. Adjustments resulting from the translation of these assets and liabilities are deferred and recorded as a component of stockholders’ equity. A measure of the potential impact of foreign currency translation can be determined through a sensitivity analysis of our cash and cash equivalents. At March 31, 2024, we had $1.2 billion of cash and cash equivalents, with a substantial portion denominated in foreign currencies. If the exchange rates of the foreign currencies we hold all changed in comparison to the U.S. dollar by 10%, the amount of cash and cash equivalents we would have reported on March 31, 2024 could have increased or decreased by approximately $66.4 million. The translation of our foreign currency revenues and expenses historically has not had a material impact on our consolidated earnings because movements in and among the major currencies in which we operate tend to impact our revenues and expenses fairly equally. However, our earnings could be impacted during periods of significant exchange rate volatility, or when some or all of the major currencies in which we operate move in the same direction against the U.S. dollar.</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risk arises when we enter into a transaction that is denominated in a currency that may differ from the local functional currency. As these transactions are translated into the local functional currency, a gain or loss may result, which is recorded in current period earnings. We typically enter into foreign currency forward exchange contracts to mitigate the effects of some of this foreign currency transaction risk. Our outstanding foreign currency forward exchange contracts as of March 31, 2024 had an immaterial net unrealized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short-term, highly liquid investments classified as cash equivalents, fees receivable, interest rate swap contracts and foreign currency forward exchange contracts. The majority of the Company’s cash and cash equivalents, interest rate swap contracts and foreign currency forward exchange contracts are with large investment grade commercial banks. Fees receivable balances deemed to be collectible from customers have limited concentration of credit risk due to our diverse customer base and geographic dispersion.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established disclosure controls and procedures that are designed to ensure that the information we are required to disclose in our reports filed or submitted under the Securities Exchange Act of 1934, as amended (the “Exchange Act”), is recorded, processed, summarized and reported within the time periods specified in the rules and forms of the SEC, and such information is accumulated and communicated to our executive management team, including our chief executive officer and our chief financial officer, to allow timely decisions regarding required disclosure.</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conducted an evaluation, as of March 31, 2024, of the effectiveness of the design and operation of our disclosure controls and procedures, as such term is defined in Rules 13a-15(e) and 15d-15(e) of the Exchange Act, under the supervision and with the participation of our chief executive officer and chief financial officer. Based upon that evaluation, our chief executive officer and chief financial officer have concluded that, as of March 31, 2024, the Company’s disclosure controls and procedures were effective.</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Except as noted below, there have been no changes in our internal control over financial reporting identified in connection with the evaluation required by paragraph (d) of Exchange Act Rules 13a-15 or 15d-15 that occurred during the quarter ended March 31, 2024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-158115</wp:posOffset>
            </wp:positionV>
            <wp:extent cx="457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1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quarter ended March 31, 2024, we implemented a new enterprise resource planning (“ERP”) system. The new cloud-based ERP system replaced our previous ERP system, including our accounting systems and general ledgers. As a result of this implementation, we modified certain existing controls and implemented new controls and procedures related to the new ERP system to maintain appropriate internal control over financial reporting during and after the system change. The Company does not believe this implementation has had or will have in the future a material adverse effect on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legal and administrative proceedings and litigation arising in the ordinary course of business. We believe that the potential liability, if any, in excess of amounts already accrued from all proceedings, claims and litigation will not have a material effect on our financial position, cash flows or results of operations when resolved in a future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to the risk factors disclosed in Part I, Item 1A of our Annual Report on Form 10-K for the year ended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2015, the Company’s Board of Directors (the “Board”) authorized a share repurchase program to repurchase up to $1.2 billion of the Company’s common stock. The Board authorized incremental share repurchases of up to an aggregate additional $3.5 billion of the Company’s common stock during 2021, 2022, and 2023.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The table below summarizes the repurchases of our common stock during the three months ended March 31, 2024.</w:t>
      </w:r>
    </w:p>
    <w:tbl>
      <w:tblPr>
        <w:tblLayout w:type="fixed"/>
        <w:tblInd w:w="0" w:type="dxa"/>
        <w:tblCellMar>
          <w:top w:w="0" w:type="dxa"/>
          <w:left w:w="0" w:type="dxa"/>
          <w:bottom w:w="0" w:type="dxa"/>
          <w:right w:w="0" w:type="dxa"/>
        </w:tblCellMar>
      </w:tblPr>
      <w:tr>
        <w:trPr>
          <w:trHeight w:val="196"/>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99"/>
              </w:rPr>
              <w:t>Maximum Approximate</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Dollar Value of Shares</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Under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That May Yet Be Purchased</w:t>
            </w:r>
          </w:p>
        </w:tc>
        <w:tc>
          <w:tcPr>
            <w:tcW w:w="0" w:type="dxa"/>
            <w:vAlign w:val="bottom"/>
          </w:tcPr>
          <w:p>
            <w:pPr>
              <w:spacing w:after="0"/>
              <w:rPr>
                <w:sz w:val="1"/>
                <w:szCs w:val="1"/>
                <w:color w:val="auto"/>
              </w:rPr>
            </w:pPr>
          </w:p>
        </w:tc>
      </w:tr>
      <w:tr>
        <w:trPr>
          <w:trHeight w:val="189"/>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tcPr>
          <w:p>
            <w:pPr>
              <w:spacing w:after="0"/>
              <w:rPr>
                <w:sz w:val="16"/>
                <w:szCs w:val="16"/>
                <w:color w:val="auto"/>
              </w:rPr>
            </w:pPr>
          </w:p>
        </w:tc>
        <w:tc>
          <w:tcPr>
            <w:tcW w:w="1080" w:type="dxa"/>
            <w:vAlign w:val="bottom"/>
            <w:gridSpan w:val="2"/>
          </w:tcPr>
          <w:p>
            <w:pPr>
              <w:jc w:val="center"/>
              <w:ind w:right="5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rPr>
              <w:t>Price Paid</w:t>
            </w:r>
          </w:p>
        </w:tc>
        <w:tc>
          <w:tcPr>
            <w:tcW w:w="1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Under the Plans or Programs</w:t>
            </w:r>
          </w:p>
        </w:tc>
        <w:tc>
          <w:tcPr>
            <w:tcW w:w="0" w:type="dxa"/>
            <w:vAlign w:val="bottom"/>
          </w:tcPr>
          <w:p>
            <w:pPr>
              <w:spacing w:after="0"/>
              <w:rPr>
                <w:sz w:val="1"/>
                <w:szCs w:val="1"/>
                <w:color w:val="auto"/>
              </w:rPr>
            </w:pPr>
          </w:p>
        </w:tc>
      </w:tr>
      <w:tr>
        <w:trPr>
          <w:trHeight w:val="230"/>
        </w:trPr>
        <w:tc>
          <w:tcPr>
            <w:tcW w:w="3960" w:type="dxa"/>
            <w:vAlign w:val="bottom"/>
            <w:gridSpan w:val="2"/>
            <w:vMerge w:val="continue"/>
          </w:tcPr>
          <w:p>
            <w:pPr>
              <w:spacing w:after="0"/>
              <w:rPr>
                <w:sz w:val="19"/>
                <w:szCs w:val="19"/>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Purchased (#)</w:t>
            </w: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 Share ($)</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2024 to January 31, 2024</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438.71</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987,098</w:t>
            </w:r>
          </w:p>
        </w:tc>
        <w:tc>
          <w:tcPr>
            <w:tcW w:w="0" w:type="dxa"/>
            <w:vAlign w:val="bottom"/>
          </w:tcPr>
          <w:p>
            <w:pPr>
              <w:spacing w:after="0"/>
              <w:rPr>
                <w:sz w:val="1"/>
                <w:szCs w:val="1"/>
                <w:color w:val="auto"/>
              </w:rPr>
            </w:pPr>
          </w:p>
        </w:tc>
      </w:tr>
      <w:tr>
        <w:trPr>
          <w:trHeight w:val="23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2024 to February 29, 2024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348,506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895,475</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2024 to March 31, 2024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136,787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831,262</w:t>
            </w:r>
          </w:p>
        </w:tc>
        <w:tc>
          <w:tcPr>
            <w:tcW w:w="0" w:type="dxa"/>
            <w:vAlign w:val="bottom"/>
          </w:tcPr>
          <w:p>
            <w:pPr>
              <w:spacing w:after="0"/>
              <w:rPr>
                <w:sz w:val="1"/>
                <w:szCs w:val="1"/>
                <w:color w:val="auto"/>
              </w:rPr>
            </w:pPr>
          </w:p>
        </w:tc>
      </w:tr>
      <w:tr>
        <w:trPr>
          <w:trHeight w:val="223"/>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for the quarter (1)</w:t>
            </w: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489,734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459.69</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339,627</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line="282"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repurchased shares during the three months ended March 31, 2024 included 150,107 shares purchased for the settlement of stock-based compensation awards and 339,627 shares purchased in the open market. All amounts presented are exclusive of the excise tax accrual.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director or Section 16 officer adopted or terminated a trading arrangement intended to satisfy the affirmative defense conditions of Rule 10b5-1(c) or a non-Rule 10b5–1 trading arrangement during the three months ended March 31,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4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0" w:type="dxa"/>
            <w:vAlign w:val="bottom"/>
          </w:tcPr>
          <w:p>
            <w:pPr>
              <w:spacing w:after="0"/>
              <w:rPr>
                <w:sz w:val="1"/>
                <w:szCs w:val="1"/>
                <w:color w:val="auto"/>
              </w:rPr>
            </w:pPr>
          </w:p>
        </w:tc>
      </w:tr>
      <w:tr>
        <w:trPr>
          <w:trHeight w:val="243"/>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420" w:type="dxa"/>
            <w:vAlign w:val="bottom"/>
            <w:gridSpan w:val="7"/>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gridSpan w:val="3"/>
          </w:tcPr>
          <w:p>
            <w:pPr>
              <w:spacing w:after="0"/>
              <w:rPr>
                <w:rFonts w:ascii="Times New Roman" w:cs="Times New Roman" w:eastAsia="Times New Roman" w:hAnsi="Times New Roman"/>
                <w:sz w:val="18"/>
                <w:szCs w:val="18"/>
                <w:color w:val="0000FF"/>
                <w:w w:val="96"/>
              </w:rPr>
            </w:pPr>
            <w:hyperlink r:id="rId60">
              <w:r>
                <w:rPr>
                  <w:rFonts w:ascii="Times New Roman" w:cs="Times New Roman" w:eastAsia="Times New Roman" w:hAnsi="Times New Roman"/>
                  <w:sz w:val="18"/>
                  <w:szCs w:val="18"/>
                  <w:color w:val="0000FF"/>
                  <w:w w:val="96"/>
                </w:rPr>
                <w:t>3.</w:t>
              </w:r>
              <w:r>
                <w:rPr>
                  <w:rFonts w:ascii="Times New Roman" w:cs="Times New Roman" w:eastAsia="Times New Roman" w:hAnsi="Times New Roman"/>
                  <w:sz w:val="18"/>
                  <w:szCs w:val="18"/>
                  <w:u w:val="single" w:color="auto"/>
                  <w:color w:val="0000FF"/>
                  <w:w w:val="96"/>
                </w:rPr>
                <w:t>1(2)</w:t>
              </w:r>
            </w:hyperlink>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20" w:type="dxa"/>
            <w:vAlign w:val="bottom"/>
            <w:gridSpan w:val="7"/>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Restated Certificate of Incorporation of the Company.</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0" w:type="dxa"/>
            <w:vAlign w:val="bottom"/>
            <w:gridSpan w:val="3"/>
          </w:tcPr>
          <w:p>
            <w:pPr>
              <w:spacing w:after="0"/>
              <w:rPr>
                <w:rFonts w:ascii="Times New Roman" w:cs="Times New Roman" w:eastAsia="Times New Roman" w:hAnsi="Times New Roman"/>
                <w:sz w:val="18"/>
                <w:szCs w:val="18"/>
                <w:color w:val="0000FF"/>
                <w:w w:val="96"/>
              </w:rPr>
            </w:pPr>
            <w:hyperlink r:id="rId61">
              <w:r>
                <w:rPr>
                  <w:rFonts w:ascii="Times New Roman" w:cs="Times New Roman" w:eastAsia="Times New Roman" w:hAnsi="Times New Roman"/>
                  <w:sz w:val="18"/>
                  <w:szCs w:val="18"/>
                  <w:color w:val="0000FF"/>
                  <w:w w:val="96"/>
                </w:rPr>
                <w:t>3.</w:t>
              </w:r>
              <w:r>
                <w:rPr>
                  <w:rFonts w:ascii="Times New Roman" w:cs="Times New Roman" w:eastAsia="Times New Roman" w:hAnsi="Times New Roman"/>
                  <w:sz w:val="18"/>
                  <w:szCs w:val="18"/>
                  <w:u w:val="single" w:color="auto"/>
                  <w:color w:val="0000FF"/>
                  <w:w w:val="96"/>
                </w:rPr>
                <w:t>2(3)</w:t>
              </w:r>
            </w:hyperlink>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20" w:type="dxa"/>
            <w:vAlign w:val="bottom"/>
            <w:gridSpan w:val="7"/>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By-laws of Gartner, Inc. (as amended through April 29, 2021).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20" w:type="dxa"/>
            <w:vAlign w:val="bottom"/>
            <w:gridSpan w:val="5"/>
            <w:vMerge w:val="restart"/>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p>
        </w:tc>
        <w:tc>
          <w:tcPr>
            <w:tcW w:w="94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Credit Amendment, dated as of March 26, 2024, among Gartner, Inc., the lender party thereto and JPMorgan Chase Bank, N.A., as</w:t>
              </w:r>
            </w:hyperlink>
          </w:p>
        </w:tc>
        <w:tc>
          <w:tcPr>
            <w:tcW w:w="0" w:type="dxa"/>
            <w:vAlign w:val="bottom"/>
          </w:tcPr>
          <w:p>
            <w:pPr>
              <w:spacing w:after="0"/>
              <w:rPr>
                <w:sz w:val="1"/>
                <w:szCs w:val="1"/>
                <w:color w:val="auto"/>
              </w:rPr>
            </w:pPr>
          </w:p>
        </w:tc>
      </w:tr>
      <w:tr>
        <w:trPr>
          <w:trHeight w:val="75"/>
        </w:trPr>
        <w:tc>
          <w:tcPr>
            <w:tcW w:w="1220" w:type="dxa"/>
            <w:vAlign w:val="bottom"/>
            <w:gridSpan w:val="5"/>
            <w:vMerge w:val="continue"/>
          </w:tcPr>
          <w:p>
            <w:pPr>
              <w:spacing w:after="0"/>
              <w:rPr>
                <w:sz w:val="6"/>
                <w:szCs w:val="6"/>
                <w:color w:val="auto"/>
              </w:rPr>
            </w:pPr>
          </w:p>
        </w:tc>
        <w:tc>
          <w:tcPr>
            <w:tcW w:w="9420" w:type="dxa"/>
            <w:vAlign w:val="bottom"/>
            <w:gridSpan w:val="7"/>
            <w:vMerge w:val="restart"/>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administrative agent.</w:t>
              </w:r>
            </w:hyperlink>
          </w:p>
        </w:tc>
        <w:tc>
          <w:tcPr>
            <w:tcW w:w="0" w:type="dxa"/>
            <w:vAlign w:val="bottom"/>
          </w:tcPr>
          <w:p>
            <w:pPr>
              <w:spacing w:after="0"/>
              <w:rPr>
                <w:sz w:val="1"/>
                <w:szCs w:val="1"/>
                <w:color w:val="auto"/>
              </w:rPr>
            </w:pPr>
          </w:p>
        </w:tc>
      </w:tr>
      <w:tr>
        <w:trPr>
          <w:trHeight w:val="61"/>
        </w:trPr>
        <w:tc>
          <w:tcPr>
            <w:tcW w:w="18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680" w:type="dxa"/>
            <w:vAlign w:val="bottom"/>
          </w:tcPr>
          <w:p>
            <w:pPr>
              <w:spacing w:after="0"/>
              <w:rPr>
                <w:sz w:val="5"/>
                <w:szCs w:val="5"/>
                <w:color w:val="auto"/>
              </w:rPr>
            </w:pPr>
          </w:p>
        </w:tc>
        <w:tc>
          <w:tcPr>
            <w:tcW w:w="942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2011 Employee Stock Purchase Plan, as amended and restated, as of May 1, 2024.</w:t>
            </w: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302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under Rule 13a — 14(a)/15d — 14(a).</w:t>
            </w: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3020" w:type="dxa"/>
            <w:vAlign w:val="bottom"/>
            <w:tcBorders>
              <w:right w:val="single" w:sz="8" w:color="0000FF"/>
            </w:tcBorders>
            <w:gridSpan w:val="3"/>
            <w:shd w:val="clear" w:color="auto" w:fill="0000FF"/>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under Rule 13a — 14(a)/15d — 14(a).</w:t>
            </w:r>
          </w:p>
        </w:tc>
        <w:tc>
          <w:tcPr>
            <w:tcW w:w="0" w:type="dxa"/>
            <w:vAlign w:val="bottom"/>
          </w:tcPr>
          <w:p>
            <w:pPr>
              <w:spacing w:after="0"/>
              <w:rPr>
                <w:sz w:val="1"/>
                <w:szCs w:val="1"/>
                <w:color w:val="auto"/>
              </w:rPr>
            </w:pPr>
          </w:p>
        </w:tc>
      </w:tr>
      <w:tr>
        <w:trPr>
          <w:trHeight w:val="439"/>
        </w:trPr>
        <w:tc>
          <w:tcPr>
            <w:tcW w:w="3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color w:val="000000"/>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5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under 18 U.S.C. 1350.</w:t>
            </w:r>
          </w:p>
        </w:tc>
        <w:tc>
          <w:tcPr>
            <w:tcW w:w="38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94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84"/>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4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4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4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4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4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4"/>
        </w:trPr>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(included as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27774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40"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7" w:lineRule="exact"/>
        <w:rPr>
          <w:sz w:val="20"/>
          <w:szCs w:val="20"/>
          <w:color w:val="auto"/>
        </w:rPr>
      </w:pPr>
    </w:p>
    <w:p>
      <w:pPr>
        <w:ind w:left="440" w:hanging="432"/>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April 1, 2024.</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July 6, 2005.</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May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3 and 4 of Part II are not applicable and have been omitted.</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Inc.</w:t>
            </w:r>
          </w:p>
        </w:tc>
      </w:tr>
      <w:tr>
        <w:trPr>
          <w:trHeight w:val="45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2024</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W. Safian</w:t>
            </w:r>
          </w:p>
        </w:tc>
      </w:tr>
      <w:tr>
        <w:trPr>
          <w:trHeight w:val="218"/>
        </w:trPr>
        <w:tc>
          <w:tcPr>
            <w:tcW w:w="588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W. Safian</w:t>
            </w:r>
          </w:p>
        </w:tc>
      </w:tr>
      <w:tr>
        <w:trPr>
          <w:trHeight w:val="230"/>
        </w:trPr>
        <w:tc>
          <w:tcPr>
            <w:tcW w:w="588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8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887" w:right="359" w:bottom="144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b w:val="1"/>
          <w:bCs w:val="1"/>
          <w:color w:val="auto"/>
        </w:rPr>
        <w:t>GARTNER, INC.</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2011 EMPLOYEE STOCK PURCHASE PLAN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as of May 1, 2024</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constitute the provisions of the 2011 Employee Stock Purchase Plan of Gartner, Inc.</w:t>
      </w:r>
    </w:p>
    <w:p>
      <w:pPr>
        <w:spacing w:after="0" w:line="262" w:lineRule="exact"/>
        <w:rPr>
          <w:sz w:val="20"/>
          <w:szCs w:val="20"/>
          <w:color w:val="auto"/>
        </w:rPr>
      </w:pPr>
    </w:p>
    <w:p>
      <w:pPr>
        <w:ind w:left="1300" w:hanging="657"/>
        <w:spacing w:after="0"/>
        <w:tabs>
          <w:tab w:leader="none" w:pos="130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PURPOSE.</w:t>
      </w:r>
    </w:p>
    <w:p>
      <w:pPr>
        <w:spacing w:after="0" w:line="2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purpose of the Plan is to provide employees of the Company and its Designated Subsidiaries with an opportunity to purchase Common Stock of the Company through accumulated payroll deductions. It is the intention of the Company to have the Plan qualify as an “Employee Stock Purchase Plan” under Section 423 of the Code, although the Company makes no undertaking or representation to maintain such qualification. The provisions of the Plan shall be construed in furtherance of qualifying the Plan under Section 423 of the Code. The Plan, as amended and restated, shall be effective for all Offering Periods beginning after May 1, 2024.</w:t>
      </w:r>
    </w:p>
    <w:p>
      <w:pPr>
        <w:spacing w:after="0" w:line="218" w:lineRule="exact"/>
        <w:rPr>
          <w:sz w:val="20"/>
          <w:szCs w:val="20"/>
          <w:color w:val="auto"/>
        </w:rPr>
      </w:pPr>
    </w:p>
    <w:p>
      <w:pPr>
        <w:ind w:left="1300" w:hanging="658"/>
        <w:spacing w:after="0"/>
        <w:tabs>
          <w:tab w:leader="none" w:pos="130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261" w:lineRule="exact"/>
        <w:rPr>
          <w:rFonts w:ascii="Arial" w:cs="Arial" w:eastAsia="Arial" w:hAnsi="Arial"/>
          <w:sz w:val="16"/>
          <w:szCs w:val="16"/>
          <w:b w:val="1"/>
          <w:bCs w:val="1"/>
          <w:color w:val="auto"/>
        </w:rPr>
      </w:pPr>
    </w:p>
    <w:p>
      <w:pPr>
        <w:ind w:left="1280" w:hanging="637"/>
        <w:spacing w:after="0"/>
        <w:tabs>
          <w:tab w:leader="none" w:pos="12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“Administrator” shall mean the Board or the committee of the Board appointed to administer the plan pursuant to Section 13 hereof.</w:t>
      </w:r>
    </w:p>
    <w:p>
      <w:pPr>
        <w:spacing w:after="0" w:line="261" w:lineRule="exact"/>
        <w:rPr>
          <w:rFonts w:ascii="Arial" w:cs="Arial" w:eastAsia="Arial" w:hAnsi="Arial"/>
          <w:sz w:val="16"/>
          <w:szCs w:val="16"/>
          <w:color w:val="auto"/>
        </w:rPr>
      </w:pPr>
    </w:p>
    <w:p>
      <w:pPr>
        <w:ind w:left="1280" w:hanging="638"/>
        <w:spacing w:after="0"/>
        <w:tabs>
          <w:tab w:leader="none" w:pos="12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“Board” shall mean the Board of Directors of the Company.</w:t>
      </w:r>
    </w:p>
    <w:p>
      <w:pPr>
        <w:spacing w:after="0" w:line="261" w:lineRule="exact"/>
        <w:rPr>
          <w:rFonts w:ascii="Arial" w:cs="Arial" w:eastAsia="Arial" w:hAnsi="Arial"/>
          <w:sz w:val="16"/>
          <w:szCs w:val="16"/>
          <w:color w:val="auto"/>
        </w:rPr>
      </w:pPr>
    </w:p>
    <w:p>
      <w:pPr>
        <w:ind w:left="1280" w:hanging="638"/>
        <w:spacing w:after="0"/>
        <w:tabs>
          <w:tab w:leader="none" w:pos="12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“Code” shall mean the Internal Revenue Code of 1986, as amended.</w:t>
      </w:r>
    </w:p>
    <w:p>
      <w:pPr>
        <w:spacing w:after="0" w:line="261" w:lineRule="exact"/>
        <w:rPr>
          <w:rFonts w:ascii="Arial" w:cs="Arial" w:eastAsia="Arial" w:hAnsi="Arial"/>
          <w:sz w:val="16"/>
          <w:szCs w:val="16"/>
          <w:color w:val="auto"/>
        </w:rPr>
      </w:pPr>
    </w:p>
    <w:p>
      <w:pPr>
        <w:ind w:left="1280" w:hanging="638"/>
        <w:spacing w:after="0"/>
        <w:tabs>
          <w:tab w:leader="none" w:pos="12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“Common Stock” shall mean the common stock, par value $.0005, of the Company.</w:t>
      </w:r>
    </w:p>
    <w:p>
      <w:pPr>
        <w:spacing w:after="0" w:line="261" w:lineRule="exact"/>
        <w:rPr>
          <w:rFonts w:ascii="Arial" w:cs="Arial" w:eastAsia="Arial" w:hAnsi="Arial"/>
          <w:sz w:val="16"/>
          <w:szCs w:val="16"/>
          <w:color w:val="auto"/>
        </w:rPr>
      </w:pPr>
    </w:p>
    <w:p>
      <w:pPr>
        <w:ind w:left="1280" w:hanging="638"/>
        <w:spacing w:after="0"/>
        <w:tabs>
          <w:tab w:leader="none" w:pos="12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“Company” shall mean Gartner, Inc.</w:t>
      </w:r>
    </w:p>
    <w:p>
      <w:pPr>
        <w:spacing w:after="0" w:line="261" w:lineRule="exact"/>
        <w:rPr>
          <w:rFonts w:ascii="Arial" w:cs="Arial" w:eastAsia="Arial" w:hAnsi="Arial"/>
          <w:sz w:val="16"/>
          <w:szCs w:val="16"/>
          <w:color w:val="auto"/>
        </w:rPr>
      </w:pPr>
    </w:p>
    <w:p>
      <w:pPr>
        <w:jc w:val="both"/>
        <w:ind w:left="1300" w:hanging="657"/>
        <w:spacing w:after="0" w:line="265" w:lineRule="auto"/>
        <w:tabs>
          <w:tab w:leader="none" w:pos="1291" w:val="left"/>
        </w:tabs>
        <w:numPr>
          <w:ilvl w:val="1"/>
          <w:numId w:val="28"/>
        </w:numPr>
        <w:rPr>
          <w:rFonts w:ascii="Arial" w:cs="Arial" w:eastAsia="Arial" w:hAnsi="Arial"/>
          <w:sz w:val="16"/>
          <w:szCs w:val="16"/>
          <w:color w:val="auto"/>
        </w:rPr>
      </w:pPr>
      <w:r>
        <w:rPr>
          <w:rFonts w:ascii="Arial" w:cs="Arial" w:eastAsia="Arial" w:hAnsi="Arial"/>
          <w:sz w:val="16"/>
          <w:szCs w:val="16"/>
          <w:color w:val="auto"/>
        </w:rPr>
        <w:t>“Compensation” shall mean all base straight time gross earnings, payments for overtime, shift premium, incentive compensation, incentive payments, bonuses, and commissions, but shall exclude all other forms of remuneration (including non-cash remuneration). The Administrator, in its discretion, may (on a uniform and nondiscriminatory basis or as otherwise permitted by Treasury Regulation Section 1.432-2(f)) establish a different definition of Compensation for all options to be granted for any Offering that has not yet commenced.</w:t>
      </w:r>
    </w:p>
    <w:p>
      <w:pPr>
        <w:spacing w:after="0" w:line="212" w:lineRule="exact"/>
        <w:rPr>
          <w:rFonts w:ascii="Arial" w:cs="Arial" w:eastAsia="Arial" w:hAnsi="Arial"/>
          <w:sz w:val="16"/>
          <w:szCs w:val="16"/>
          <w:color w:val="auto"/>
        </w:rPr>
      </w:pPr>
    </w:p>
    <w:p>
      <w:pPr>
        <w:ind w:left="1300" w:hanging="657"/>
        <w:spacing w:after="0" w:line="286" w:lineRule="auto"/>
        <w:tabs>
          <w:tab w:leader="none" w:pos="1295"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“Designated Subsidiaries” shall mean the Subsidiaries that have been designated by the Administrator from time to time in its sole discretion as eligible to participate in the Plan.</w:t>
      </w:r>
    </w:p>
    <w:p>
      <w:pPr>
        <w:spacing w:after="0" w:line="196" w:lineRule="exact"/>
        <w:rPr>
          <w:rFonts w:ascii="Arial" w:cs="Arial" w:eastAsia="Arial" w:hAnsi="Arial"/>
          <w:sz w:val="16"/>
          <w:szCs w:val="16"/>
          <w:color w:val="auto"/>
        </w:rPr>
      </w:pPr>
    </w:p>
    <w:p>
      <w:pPr>
        <w:jc w:val="both"/>
        <w:ind w:left="1300" w:right="20" w:hanging="657"/>
        <w:spacing w:after="0" w:line="265" w:lineRule="auto"/>
        <w:tabs>
          <w:tab w:leader="none" w:pos="1295" w:val="left"/>
        </w:tabs>
        <w:numPr>
          <w:ilvl w:val="1"/>
          <w:numId w:val="28"/>
        </w:numPr>
        <w:rPr>
          <w:rFonts w:ascii="Arial" w:cs="Arial" w:eastAsia="Arial" w:hAnsi="Arial"/>
          <w:sz w:val="16"/>
          <w:szCs w:val="16"/>
          <w:color w:val="auto"/>
        </w:rPr>
      </w:pPr>
      <w:r>
        <w:rPr>
          <w:rFonts w:ascii="Arial" w:cs="Arial" w:eastAsia="Arial" w:hAnsi="Arial"/>
          <w:sz w:val="16"/>
          <w:szCs w:val="16"/>
          <w:color w:val="auto"/>
        </w:rPr>
        <w:t>“Employee” shall mean any individual who is an employee of the Company for purposes of tax withholding under the Code or an employee of a Designated Subsidiary outside the United States. For purposes of the Plan, the employment relationship shall be treated as continuing intact while the individual is on sick leave or other leave of absence approved by the Company. Where the period of leave exceeds 90 days and the individual’s right to reemployment is not guaranteed either by statute or by contract, the employment relationship will be deemed to have terminated on the date three months and one day from the start of such leave.</w:t>
      </w:r>
    </w:p>
    <w:p>
      <w:pPr>
        <w:spacing w:after="0" w:line="212" w:lineRule="exact"/>
        <w:rPr>
          <w:rFonts w:ascii="Arial" w:cs="Arial" w:eastAsia="Arial" w:hAnsi="Arial"/>
          <w:sz w:val="16"/>
          <w:szCs w:val="16"/>
          <w:color w:val="auto"/>
        </w:rPr>
      </w:pPr>
    </w:p>
    <w:p>
      <w:pPr>
        <w:ind w:left="1280" w:hanging="638"/>
        <w:spacing w:after="0"/>
        <w:tabs>
          <w:tab w:leader="none" w:pos="12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“Enrollment Date” shall mean the first day of each Offering Period.</w:t>
      </w:r>
    </w:p>
    <w:p>
      <w:pPr>
        <w:spacing w:after="0" w:line="261" w:lineRule="exact"/>
        <w:rPr>
          <w:rFonts w:ascii="Arial" w:cs="Arial" w:eastAsia="Arial" w:hAnsi="Arial"/>
          <w:sz w:val="16"/>
          <w:szCs w:val="16"/>
          <w:color w:val="auto"/>
        </w:rPr>
      </w:pPr>
    </w:p>
    <w:p>
      <w:pPr>
        <w:ind w:left="1280" w:hanging="638"/>
        <w:spacing w:after="0"/>
        <w:tabs>
          <w:tab w:leader="none" w:pos="12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“Exercise Date” shall mean the last day of each Offering Period.</w:t>
      </w:r>
    </w:p>
    <w:p>
      <w:pPr>
        <w:spacing w:after="0" w:line="329" w:lineRule="exact"/>
        <w:rPr>
          <w:rFonts w:ascii="Arial" w:cs="Arial" w:eastAsia="Arial" w:hAnsi="Arial"/>
          <w:sz w:val="16"/>
          <w:szCs w:val="16"/>
          <w:color w:val="auto"/>
        </w:rPr>
      </w:pPr>
    </w:p>
    <w:p>
      <w:pPr>
        <w:jc w:val="both"/>
        <w:ind w:left="1300" w:hanging="656"/>
        <w:spacing w:after="0" w:line="261"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“Fair Market Value” means the closing per share selling price for shares on the New York Stock Exchange on the relevant date, or if there were no sales on such date, the closing sales price on the immediately preceding trading date, in either case as reported by The Wall Street Journal or such other source selected in the discretion of the Administrator (or its delegate). Notwithstanding the preceding, for federal, state, and local income tax reporting purposes, fair market value shall be determined by the Administrator (or its delegate) in accordance with uniform and nondiscriminatory standards adopted by it from time to time and in a manner not inconsistent with the regulations under Section 409A of the Code.</w:t>
      </w:r>
    </w:p>
    <w:p>
      <w:pPr>
        <w:spacing w:after="0" w:line="284" w:lineRule="exact"/>
        <w:rPr>
          <w:rFonts w:ascii="Arial" w:cs="Arial" w:eastAsia="Arial" w:hAnsi="Arial"/>
          <w:sz w:val="16"/>
          <w:szCs w:val="16"/>
          <w:color w:val="auto"/>
        </w:rPr>
      </w:pPr>
    </w:p>
    <w:p>
      <w:pPr>
        <w:jc w:val="both"/>
        <w:ind w:left="1300" w:hanging="656"/>
        <w:spacing w:after="0" w:line="266" w:lineRule="auto"/>
        <w:tabs>
          <w:tab w:leader="none" w:pos="1295" w:val="left"/>
        </w:tabs>
        <w:numPr>
          <w:ilvl w:val="1"/>
          <w:numId w:val="28"/>
        </w:numPr>
        <w:rPr>
          <w:rFonts w:ascii="Arial" w:cs="Arial" w:eastAsia="Arial" w:hAnsi="Arial"/>
          <w:sz w:val="16"/>
          <w:szCs w:val="16"/>
          <w:color w:val="auto"/>
        </w:rPr>
      </w:pPr>
      <w:r>
        <w:rPr>
          <w:rFonts w:ascii="Arial" w:cs="Arial" w:eastAsia="Arial" w:hAnsi="Arial"/>
          <w:sz w:val="16"/>
          <w:szCs w:val="16"/>
          <w:color w:val="auto"/>
        </w:rPr>
        <w:t>“Offering” means an offer under this Plan of an option that may be exercised during the period described in Section 4. For purposes of the Plan, all eligible Employees will be deemed to participate in the same Offering unless the Administrator otherwise determines that eligible</w:t>
      </w:r>
    </w:p>
    <w:p>
      <w:pPr>
        <w:sectPr>
          <w:pgSz w:w="11900" w:h="16838" w:orient="portrait"/>
          <w:cols w:equalWidth="0" w:num="1">
            <w:col w:w="11020"/>
          </w:cols>
          <w:pgMar w:left="440" w:top="760" w:right="439" w:bottom="1440" w:gutter="0" w:footer="0" w:header="0"/>
        </w:sectPr>
      </w:pPr>
    </w:p>
    <w:bookmarkStart w:id="40" w:name="page41"/>
    <w:bookmarkEnd w:id="40"/>
    <w:p>
      <w:pPr>
        <w:jc w:val="both"/>
        <w:ind w:left="658"/>
        <w:spacing w:after="0" w:line="271" w:lineRule="auto"/>
        <w:rPr>
          <w:sz w:val="20"/>
          <w:szCs w:val="20"/>
          <w:color w:val="auto"/>
        </w:rPr>
      </w:pPr>
      <w:r>
        <w:rPr>
          <w:rFonts w:ascii="Arial" w:cs="Arial" w:eastAsia="Arial" w:hAnsi="Arial"/>
          <w:sz w:val="16"/>
          <w:szCs w:val="16"/>
          <w:color w:val="auto"/>
        </w:rPr>
        <w:t>Employees of one or more Designated Subsidiaries will be deemed to participate in separate Offerings, in which case the Offerings will be considered separate even if the dates of each such Offering are identical and the provisions of the Plan will separately apply to each Offering. To the extent permitted by Treasury Regulation Section 1.423-2(a)(1), the terms of each Offering need not be identical provided that the terms of the Plan and the Offering together satisfy Treasury Regulation Sections 1.423-2(a)(2) and (a)(3).</w:t>
      </w:r>
    </w:p>
    <w:p>
      <w:pPr>
        <w:spacing w:after="0" w:line="208" w:lineRule="exact"/>
        <w:rPr>
          <w:sz w:val="20"/>
          <w:szCs w:val="20"/>
          <w:color w:val="auto"/>
        </w:rPr>
      </w:pPr>
    </w:p>
    <w:p>
      <w:pPr>
        <w:jc w:val="both"/>
        <w:ind w:left="658" w:hanging="657"/>
        <w:spacing w:after="0" w:line="265" w:lineRule="auto"/>
        <w:tabs>
          <w:tab w:leader="none" w:pos="658" w:val="left"/>
        </w:tabs>
        <w:numPr>
          <w:ilvl w:val="1"/>
          <w:numId w:val="29"/>
        </w:numPr>
        <w:rPr>
          <w:rFonts w:ascii="Arial" w:cs="Arial" w:eastAsia="Arial" w:hAnsi="Arial"/>
          <w:sz w:val="16"/>
          <w:szCs w:val="16"/>
          <w:color w:val="auto"/>
        </w:rPr>
      </w:pPr>
      <w:r>
        <w:rPr>
          <w:rFonts w:ascii="Arial" w:cs="Arial" w:eastAsia="Arial" w:hAnsi="Arial"/>
          <w:sz w:val="16"/>
          <w:szCs w:val="16"/>
          <w:color w:val="auto"/>
        </w:rPr>
        <w:t>“Offering Period” shall mean, a period of approximately three (3) months, commencing on the first Trading Day on or after March 1, June 1, September 1 and December 1 and terminating on the last Trading Day in the period ending the following May 31, August 31, November 30 and January 31, respectively, during which options granted pursuant to the Plan may be exercised. The duration, commencement and termination of Offering Periods may be changed by the Administrator pursuant to Section 4 of the Plan.</w:t>
      </w:r>
    </w:p>
    <w:p>
      <w:pPr>
        <w:spacing w:after="0" w:line="213" w:lineRule="exact"/>
        <w:rPr>
          <w:rFonts w:ascii="Arial" w:cs="Arial" w:eastAsia="Arial" w:hAnsi="Arial"/>
          <w:sz w:val="16"/>
          <w:szCs w:val="16"/>
          <w:color w:val="auto"/>
        </w:rPr>
      </w:pPr>
    </w:p>
    <w:p>
      <w:pPr>
        <w:ind w:left="638" w:hanging="636"/>
        <w:spacing w:after="0"/>
        <w:tabs>
          <w:tab w:leader="none" w:pos="638" w:val="left"/>
        </w:tabs>
        <w:numPr>
          <w:ilvl w:val="1"/>
          <w:numId w:val="29"/>
        </w:numPr>
        <w:rPr>
          <w:rFonts w:ascii="Arial" w:cs="Arial" w:eastAsia="Arial" w:hAnsi="Arial"/>
          <w:sz w:val="16"/>
          <w:szCs w:val="16"/>
          <w:color w:val="auto"/>
        </w:rPr>
      </w:pPr>
      <w:r>
        <w:rPr>
          <w:rFonts w:ascii="Arial" w:cs="Arial" w:eastAsia="Arial" w:hAnsi="Arial"/>
          <w:sz w:val="16"/>
          <w:szCs w:val="16"/>
          <w:color w:val="auto"/>
        </w:rPr>
        <w:t>“Participant” shall mean an Employee who elects to participate in the Plan for the applicable Offering Period.</w:t>
      </w:r>
    </w:p>
    <w:p>
      <w:pPr>
        <w:spacing w:after="0" w:line="261" w:lineRule="exact"/>
        <w:rPr>
          <w:rFonts w:ascii="Arial" w:cs="Arial" w:eastAsia="Arial" w:hAnsi="Arial"/>
          <w:sz w:val="16"/>
          <w:szCs w:val="16"/>
          <w:color w:val="auto"/>
        </w:rPr>
      </w:pPr>
    </w:p>
    <w:p>
      <w:pPr>
        <w:ind w:left="638" w:hanging="637"/>
        <w:spacing w:after="0"/>
        <w:tabs>
          <w:tab w:leader="none" w:pos="638" w:val="left"/>
        </w:tabs>
        <w:numPr>
          <w:ilvl w:val="1"/>
          <w:numId w:val="29"/>
        </w:numPr>
        <w:rPr>
          <w:rFonts w:ascii="Arial" w:cs="Arial" w:eastAsia="Arial" w:hAnsi="Arial"/>
          <w:sz w:val="16"/>
          <w:szCs w:val="16"/>
          <w:color w:val="auto"/>
        </w:rPr>
      </w:pPr>
      <w:r>
        <w:rPr>
          <w:rFonts w:ascii="Arial" w:cs="Arial" w:eastAsia="Arial" w:hAnsi="Arial"/>
          <w:sz w:val="16"/>
          <w:szCs w:val="16"/>
          <w:color w:val="auto"/>
        </w:rPr>
        <w:t>“Plan” shall mean this 2011 Employee Stock Purchase Plan, as amended from time to time.</w:t>
      </w:r>
    </w:p>
    <w:p>
      <w:pPr>
        <w:spacing w:after="0" w:line="261" w:lineRule="exact"/>
        <w:rPr>
          <w:rFonts w:ascii="Arial" w:cs="Arial" w:eastAsia="Arial" w:hAnsi="Arial"/>
          <w:sz w:val="16"/>
          <w:szCs w:val="16"/>
          <w:color w:val="auto"/>
        </w:rPr>
      </w:pPr>
    </w:p>
    <w:p>
      <w:pPr>
        <w:jc w:val="both"/>
        <w:ind w:left="658" w:right="20" w:hanging="657"/>
        <w:spacing w:after="0" w:line="265" w:lineRule="auto"/>
        <w:tabs>
          <w:tab w:leader="none" w:pos="653" w:val="left"/>
        </w:tabs>
        <w:numPr>
          <w:ilvl w:val="1"/>
          <w:numId w:val="29"/>
        </w:numPr>
        <w:rPr>
          <w:rFonts w:ascii="Arial" w:cs="Arial" w:eastAsia="Arial" w:hAnsi="Arial"/>
          <w:sz w:val="16"/>
          <w:szCs w:val="16"/>
          <w:color w:val="auto"/>
        </w:rPr>
      </w:pPr>
      <w:r>
        <w:rPr>
          <w:rFonts w:ascii="Arial" w:cs="Arial" w:eastAsia="Arial" w:hAnsi="Arial"/>
          <w:sz w:val="16"/>
          <w:szCs w:val="16"/>
          <w:color w:val="auto"/>
        </w:rPr>
        <w:t>“Purchase Price” shall mean an amount equal to ninety-five (95%) of the Fair Market Value of a share of Common Stock on the Exercise Date. For any Offering that has not yet commenced, the Administrator, in its discretion and on a uniform and nondiscriminatory basis or as otherwise permitted by Treasury Regulation Section 1.423-2, may determine that the Purchase Price will equal a different percentage of Fair Market Value. However, in no event shall the Purchase Price be less than eighty-five percent (85%) of the lower of:</w:t>
      </w:r>
    </w:p>
    <w:p>
      <w:pPr>
        <w:spacing w:after="0" w:line="213" w:lineRule="exact"/>
        <w:rPr>
          <w:rFonts w:ascii="Arial" w:cs="Arial" w:eastAsia="Arial" w:hAnsi="Arial"/>
          <w:sz w:val="16"/>
          <w:szCs w:val="16"/>
          <w:color w:val="auto"/>
        </w:rPr>
      </w:pPr>
    </w:p>
    <w:p>
      <w:pPr>
        <w:ind w:left="1298" w:hanging="649"/>
        <w:spacing w:after="0"/>
        <w:tabs>
          <w:tab w:leader="none" w:pos="1298" w:val="left"/>
        </w:tabs>
        <w:numPr>
          <w:ilvl w:val="2"/>
          <w:numId w:val="29"/>
        </w:numPr>
        <w:rPr>
          <w:rFonts w:ascii="Arial" w:cs="Arial" w:eastAsia="Arial" w:hAnsi="Arial"/>
          <w:sz w:val="16"/>
          <w:szCs w:val="16"/>
          <w:color w:val="auto"/>
        </w:rPr>
      </w:pPr>
      <w:r>
        <w:rPr>
          <w:rFonts w:ascii="Arial" w:cs="Arial" w:eastAsia="Arial" w:hAnsi="Arial"/>
          <w:sz w:val="16"/>
          <w:szCs w:val="16"/>
          <w:color w:val="auto"/>
        </w:rPr>
        <w:t>the closing price per share of Common Stock on the New York Stock Exchange on the applicable Enrollment Date; or</w:t>
      </w:r>
    </w:p>
    <w:p>
      <w:pPr>
        <w:spacing w:after="0" w:line="261" w:lineRule="exact"/>
        <w:rPr>
          <w:rFonts w:ascii="Arial" w:cs="Arial" w:eastAsia="Arial" w:hAnsi="Arial"/>
          <w:sz w:val="16"/>
          <w:szCs w:val="16"/>
          <w:color w:val="auto"/>
        </w:rPr>
      </w:pPr>
    </w:p>
    <w:p>
      <w:pPr>
        <w:ind w:left="1298" w:hanging="649"/>
        <w:spacing w:after="0"/>
        <w:tabs>
          <w:tab w:leader="none" w:pos="1298" w:val="left"/>
        </w:tabs>
        <w:numPr>
          <w:ilvl w:val="2"/>
          <w:numId w:val="29"/>
        </w:numPr>
        <w:rPr>
          <w:rFonts w:ascii="Arial" w:cs="Arial" w:eastAsia="Arial" w:hAnsi="Arial"/>
          <w:sz w:val="16"/>
          <w:szCs w:val="16"/>
          <w:color w:val="auto"/>
        </w:rPr>
      </w:pPr>
      <w:r>
        <w:rPr>
          <w:rFonts w:ascii="Arial" w:cs="Arial" w:eastAsia="Arial" w:hAnsi="Arial"/>
          <w:sz w:val="16"/>
          <w:szCs w:val="16"/>
          <w:color w:val="auto"/>
        </w:rPr>
        <w:t>the closing price per share of Common Stock on the New York Stock Exchange on the applicable Exercise Date.</w:t>
      </w:r>
    </w:p>
    <w:p>
      <w:pPr>
        <w:spacing w:after="0" w:line="261" w:lineRule="exact"/>
        <w:rPr>
          <w:rFonts w:ascii="Arial" w:cs="Arial" w:eastAsia="Arial" w:hAnsi="Arial"/>
          <w:sz w:val="16"/>
          <w:szCs w:val="16"/>
          <w:color w:val="auto"/>
        </w:rPr>
      </w:pPr>
    </w:p>
    <w:p>
      <w:pPr>
        <w:jc w:val="both"/>
        <w:ind w:left="658" w:hanging="657"/>
        <w:spacing w:after="0" w:line="287" w:lineRule="auto"/>
        <w:tabs>
          <w:tab w:leader="none" w:pos="653" w:val="left"/>
        </w:tabs>
        <w:numPr>
          <w:ilvl w:val="1"/>
          <w:numId w:val="29"/>
        </w:numPr>
        <w:rPr>
          <w:rFonts w:ascii="Arial" w:cs="Arial" w:eastAsia="Arial" w:hAnsi="Arial"/>
          <w:sz w:val="16"/>
          <w:szCs w:val="16"/>
          <w:color w:val="auto"/>
        </w:rPr>
      </w:pPr>
      <w:r>
        <w:rPr>
          <w:rFonts w:ascii="Arial" w:cs="Arial" w:eastAsia="Arial" w:hAnsi="Arial"/>
          <w:sz w:val="16"/>
          <w:szCs w:val="16"/>
          <w:color w:val="auto"/>
        </w:rPr>
        <w:t>“Reserves” shall mean the number of shares of Common Stock covered by each option under the Plan that have not yet been exercised and the number of shares of Common Stock which have been authorized for issuance under the Plan but not yet placed under option.</w:t>
      </w:r>
    </w:p>
    <w:p>
      <w:pPr>
        <w:spacing w:after="0" w:line="396" w:lineRule="exact"/>
        <w:rPr>
          <w:rFonts w:ascii="Arial" w:cs="Arial" w:eastAsia="Arial" w:hAnsi="Arial"/>
          <w:sz w:val="16"/>
          <w:szCs w:val="16"/>
          <w:color w:val="auto"/>
        </w:rPr>
      </w:pPr>
    </w:p>
    <w:p>
      <w:pPr>
        <w:jc w:val="both"/>
        <w:ind w:left="658" w:hanging="657"/>
        <w:spacing w:after="0" w:line="275" w:lineRule="auto"/>
        <w:tabs>
          <w:tab w:leader="none" w:pos="658" w:val="left"/>
        </w:tabs>
        <w:numPr>
          <w:ilvl w:val="1"/>
          <w:numId w:val="29"/>
        </w:numPr>
        <w:rPr>
          <w:rFonts w:ascii="Arial" w:cs="Arial" w:eastAsia="Arial" w:hAnsi="Arial"/>
          <w:sz w:val="16"/>
          <w:szCs w:val="16"/>
          <w:color w:val="auto"/>
        </w:rPr>
      </w:pPr>
      <w:r>
        <w:rPr>
          <w:rFonts w:ascii="Arial" w:cs="Arial" w:eastAsia="Arial" w:hAnsi="Arial"/>
          <w:sz w:val="16"/>
          <w:szCs w:val="16"/>
          <w:color w:val="auto"/>
        </w:rPr>
        <w:t>“Subsidiary” shall mean any corporation in an unbroken chain of corporations beginning with the Company if each of the corporations other than the last corporation in the unbroken chain then owns stock possessing fifty percent (50%) or more of the total combined voting power of all classes of stock in one of the other corporations in such chain.</w:t>
      </w:r>
    </w:p>
    <w:p>
      <w:pPr>
        <w:spacing w:after="0" w:line="204" w:lineRule="exact"/>
        <w:rPr>
          <w:rFonts w:ascii="Arial" w:cs="Arial" w:eastAsia="Arial" w:hAnsi="Arial"/>
          <w:sz w:val="16"/>
          <w:szCs w:val="16"/>
          <w:color w:val="auto"/>
        </w:rPr>
      </w:pPr>
    </w:p>
    <w:p>
      <w:pPr>
        <w:ind w:left="638" w:hanging="638"/>
        <w:spacing w:after="0"/>
        <w:tabs>
          <w:tab w:leader="none" w:pos="638" w:val="left"/>
        </w:tabs>
        <w:numPr>
          <w:ilvl w:val="1"/>
          <w:numId w:val="29"/>
        </w:numPr>
        <w:rPr>
          <w:rFonts w:ascii="Arial" w:cs="Arial" w:eastAsia="Arial" w:hAnsi="Arial"/>
          <w:sz w:val="16"/>
          <w:szCs w:val="16"/>
          <w:color w:val="auto"/>
        </w:rPr>
      </w:pPr>
      <w:r>
        <w:rPr>
          <w:rFonts w:ascii="Arial" w:cs="Arial" w:eastAsia="Arial" w:hAnsi="Arial"/>
          <w:sz w:val="16"/>
          <w:szCs w:val="16"/>
          <w:color w:val="auto"/>
        </w:rPr>
        <w:t>“Trading Day” shall mean a day on which the New York Stock Exchange is open for trading.</w:t>
      </w:r>
    </w:p>
    <w:p>
      <w:pPr>
        <w:spacing w:after="0" w:line="261" w:lineRule="exact"/>
        <w:rPr>
          <w:rFonts w:ascii="Arial" w:cs="Arial" w:eastAsia="Arial" w:hAnsi="Arial"/>
          <w:sz w:val="16"/>
          <w:szCs w:val="16"/>
          <w:color w:val="auto"/>
        </w:rPr>
      </w:pPr>
    </w:p>
    <w:p>
      <w:pPr>
        <w:jc w:val="both"/>
        <w:ind w:left="658" w:right="20" w:hanging="657"/>
        <w:spacing w:after="0" w:line="275" w:lineRule="auto"/>
        <w:tabs>
          <w:tab w:leader="none" w:pos="648" w:val="left"/>
        </w:tabs>
        <w:numPr>
          <w:ilvl w:val="1"/>
          <w:numId w:val="29"/>
        </w:numPr>
        <w:rPr>
          <w:rFonts w:ascii="Arial" w:cs="Arial" w:eastAsia="Arial" w:hAnsi="Arial"/>
          <w:sz w:val="16"/>
          <w:szCs w:val="16"/>
          <w:color w:val="auto"/>
        </w:rPr>
      </w:pPr>
      <w:r>
        <w:rPr>
          <w:rFonts w:ascii="Arial" w:cs="Arial" w:eastAsia="Arial" w:hAnsi="Arial"/>
          <w:sz w:val="16"/>
          <w:szCs w:val="16"/>
          <w:color w:val="auto"/>
        </w:rPr>
        <w:t>“Treasury Regulations”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204" w:lineRule="exact"/>
        <w:rPr>
          <w:rFonts w:ascii="Arial" w:cs="Arial" w:eastAsia="Arial" w:hAnsi="Arial"/>
          <w:sz w:val="16"/>
          <w:szCs w:val="16"/>
          <w:color w:val="auto"/>
        </w:rPr>
      </w:pPr>
    </w:p>
    <w:p>
      <w:pPr>
        <w:ind w:left="658" w:hanging="658"/>
        <w:spacing w:after="0"/>
        <w:tabs>
          <w:tab w:leader="none" w:pos="658"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w:t>
      </w:r>
    </w:p>
    <w:p>
      <w:pPr>
        <w:spacing w:after="0" w:line="248" w:lineRule="exact"/>
        <w:rPr>
          <w:rFonts w:ascii="Arial" w:cs="Arial" w:eastAsia="Arial" w:hAnsi="Arial"/>
          <w:sz w:val="16"/>
          <w:szCs w:val="16"/>
          <w:b w:val="1"/>
          <w:bCs w:val="1"/>
          <w:color w:val="auto"/>
        </w:rPr>
      </w:pPr>
    </w:p>
    <w:p>
      <w:pPr>
        <w:ind w:left="658" w:right="20" w:hanging="657"/>
        <w:spacing w:after="0" w:line="304" w:lineRule="auto"/>
        <w:tabs>
          <w:tab w:leader="none" w:pos="653"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Employee who shall be employed by the Company or a Designated Subsidiary on a given Enrollment Date shall be eligible to participate in the Plan, except as otherwise provided in this Section 3 of the Plan.</w:t>
      </w:r>
    </w:p>
    <w:p>
      <w:pPr>
        <w:spacing w:after="0" w:line="249" w:lineRule="exact"/>
        <w:rPr>
          <w:rFonts w:ascii="Arial" w:cs="Arial" w:eastAsia="Arial" w:hAnsi="Arial"/>
          <w:sz w:val="16"/>
          <w:szCs w:val="16"/>
          <w:color w:val="auto"/>
        </w:rPr>
      </w:pPr>
    </w:p>
    <w:p>
      <w:pPr>
        <w:jc w:val="both"/>
        <w:ind w:left="658" w:hanging="656"/>
        <w:spacing w:after="0" w:line="257" w:lineRule="auto"/>
        <w:tabs>
          <w:tab w:leader="none" w:pos="653"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provisions of the Plan to the contrary notwithstanding, no Employee shall be granted an option under the Plan (i) to the extent, immediately after the grant, such Employee (or any other person whose stock would be attributed to such Employee pursuant to Section 424(d) of the Code) would own capital stock of the Company and/or hold outstanding options to purchase such stock possessing five percent (5%) or more of the total combined voting power or value of all classes of the capital stock of the Company or of any Subsidiary, or (ii) to the extent his or her rights to purchase stock under all employee stock purchase plans of the Company and its subsidiaries to accrue at a rate which exceeds Twenty-Five Thousand Dollars ($25,000) worth of stock (determined at the fair market value of the shares at the time such option is granted) for each calendar year in which such option is outstanding at any time, as same shall automatically be adjusted if this dollar amount set forth in the Code is adjusted.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18"/>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378"/>
          </w:cols>
          <w:pgMar w:left="1082" w:top="760" w:right="439" w:bottom="1440" w:gutter="0" w:footer="0" w:header="0"/>
        </w:sectPr>
      </w:pPr>
    </w:p>
    <w:bookmarkStart w:id="41" w:name="page42"/>
    <w:bookmarkEnd w:id="41"/>
    <w:p>
      <w:pPr>
        <w:jc w:val="both"/>
        <w:ind w:left="1300" w:hanging="657"/>
        <w:spacing w:after="0" w:line="256"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Administrator, in its discretion, from time to time may, prior to an Enrollment Date for all options to be granted on such Enrollment Date in an Offering, determine, on a uniform and nondiscriminatory basis or as otherwise permitted by Treasury Regulation Section 1.423-2, that an Employee shall not be an eligible Employee if he or she: (i) has not completed a required length of service with the Company, if any, as such length may be determined by the Administrator in its discretion (such length of required service not to exceed two (2) years),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(iv) is a highly compensated employee under Section 414(q) of the Code,</w:t>
      </w:r>
    </w:p>
    <w:p>
      <w:pPr>
        <w:spacing w:after="0" w:line="1" w:lineRule="exact"/>
        <w:rPr>
          <w:rFonts w:ascii="Arial" w:cs="Arial" w:eastAsia="Arial" w:hAnsi="Arial"/>
          <w:sz w:val="16"/>
          <w:szCs w:val="16"/>
          <w:color w:val="auto"/>
        </w:rPr>
      </w:pPr>
    </w:p>
    <w:p>
      <w:pPr>
        <w:jc w:val="both"/>
        <w:ind w:left="1300" w:hanging="9"/>
        <w:spacing w:after="0" w:line="256" w:lineRule="auto"/>
        <w:tabs>
          <w:tab w:leader="none" w:pos="1545" w:val="left"/>
        </w:tabs>
        <w:numPr>
          <w:ilvl w:val="2"/>
          <w:numId w:val="31"/>
        </w:numPr>
        <w:rPr>
          <w:rFonts w:ascii="Arial" w:cs="Arial" w:eastAsia="Arial" w:hAnsi="Arial"/>
          <w:sz w:val="16"/>
          <w:szCs w:val="16"/>
          <w:color w:val="auto"/>
        </w:rPr>
      </w:pPr>
      <w:r>
        <w:rPr>
          <w:rFonts w:ascii="Arial" w:cs="Arial" w:eastAsia="Arial" w:hAnsi="Arial"/>
          <w:sz w:val="16"/>
          <w:szCs w:val="16"/>
          <w:color w:val="auto"/>
        </w:rPr>
        <w:t>is a highly compensated employee under Section 414(q) of the Code with compensation above a certain level or who is an officer or subject to the disclosure requirements of Section 16(a) of the 1934 Act, provided any exclusion be applied with respect to an individual Offering in a manner complying with Treasury Regulation Section 1.423-2(e)(2)(ii). Further, and notwithstanding the foregoing, Employees who are citizens or residents of a non-U.S. jurisdiction (without regard to whether they also are citizens or residents of the United States or resident aliens (within the meaning of Section 7701(b)(1)(A) of the Code)) may be excluded from the Plan or an Offering if the participation of such Employees is prohibited under the laws of the applicable jurisdiction or if complying with the laws of the applicable jurisdiction would cause the Plan or an Offering to violate Section 423 of the Code.</w:t>
      </w:r>
    </w:p>
    <w:p>
      <w:pPr>
        <w:spacing w:after="0" w:line="220" w:lineRule="exact"/>
        <w:rPr>
          <w:rFonts w:ascii="Arial" w:cs="Arial" w:eastAsia="Arial" w:hAnsi="Arial"/>
          <w:sz w:val="16"/>
          <w:szCs w:val="16"/>
          <w:color w:val="auto"/>
        </w:rPr>
      </w:pPr>
    </w:p>
    <w:p>
      <w:pPr>
        <w:ind w:left="1300" w:hanging="658"/>
        <w:spacing w:after="0"/>
        <w:tabs>
          <w:tab w:leader="none" w:pos="130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OFFERING PERIODS.</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Plan shall be implemented by consecutive Offering Periods with a new Offering Period commencing on the first Trading Day on or after March 1, June 1, September 1 and December 1 each year. The Administrator, in its discretion, shall have the power: (i) to change the duration, commencement and termination of each Offering Period if such change is announced prior to the scheduled beginning of the Offering Period, and (ii) to implement overlapping Offering Periods. Notwithstanding any contrary provision of the Plan, no Offering Period under the Plan shall have a duration longer than twenty-seven (27) months.</w:t>
      </w:r>
    </w:p>
    <w:p>
      <w:pPr>
        <w:spacing w:after="0" w:line="213" w:lineRule="exact"/>
        <w:rPr>
          <w:sz w:val="20"/>
          <w:szCs w:val="20"/>
          <w:color w:val="auto"/>
        </w:rPr>
      </w:pPr>
    </w:p>
    <w:p>
      <w:pPr>
        <w:ind w:left="1300" w:hanging="658"/>
        <w:spacing w:after="0"/>
        <w:tabs>
          <w:tab w:leader="none" w:pos="130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PARTICIPATION.</w:t>
      </w:r>
    </w:p>
    <w:p>
      <w:pPr>
        <w:spacing w:after="0" w:line="248" w:lineRule="exact"/>
        <w:rPr>
          <w:rFonts w:ascii="Arial" w:cs="Arial" w:eastAsia="Arial" w:hAnsi="Arial"/>
          <w:sz w:val="16"/>
          <w:szCs w:val="16"/>
          <w:b w:val="1"/>
          <w:bCs w:val="1"/>
          <w:color w:val="auto"/>
        </w:rPr>
      </w:pPr>
    </w:p>
    <w:p>
      <w:pPr>
        <w:ind w:left="1300" w:hanging="657"/>
        <w:spacing w:after="0" w:line="286" w:lineRule="auto"/>
        <w:tabs>
          <w:tab w:leader="none" w:pos="1295"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 eligible Employee may become a Participant in the Plan for an Offering by, prior to the applicable Enrollment Date, completing a subscription agreement in such form and manner as the Company may specify from time to time.</w:t>
      </w:r>
    </w:p>
    <w:p>
      <w:pPr>
        <w:spacing w:after="0" w:line="196" w:lineRule="exact"/>
        <w:rPr>
          <w:rFonts w:ascii="Arial" w:cs="Arial" w:eastAsia="Arial" w:hAnsi="Arial"/>
          <w:sz w:val="16"/>
          <w:szCs w:val="16"/>
          <w:color w:val="auto"/>
        </w:rPr>
      </w:pPr>
    </w:p>
    <w:p>
      <w:pPr>
        <w:jc w:val="both"/>
        <w:ind w:left="1300" w:right="20" w:hanging="657"/>
        <w:spacing w:after="0" w:line="275" w:lineRule="auto"/>
        <w:tabs>
          <w:tab w:leader="none" w:pos="1295" w:val="left"/>
        </w:tabs>
        <w:numPr>
          <w:ilvl w:val="1"/>
          <w:numId w:val="33"/>
        </w:numPr>
        <w:rPr>
          <w:rFonts w:ascii="Arial" w:cs="Arial" w:eastAsia="Arial" w:hAnsi="Arial"/>
          <w:sz w:val="16"/>
          <w:szCs w:val="16"/>
          <w:color w:val="auto"/>
        </w:rPr>
      </w:pPr>
      <w:r>
        <w:rPr>
          <w:rFonts w:ascii="Arial" w:cs="Arial" w:eastAsia="Arial" w:hAnsi="Arial"/>
          <w:sz w:val="16"/>
          <w:szCs w:val="16"/>
          <w:color w:val="auto"/>
        </w:rPr>
        <w:t>Payroll deductions for a Participant shall commence on the first payroll following the Enrollment Date and shall end on the last payroll in the Offering Period to which such authorization is applicable, unless sooner terminated by the Participant as provided in Section 10 hereof.</w:t>
      </w:r>
    </w:p>
    <w:p>
      <w:pPr>
        <w:spacing w:after="0" w:line="204" w:lineRule="exact"/>
        <w:rPr>
          <w:rFonts w:ascii="Arial" w:cs="Arial" w:eastAsia="Arial" w:hAnsi="Arial"/>
          <w:sz w:val="16"/>
          <w:szCs w:val="16"/>
          <w:color w:val="auto"/>
        </w:rPr>
      </w:pPr>
    </w:p>
    <w:p>
      <w:pPr>
        <w:ind w:left="1300" w:hanging="657"/>
        <w:spacing w:after="0" w:line="286"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Notwithstanding anything herein to the contrary, an Employee’s participation in the Plan shall be subject to all applicable Company policies that may be in effect from time to time, including, without limitation, the Company’s insider trading policy.</w:t>
      </w:r>
    </w:p>
    <w:p>
      <w:pPr>
        <w:spacing w:after="0" w:line="196" w:lineRule="exact"/>
        <w:rPr>
          <w:rFonts w:ascii="Arial" w:cs="Arial" w:eastAsia="Arial" w:hAnsi="Arial"/>
          <w:sz w:val="16"/>
          <w:szCs w:val="16"/>
          <w:color w:val="auto"/>
        </w:rPr>
      </w:pPr>
    </w:p>
    <w:p>
      <w:pPr>
        <w:ind w:left="1300" w:hanging="658"/>
        <w:spacing w:after="0"/>
        <w:tabs>
          <w:tab w:leader="none" w:pos="130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PAYROLL DEDUCTIONS.</w:t>
      </w:r>
    </w:p>
    <w:p>
      <w:pPr>
        <w:spacing w:after="0" w:line="248" w:lineRule="exact"/>
        <w:rPr>
          <w:rFonts w:ascii="Arial" w:cs="Arial" w:eastAsia="Arial" w:hAnsi="Arial"/>
          <w:sz w:val="16"/>
          <w:szCs w:val="16"/>
          <w:b w:val="1"/>
          <w:bCs w:val="1"/>
          <w:color w:val="auto"/>
        </w:rPr>
      </w:pPr>
    </w:p>
    <w:p>
      <w:pPr>
        <w:jc w:val="both"/>
        <w:ind w:left="1300" w:hanging="657"/>
        <w:spacing w:after="0" w:line="260" w:lineRule="auto"/>
        <w:tabs>
          <w:tab w:leader="none" w:pos="1295" w:val="left"/>
        </w:tabs>
        <w:numPr>
          <w:ilvl w:val="1"/>
          <w:numId w:val="33"/>
        </w:numPr>
        <w:rPr>
          <w:rFonts w:ascii="Arial" w:cs="Arial" w:eastAsia="Arial" w:hAnsi="Arial"/>
          <w:sz w:val="16"/>
          <w:szCs w:val="16"/>
          <w:color w:val="auto"/>
        </w:rPr>
      </w:pPr>
      <w:r>
        <w:rPr>
          <w:rFonts w:ascii="Arial" w:cs="Arial" w:eastAsia="Arial" w:hAnsi="Arial"/>
          <w:sz w:val="16"/>
          <w:szCs w:val="16"/>
          <w:color w:val="auto"/>
        </w:rPr>
        <w:t>At the time a Participant files his or her subscription agreement, he or she shall elect to have payroll deductions made on each pay day during the Offering Period in an amount not less than one percent (1%) and not exceeding ten percent (10%) (or such greater or lesser percentage or dollar amount that the Administrator may establish from time to time, in its discretion and on a uniform and nondiscriminatory basis or as otherwise permitted by Treasury Regulation Section 1.423-2) of the Compensation that he or she receives on each pay day during the Offering Period. If permitted by the Administrator, a Participant instead may elect to have a specific amount withheld or to contribute a specific amount, in dollars or in the applicable local currency, subject to such uniform and nondiscriminatory rules (or as otherwise permitted by Treasury Regulation Section 1.423-2) as the Administrator in its discretion may specify.</w:t>
      </w:r>
    </w:p>
    <w:p>
      <w:pPr>
        <w:spacing w:after="0" w:line="200" w:lineRule="exact"/>
        <w:rPr>
          <w:rFonts w:ascii="Arial" w:cs="Arial" w:eastAsia="Arial" w:hAnsi="Arial"/>
          <w:sz w:val="16"/>
          <w:szCs w:val="16"/>
          <w:color w:val="auto"/>
        </w:rPr>
      </w:pPr>
    </w:p>
    <w:p>
      <w:pPr>
        <w:spacing w:after="0" w:line="213" w:lineRule="exact"/>
        <w:rPr>
          <w:rFonts w:ascii="Arial" w:cs="Arial" w:eastAsia="Arial" w:hAnsi="Arial"/>
          <w:sz w:val="16"/>
          <w:szCs w:val="16"/>
          <w:color w:val="auto"/>
        </w:rPr>
      </w:pPr>
    </w:p>
    <w:p>
      <w:pPr>
        <w:ind w:left="1300" w:right="20" w:hanging="657"/>
        <w:spacing w:after="0" w:line="286" w:lineRule="auto"/>
        <w:tabs>
          <w:tab w:leader="none" w:pos="1295"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payroll deductions made for a Participant shall be credited to his or her account under the Plan and will be withheld in whole percentages only.</w:t>
      </w:r>
    </w:p>
    <w:p>
      <w:pPr>
        <w:spacing w:after="0" w:line="277" w:lineRule="exact"/>
        <w:rPr>
          <w:rFonts w:ascii="Arial" w:cs="Arial" w:eastAsia="Arial" w:hAnsi="Arial"/>
          <w:sz w:val="16"/>
          <w:szCs w:val="16"/>
          <w:color w:val="auto"/>
        </w:rPr>
      </w:pPr>
    </w:p>
    <w:p>
      <w:pPr>
        <w:jc w:val="both"/>
        <w:ind w:left="1300" w:hanging="657"/>
        <w:spacing w:after="0" w:line="265" w:lineRule="auto"/>
        <w:tabs>
          <w:tab w:leader="none" w:pos="1299" w:val="left"/>
        </w:tabs>
        <w:numPr>
          <w:ilvl w:val="1"/>
          <w:numId w:val="33"/>
        </w:numPr>
        <w:rPr>
          <w:rFonts w:ascii="Arial" w:cs="Arial" w:eastAsia="Arial" w:hAnsi="Arial"/>
          <w:sz w:val="16"/>
          <w:szCs w:val="16"/>
          <w:color w:val="auto"/>
        </w:rPr>
      </w:pPr>
      <w:r>
        <w:rPr>
          <w:rFonts w:ascii="Arial" w:cs="Arial" w:eastAsia="Arial" w:hAnsi="Arial"/>
          <w:sz w:val="16"/>
          <w:szCs w:val="16"/>
          <w:color w:val="auto"/>
        </w:rPr>
        <w:t>A Participant may discontinue his or her participation in the Plan as provided in Section 10 hereof, or may increase or decrease the rate of his or her payroll deductions during the Offering Period by completing or filing with the Company a new subscription agreement authorizing a change in payroll deduction rate. A Participant may not change his or her payroll deduction rate, either by increasing or decreasing such rate, more than once during an Offering Period. The Administrator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20"/>
          </w:cols>
          <w:pgMar w:left="440" w:top="949" w:right="439" w:bottom="1440" w:gutter="0" w:footer="0" w:header="0"/>
        </w:sectPr>
      </w:pPr>
    </w:p>
    <w:bookmarkStart w:id="42" w:name="page43"/>
    <w:bookmarkEnd w:id="42"/>
    <w:p>
      <w:pPr>
        <w:jc w:val="both"/>
        <w:ind w:left="1305" w:right="20"/>
        <w:spacing w:after="0" w:line="271" w:lineRule="auto"/>
        <w:rPr>
          <w:sz w:val="20"/>
          <w:szCs w:val="20"/>
          <w:color w:val="auto"/>
        </w:rPr>
      </w:pPr>
      <w:r>
        <w:rPr>
          <w:rFonts w:ascii="Arial" w:cs="Arial" w:eastAsia="Arial" w:hAnsi="Arial"/>
          <w:sz w:val="16"/>
          <w:szCs w:val="16"/>
          <w:color w:val="auto"/>
        </w:rPr>
        <w:t>may, in its discretion, adjust the number of participation rate changes permitted during any Offering Period. The change in rate shall be effective with the first full payroll period following ten (10) business days after the Company’s receipt of the new subscription agreement unless the Company elects to process a given change in participation more quickly. A Participant’s subscription agreement shall remain in effect for successive Offering Periods unless terminated as provided in Section 10 hereof.</w:t>
      </w:r>
    </w:p>
    <w:p>
      <w:pPr>
        <w:spacing w:after="0" w:line="208" w:lineRule="exact"/>
        <w:rPr>
          <w:sz w:val="20"/>
          <w:szCs w:val="20"/>
          <w:color w:val="auto"/>
        </w:rPr>
      </w:pPr>
    </w:p>
    <w:p>
      <w:pPr>
        <w:jc w:val="both"/>
        <w:ind w:left="1305" w:hanging="657"/>
        <w:spacing w:after="0" w:line="257"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Section 423(b)(8) of the Code as the same may be amended and Section 3(b) hereof, a Participant’s payroll deductions may be decreased to 0% at such time during any Offering Period which is scheduled to end during the current calendar year (the “Current Period”) that the aggregate of all payroll deductions that were previously used to purchase stock under the Plan in a prior Offering Period which ended during that calendar year plus all payroll deductions accumulated with respect to the Current Period equal $23,750, as the same shall automatically be adjusted if the dollar amount set forth in the Code is adjusted. Payroll deductions shall recommence at the rate provided in such Participant’s subscription agreement at the beginning of the first Offering Period that is scheduled to end in the following calendar year, unless terminated by the Participant as provided in Section 10 hereof.</w:t>
      </w:r>
    </w:p>
    <w:p>
      <w:pPr>
        <w:spacing w:after="0" w:line="219" w:lineRule="exact"/>
        <w:rPr>
          <w:sz w:val="20"/>
          <w:szCs w:val="20"/>
          <w:color w:val="auto"/>
        </w:rPr>
      </w:pPr>
    </w:p>
    <w:p>
      <w:pPr>
        <w:ind w:left="1305" w:hanging="657"/>
        <w:spacing w:after="0"/>
        <w:tabs>
          <w:tab w:leader="none" w:pos="1305"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GRANT OF OPTION.</w:t>
      </w:r>
    </w:p>
    <w:p>
      <w:pPr>
        <w:spacing w:after="0" w:line="262" w:lineRule="exact"/>
        <w:rPr>
          <w:sz w:val="20"/>
          <w:szCs w:val="20"/>
          <w:color w:val="auto"/>
        </w:rPr>
      </w:pPr>
    </w:p>
    <w:p>
      <w:pPr>
        <w:jc w:val="both"/>
        <w:ind w:left="5" w:firstLine="648"/>
        <w:spacing w:after="0" w:line="259" w:lineRule="auto"/>
        <w:rPr>
          <w:sz w:val="20"/>
          <w:szCs w:val="20"/>
          <w:color w:val="auto"/>
        </w:rPr>
      </w:pPr>
      <w:r>
        <w:rPr>
          <w:rFonts w:ascii="Arial" w:cs="Arial" w:eastAsia="Arial" w:hAnsi="Arial"/>
          <w:sz w:val="16"/>
          <w:szCs w:val="16"/>
          <w:color w:val="auto"/>
        </w:rPr>
        <w:t>On the Enrollment Date of each Offering Period, each eligible Employee participating in such Offering Period shall be granted an option to purchase on the Exercise Date of such Offering Period (at the applicable Purchase Price) up to a number of shares of Common Stock determined by dividing such Employee’s payroll deductions accumulated prior to such Exercise Date and retained in the Participant’s account as of the Exercise Date by the applicable Purchase Price; provided that in no event shall an Employee be permitted to purchase during each Offering Period more than a number of shares determined by dividing $25,000 by the number of Offering Periods per year, as the same shall be automatically adjusted upon any adjustments in the dollar amount set forth in the Code, by the Fair Market Value of a share of Common Stock on the Enrollment Date, and provided further that such purchase shall be subject to the limitations set forth in Sections 3(b) and 12 hereof. Exercise of the option shall occur as provided in Section 8 hereof, unless the Participant has withdrawn pursuant to Section 10 hereof, and shall expire on the last day of the Offering Period.</w:t>
      </w:r>
    </w:p>
    <w:p>
      <w:pPr>
        <w:spacing w:after="0" w:line="221" w:lineRule="exact"/>
        <w:rPr>
          <w:sz w:val="20"/>
          <w:szCs w:val="20"/>
          <w:color w:val="auto"/>
        </w:rPr>
      </w:pPr>
    </w:p>
    <w:p>
      <w:pPr>
        <w:ind w:left="1305" w:hanging="658"/>
        <w:spacing w:after="0"/>
        <w:tabs>
          <w:tab w:leader="none" w:pos="1305"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EXERCISE OF OPTION.</w:t>
      </w:r>
    </w:p>
    <w:p>
      <w:pPr>
        <w:spacing w:after="0" w:line="262" w:lineRule="exact"/>
        <w:rPr>
          <w:sz w:val="20"/>
          <w:szCs w:val="20"/>
          <w:color w:val="auto"/>
        </w:rPr>
      </w:pPr>
    </w:p>
    <w:p>
      <w:pPr>
        <w:jc w:val="both"/>
        <w:ind w:left="5" w:firstLine="648"/>
        <w:spacing w:after="0" w:line="257" w:lineRule="auto"/>
        <w:rPr>
          <w:sz w:val="20"/>
          <w:szCs w:val="20"/>
          <w:color w:val="auto"/>
        </w:rPr>
      </w:pPr>
      <w:r>
        <w:rPr>
          <w:rFonts w:ascii="Arial" w:cs="Arial" w:eastAsia="Arial" w:hAnsi="Arial"/>
          <w:sz w:val="16"/>
          <w:szCs w:val="16"/>
          <w:color w:val="auto"/>
        </w:rPr>
        <w:t>Unless a Participant withdraws from the Plan as provided in Section 10 hereof, his or her option for the purchase of shares will be exercised automatically on the Exercise Date, and the maximum number of full shares subject to the option shall be purchased for such Participant at the applicable Purchase Price with the accumulated payroll deductions in his or her account. Unless otherwise determined by the Administrator prospectively for one or more future Offering Periods, no fractional shares of Common Stock shall be purchased under the Plan. Any payroll deductions or contributions accumulated in a Participant’s account that, after an Exercise Date, are not sufficient to purchase a full share shall, as determined by the Administrator, be</w:t>
      </w:r>
    </w:p>
    <w:p>
      <w:pPr>
        <w:spacing w:after="0" w:line="3" w:lineRule="exact"/>
        <w:rPr>
          <w:sz w:val="20"/>
          <w:szCs w:val="20"/>
          <w:color w:val="auto"/>
        </w:rPr>
      </w:pPr>
    </w:p>
    <w:p>
      <w:pPr>
        <w:jc w:val="both"/>
        <w:ind w:left="5" w:right="20" w:hanging="5"/>
        <w:spacing w:after="0" w:line="260" w:lineRule="auto"/>
        <w:tabs>
          <w:tab w:leader="none" w:pos="25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refunded to the Participant without interest, or (b) retained in the Participant’s account for the subsequent Offering Period, subject to earlier withdrawal by the Participant under Section 10. Effective for Offering Periods that begin on or after June 1, 2024, amounts insufficient to purchase a whole share will retained in the Participant’s account for the subsequent Offering Period, subject to earlier withdrawal by the Participant under Section 10. Any funds left over in a Participant’s account after an Exercise Date shall be returned to the Participant (without interest), except to the extent provided in the preceding two sentences. During a Participant’s lifetime, a Participant’s option to purchase shares hereunder is exercisable only by him or her.</w:t>
      </w:r>
    </w:p>
    <w:p>
      <w:pPr>
        <w:spacing w:after="0" w:line="216" w:lineRule="exact"/>
        <w:rPr>
          <w:sz w:val="20"/>
          <w:szCs w:val="20"/>
          <w:color w:val="auto"/>
        </w:rPr>
      </w:pPr>
    </w:p>
    <w:p>
      <w:pPr>
        <w:ind w:left="1305" w:hanging="658"/>
        <w:spacing w:after="0"/>
        <w:tabs>
          <w:tab w:leader="none" w:pos="1305"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DELIVERY.</w:t>
      </w:r>
    </w:p>
    <w:p>
      <w:pPr>
        <w:spacing w:after="0" w:line="248" w:lineRule="exact"/>
        <w:rPr>
          <w:sz w:val="20"/>
          <w:szCs w:val="20"/>
          <w:color w:val="auto"/>
        </w:rPr>
      </w:pPr>
    </w:p>
    <w:p>
      <w:pPr>
        <w:jc w:val="both"/>
        <w:ind w:left="5" w:right="20" w:firstLine="648"/>
        <w:spacing w:after="0" w:line="265" w:lineRule="auto"/>
        <w:rPr>
          <w:sz w:val="20"/>
          <w:szCs w:val="20"/>
          <w:color w:val="auto"/>
        </w:rPr>
      </w:pPr>
      <w:r>
        <w:rPr>
          <w:rFonts w:ascii="Arial" w:cs="Arial" w:eastAsia="Arial" w:hAnsi="Arial"/>
          <w:sz w:val="16"/>
          <w:szCs w:val="16"/>
          <w:color w:val="auto"/>
        </w:rPr>
        <w:t>As promptly as practicable after each Exercise Date on which a purchase of shares occurs, the Company shall have the shares purchased upon the exercise of the option listed in street name with a brokerage company of the Company’s choice (the “Broker of Deposit”).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w:t>
      </w:r>
    </w:p>
    <w:p>
      <w:pPr>
        <w:spacing w:after="0" w:line="213" w:lineRule="exact"/>
        <w:rPr>
          <w:sz w:val="20"/>
          <w:szCs w:val="20"/>
          <w:color w:val="auto"/>
        </w:rPr>
      </w:pPr>
    </w:p>
    <w:p>
      <w:pPr>
        <w:ind w:left="1285" w:hanging="638"/>
        <w:spacing w:after="0"/>
        <w:tabs>
          <w:tab w:leader="none" w:pos="1285"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WITHDRAWAL; TERMINATION OF EMPLOYMENT.</w:t>
      </w:r>
    </w:p>
    <w:p>
      <w:pPr>
        <w:spacing w:after="0" w:line="329" w:lineRule="exact"/>
        <w:rPr>
          <w:sz w:val="20"/>
          <w:szCs w:val="20"/>
          <w:color w:val="auto"/>
        </w:rPr>
      </w:pPr>
    </w:p>
    <w:p>
      <w:pPr>
        <w:jc w:val="both"/>
        <w:ind w:left="1305" w:right="40" w:hanging="656"/>
        <w:spacing w:after="0" w:line="260"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Participant may withdraw all the payroll deductions credited to his or her account and not yet used to exercise his or her option under the Plan at any time prior to the end of the month preceding the last month of the Offering Period by giving written notice to the Company in the form maintained by the Company from time to time. All of the Participant’s payroll deductions credited to his or her account will be paid to such Participant promptly after receipt of notice of withdrawal without interest and such Participant’s option for the Offering Period will be automatically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25"/>
          </w:cols>
          <w:pgMar w:left="435" w:top="760" w:right="439" w:bottom="1440" w:gutter="0" w:footer="0" w:header="0"/>
        </w:sectPr>
      </w:pPr>
    </w:p>
    <w:bookmarkStart w:id="43" w:name="page44"/>
    <w:bookmarkEnd w:id="43"/>
    <w:p>
      <w:pPr>
        <w:jc w:val="both"/>
        <w:ind w:left="1300" w:right="40"/>
        <w:spacing w:after="0" w:line="275" w:lineRule="auto"/>
        <w:rPr>
          <w:sz w:val="20"/>
          <w:szCs w:val="20"/>
          <w:color w:val="auto"/>
        </w:rPr>
      </w:pPr>
      <w:r>
        <w:rPr>
          <w:rFonts w:ascii="Arial" w:cs="Arial" w:eastAsia="Arial" w:hAnsi="Arial"/>
          <w:sz w:val="16"/>
          <w:szCs w:val="16"/>
          <w:color w:val="auto"/>
        </w:rPr>
        <w:t>terminated, and no further payroll deductions for the purchase of shares will be made for such Offering Period. If a Participant withdraws from an Offering Period, payroll deductions will not resume at the beginning of the succeeding Offering Period unless the Participant delivers to the Company a new subscription agreement. A Participant may not make a partial withdrawal of payroll deductions.</w:t>
      </w:r>
    </w:p>
    <w:p>
      <w:pPr>
        <w:spacing w:after="0" w:line="200" w:lineRule="exact"/>
        <w:rPr>
          <w:sz w:val="20"/>
          <w:szCs w:val="20"/>
          <w:color w:val="auto"/>
        </w:rPr>
      </w:pPr>
    </w:p>
    <w:p>
      <w:pPr>
        <w:spacing w:after="0" w:line="207" w:lineRule="exact"/>
        <w:rPr>
          <w:sz w:val="20"/>
          <w:szCs w:val="20"/>
          <w:color w:val="auto"/>
        </w:rPr>
      </w:pPr>
    </w:p>
    <w:p>
      <w:pPr>
        <w:jc w:val="both"/>
        <w:ind w:left="1300" w:right="20" w:hanging="657"/>
        <w:spacing w:after="0" w:line="265" w:lineRule="auto"/>
        <w:tabs>
          <w:tab w:leader="none" w:pos="12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Upon a Participant’s ceasing to be an Employee (as defined in Section 2(h) hereof), for any reason, he or she will be deemed to have elected to withdraw from the Plan and the payroll deductions credited to such Participant’s account during the Offering Period but not yet used to exercise the option will be returned to such Participant or, in the case of his or her death, to the person or persons entitled thereto under Section 14 hereof, and such Participant’s option will be automatically terminated.</w:t>
      </w:r>
    </w:p>
    <w:p>
      <w:pPr>
        <w:spacing w:after="0" w:line="213" w:lineRule="exact"/>
        <w:rPr>
          <w:rFonts w:ascii="Arial" w:cs="Arial" w:eastAsia="Arial" w:hAnsi="Arial"/>
          <w:sz w:val="16"/>
          <w:szCs w:val="16"/>
          <w:color w:val="auto"/>
        </w:rPr>
      </w:pPr>
    </w:p>
    <w:p>
      <w:pPr>
        <w:ind w:left="1280" w:hanging="637"/>
        <w:spacing w:after="0"/>
        <w:tabs>
          <w:tab w:leader="none" w:pos="1280" w:val="left"/>
        </w:tabs>
        <w:numPr>
          <w:ilvl w:val="1"/>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INTEREST.</w:t>
      </w:r>
    </w:p>
    <w:p>
      <w:pPr>
        <w:spacing w:after="0" w:line="26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No interest shall accrue on the payroll deductions of a participant in the Plan, except as may be required by applicable law, as determined by the Company, and if so required by the laws of a particular jurisdiction, shall apply to all participants in the relevant Offering except to the extent otherwise permitted by Section 1.423-2(f) of the Treasury Regulations.</w:t>
      </w:r>
    </w:p>
    <w:p>
      <w:pPr>
        <w:spacing w:after="0" w:line="205" w:lineRule="exact"/>
        <w:rPr>
          <w:sz w:val="20"/>
          <w:szCs w:val="20"/>
          <w:color w:val="auto"/>
        </w:rPr>
      </w:pPr>
    </w:p>
    <w:p>
      <w:pPr>
        <w:ind w:left="1280" w:hanging="637"/>
        <w:spacing w:after="0"/>
        <w:tabs>
          <w:tab w:leader="none" w:pos="128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STOCK.</w:t>
      </w:r>
    </w:p>
    <w:p>
      <w:pPr>
        <w:spacing w:after="0" w:line="248" w:lineRule="exact"/>
        <w:rPr>
          <w:sz w:val="20"/>
          <w:szCs w:val="20"/>
          <w:color w:val="auto"/>
        </w:rPr>
      </w:pPr>
    </w:p>
    <w:p>
      <w:pPr>
        <w:jc w:val="both"/>
        <w:ind w:left="1300" w:hanging="656"/>
        <w:spacing w:after="0" w:line="259" w:lineRule="auto"/>
        <w:tabs>
          <w:tab w:leader="none" w:pos="1295"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maximum number of shares of Common Stock that shall be made available for sale under the Plan shall be the sum of (i) 3,000,000 shares of Common Stock, plus (ii) the number of shares of Common Stock that were authorized for future issuance but unissued under the prior version of the Plan as of the effective date of this amendment and restatement of the Plan, subject to adjustment upon changes in capitalization of the Company as provided in Section 18 hereof. If on a given Exercise Date the number of shares with respect to which options are to be exercised exceeds the number of shares then available under the Plan, the Company shall make a pro rata allocation of the shares remaining available for purchase in as uniform a manner as shall be practicable and as it shall determine to be equitable.</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1300" w:right="20" w:hanging="656"/>
        <w:spacing w:after="0" w:line="304" w:lineRule="auto"/>
        <w:tabs>
          <w:tab w:leader="none" w:pos="1295" w:val="left"/>
        </w:tabs>
        <w:numPr>
          <w:ilvl w:val="0"/>
          <w:numId w:val="43"/>
        </w:numPr>
        <w:rPr>
          <w:rFonts w:ascii="Arial" w:cs="Arial" w:eastAsia="Arial" w:hAnsi="Arial"/>
          <w:sz w:val="16"/>
          <w:szCs w:val="16"/>
          <w:color w:val="auto"/>
        </w:rPr>
      </w:pPr>
      <w:r>
        <w:rPr>
          <w:rFonts w:ascii="Arial" w:cs="Arial" w:eastAsia="Arial" w:hAnsi="Arial"/>
          <w:sz w:val="16"/>
          <w:szCs w:val="16"/>
          <w:color w:val="auto"/>
        </w:rPr>
        <w:t>Shares of Common Stock issued under the Plan may, in whole or in part, be authorized but unissued shares or shares that shall have been or may be reacquired by the Company in the open market, in private transactions or otherwise.</w:t>
      </w:r>
    </w:p>
    <w:p>
      <w:pPr>
        <w:spacing w:after="0" w:line="168" w:lineRule="exact"/>
        <w:rPr>
          <w:rFonts w:ascii="Arial" w:cs="Arial" w:eastAsia="Arial" w:hAnsi="Arial"/>
          <w:sz w:val="16"/>
          <w:szCs w:val="16"/>
          <w:color w:val="auto"/>
        </w:rPr>
      </w:pPr>
    </w:p>
    <w:p>
      <w:pPr>
        <w:jc w:val="both"/>
        <w:ind w:left="1300" w:right="20" w:hanging="656"/>
        <w:spacing w:after="0" w:line="265"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Until the shares of Common Stock are issued (as evidenced by the appropriate entry on the books of the Company or of a duly authorized transfer agent of the Company) as provided in Section 9 following the exercise of an option, a Participant will have only the rights of an unsecured creditor with respect to such shares, and no right to vote or receive dividends or any other rights as a stockholder will exist with respect to such shares.</w:t>
      </w:r>
    </w:p>
    <w:p>
      <w:pPr>
        <w:spacing w:after="0" w:line="226" w:lineRule="exact"/>
        <w:rPr>
          <w:rFonts w:ascii="Arial" w:cs="Arial" w:eastAsia="Arial" w:hAnsi="Arial"/>
          <w:sz w:val="16"/>
          <w:szCs w:val="16"/>
          <w:color w:val="auto"/>
        </w:rPr>
      </w:pPr>
    </w:p>
    <w:p>
      <w:pPr>
        <w:ind w:left="1300" w:right="20" w:hanging="656"/>
        <w:spacing w:after="0" w:line="286" w:lineRule="auto"/>
        <w:tabs>
          <w:tab w:leader="none" w:pos="1295" w:val="left"/>
        </w:tabs>
        <w:numPr>
          <w:ilvl w:val="0"/>
          <w:numId w:val="43"/>
        </w:numPr>
        <w:rPr>
          <w:rFonts w:ascii="Arial" w:cs="Arial" w:eastAsia="Arial" w:hAnsi="Arial"/>
          <w:sz w:val="16"/>
          <w:szCs w:val="16"/>
          <w:color w:val="auto"/>
        </w:rPr>
      </w:pPr>
      <w:r>
        <w:rPr>
          <w:rFonts w:ascii="Arial" w:cs="Arial" w:eastAsia="Arial" w:hAnsi="Arial"/>
          <w:sz w:val="16"/>
          <w:szCs w:val="16"/>
          <w:color w:val="auto"/>
        </w:rPr>
        <w:t>Shares to be delivered to a Participant under the Plan will be registered in the name of the Participant or in the name of the Participant and his or her spouse as specified in the Participant’s subscription agreement.</w:t>
      </w:r>
    </w:p>
    <w:p>
      <w:pPr>
        <w:spacing w:after="0" w:line="196" w:lineRule="exact"/>
        <w:rPr>
          <w:sz w:val="20"/>
          <w:szCs w:val="20"/>
          <w:color w:val="auto"/>
        </w:rPr>
      </w:pPr>
    </w:p>
    <w:p>
      <w:pPr>
        <w:ind w:left="1280" w:hanging="637"/>
        <w:spacing w:after="0"/>
        <w:tabs>
          <w:tab w:leader="none" w:pos="128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ADMINISTRATION.</w:t>
      </w:r>
    </w:p>
    <w:p>
      <w:pPr>
        <w:spacing w:after="0" w:line="248" w:lineRule="exact"/>
        <w:rPr>
          <w:sz w:val="20"/>
          <w:szCs w:val="20"/>
          <w:color w:val="auto"/>
        </w:rPr>
      </w:pPr>
    </w:p>
    <w:p>
      <w:pPr>
        <w:jc w:val="both"/>
        <w:ind w:left="1300" w:hanging="656"/>
        <w:spacing w:after="0" w:line="265" w:lineRule="auto"/>
        <w:tabs>
          <w:tab w:leader="none" w:pos="129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Administrative Body</w:t>
      </w:r>
      <w:r>
        <w:rPr>
          <w:rFonts w:ascii="Arial" w:cs="Arial" w:eastAsia="Arial" w:hAnsi="Arial"/>
          <w:sz w:val="16"/>
          <w:szCs w:val="16"/>
          <w:color w:val="auto"/>
        </w:rPr>
        <w:t>. The Plan shall be administered by the Board or a committee of members of the Board appointed by the Board. The Administrator shall have full and exclusive discretionary authority to construe, interpret and apply the terms of the Plan, to determine eligibility and to adjudicate all disputed claims filed under the Plan. Every finding, decision and determination made by the Administrator shall, to the full extent permitted by law, be final and binding upon all parties.</w:t>
      </w:r>
    </w:p>
    <w:p>
      <w:pPr>
        <w:spacing w:after="0" w:line="213" w:lineRule="exact"/>
        <w:rPr>
          <w:rFonts w:ascii="Arial" w:cs="Arial" w:eastAsia="Arial" w:hAnsi="Arial"/>
          <w:sz w:val="16"/>
          <w:szCs w:val="16"/>
          <w:color w:val="auto"/>
        </w:rPr>
      </w:pPr>
    </w:p>
    <w:p>
      <w:pPr>
        <w:ind w:left="1300" w:right="20" w:hanging="657"/>
        <w:spacing w:after="0" w:line="304" w:lineRule="auto"/>
        <w:tabs>
          <w:tab w:leader="none" w:pos="129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Powers of Administrator</w:t>
      </w:r>
      <w:r>
        <w:rPr>
          <w:rFonts w:ascii="Arial" w:cs="Arial" w:eastAsia="Arial" w:hAnsi="Arial"/>
          <w:sz w:val="16"/>
          <w:szCs w:val="16"/>
          <w:color w:val="auto"/>
        </w:rPr>
        <w:t>. The Administrator shall have all powers and discretion necessary or appropriate to administer the Plan and to control its operation in accordance with its terms, including, but not by way of limitation, the following discretionary powers:</w:t>
      </w:r>
    </w:p>
    <w:p>
      <w:pPr>
        <w:spacing w:after="0" w:line="181" w:lineRule="exact"/>
        <w:rPr>
          <w:rFonts w:ascii="Arial" w:cs="Arial" w:eastAsia="Arial" w:hAnsi="Arial"/>
          <w:sz w:val="16"/>
          <w:szCs w:val="16"/>
          <w:color w:val="auto"/>
        </w:rPr>
      </w:pPr>
    </w:p>
    <w:p>
      <w:pPr>
        <w:ind w:left="1940" w:right="20" w:hanging="649"/>
        <w:spacing w:after="0" w:line="286" w:lineRule="auto"/>
        <w:tabs>
          <w:tab w:leader="none" w:pos="1935" w:val="left"/>
        </w:tabs>
        <w:numPr>
          <w:ilvl w:val="1"/>
          <w:numId w:val="45"/>
        </w:numPr>
        <w:rPr>
          <w:rFonts w:ascii="Arial" w:cs="Arial" w:eastAsia="Arial" w:hAnsi="Arial"/>
          <w:sz w:val="16"/>
          <w:szCs w:val="16"/>
          <w:color w:val="auto"/>
        </w:rPr>
      </w:pPr>
      <w:r>
        <w:rPr>
          <w:rFonts w:ascii="Arial" w:cs="Arial" w:eastAsia="Arial" w:hAnsi="Arial"/>
          <w:sz w:val="16"/>
          <w:szCs w:val="16"/>
          <w:color w:val="auto"/>
        </w:rPr>
        <w:t>To interpret and determine the meaning and validity of the provisions of the Plan and the options and to determine any question arising under, or in connection with, the administration, operation or validity of the Plan or the options;</w:t>
      </w:r>
    </w:p>
    <w:p>
      <w:pPr>
        <w:spacing w:after="0" w:line="196" w:lineRule="exact"/>
        <w:rPr>
          <w:rFonts w:ascii="Arial" w:cs="Arial" w:eastAsia="Arial" w:hAnsi="Arial"/>
          <w:sz w:val="16"/>
          <w:szCs w:val="16"/>
          <w:color w:val="auto"/>
        </w:rPr>
      </w:pPr>
    </w:p>
    <w:p>
      <w:pPr>
        <w:ind w:left="1940" w:hanging="650"/>
        <w:spacing w:after="0"/>
        <w:tabs>
          <w:tab w:leader="none" w:pos="19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To supply omissions or correct defects in the Plan;</w:t>
      </w:r>
    </w:p>
    <w:p>
      <w:pPr>
        <w:spacing w:after="0" w:line="261" w:lineRule="exact"/>
        <w:rPr>
          <w:rFonts w:ascii="Arial" w:cs="Arial" w:eastAsia="Arial" w:hAnsi="Arial"/>
          <w:sz w:val="16"/>
          <w:szCs w:val="16"/>
          <w:color w:val="auto"/>
        </w:rPr>
      </w:pPr>
    </w:p>
    <w:p>
      <w:pPr>
        <w:ind w:left="1940" w:hanging="650"/>
        <w:spacing w:after="0"/>
        <w:tabs>
          <w:tab w:leader="none" w:pos="19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To determine the form and manner for Participants to make elections under the Plan;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20"/>
          </w:cols>
          <w:pgMar w:left="440" w:top="760" w:right="439" w:bottom="1440" w:gutter="0" w:footer="0" w:header="0"/>
        </w:sectPr>
      </w:pPr>
    </w:p>
    <w:bookmarkStart w:id="44" w:name="page45"/>
    <w:bookmarkEnd w:id="44"/>
    <w:p>
      <w:pPr>
        <w:ind w:left="1297" w:right="20" w:hanging="649"/>
        <w:spacing w:after="0" w:line="286" w:lineRule="auto"/>
        <w:tabs>
          <w:tab w:leader="none" w:pos="129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determine, subject to the terms of the Plan, the terms and conditions of each option, Offering and Offering Period under the Plan;</w:t>
      </w:r>
    </w:p>
    <w:p>
      <w:pPr>
        <w:spacing w:after="0" w:line="196" w:lineRule="exact"/>
        <w:rPr>
          <w:rFonts w:ascii="Arial" w:cs="Arial" w:eastAsia="Arial" w:hAnsi="Arial"/>
          <w:sz w:val="16"/>
          <w:szCs w:val="16"/>
          <w:color w:val="auto"/>
        </w:rPr>
      </w:pPr>
    </w:p>
    <w:p>
      <w:pPr>
        <w:ind w:left="1297" w:right="20" w:hanging="649"/>
        <w:spacing w:after="0" w:line="304" w:lineRule="auto"/>
        <w:tabs>
          <w:tab w:leader="none" w:pos="129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determine any and all considerations affecting the eligibility of any Employee to become a Participant or to remain a Participant in the Plan;</w:t>
      </w:r>
    </w:p>
    <w:p>
      <w:pPr>
        <w:spacing w:after="0" w:line="249" w:lineRule="exact"/>
        <w:rPr>
          <w:rFonts w:ascii="Arial" w:cs="Arial" w:eastAsia="Arial" w:hAnsi="Arial"/>
          <w:sz w:val="16"/>
          <w:szCs w:val="16"/>
          <w:color w:val="auto"/>
        </w:rPr>
      </w:pPr>
    </w:p>
    <w:p>
      <w:pPr>
        <w:ind w:left="1297" w:hanging="648"/>
        <w:spacing w:after="0" w:line="286" w:lineRule="auto"/>
        <w:tabs>
          <w:tab w:leader="none" w:pos="129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cause an account or accounts to be maintained for each Participant and establish rules for the crediting of contributions and/or shares to the account(s);</w:t>
      </w:r>
    </w:p>
    <w:p>
      <w:pPr>
        <w:spacing w:after="0" w:line="263" w:lineRule="exact"/>
        <w:rPr>
          <w:rFonts w:ascii="Arial" w:cs="Arial" w:eastAsia="Arial" w:hAnsi="Arial"/>
          <w:sz w:val="16"/>
          <w:szCs w:val="16"/>
          <w:color w:val="auto"/>
        </w:rPr>
      </w:pPr>
    </w:p>
    <w:p>
      <w:pPr>
        <w:ind w:left="1297" w:hanging="648"/>
        <w:spacing w:after="0"/>
        <w:tabs>
          <w:tab w:leader="none" w:pos="129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determine the time or times when, and the number of shares for which, options shall be granted;</w:t>
      </w:r>
    </w:p>
    <w:p>
      <w:pPr>
        <w:spacing w:after="0" w:line="261" w:lineRule="exact"/>
        <w:rPr>
          <w:rFonts w:ascii="Arial" w:cs="Arial" w:eastAsia="Arial" w:hAnsi="Arial"/>
          <w:sz w:val="16"/>
          <w:szCs w:val="16"/>
          <w:color w:val="auto"/>
        </w:rPr>
      </w:pPr>
    </w:p>
    <w:p>
      <w:pPr>
        <w:ind w:left="1297" w:hanging="649"/>
        <w:spacing w:after="0"/>
        <w:tabs>
          <w:tab w:leader="none" w:pos="129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establish and revise an accounting method or formula for the Plan;</w:t>
      </w:r>
    </w:p>
    <w:p>
      <w:pPr>
        <w:spacing w:after="0" w:line="261" w:lineRule="exact"/>
        <w:rPr>
          <w:rFonts w:ascii="Arial" w:cs="Arial" w:eastAsia="Arial" w:hAnsi="Arial"/>
          <w:sz w:val="16"/>
          <w:szCs w:val="16"/>
          <w:color w:val="auto"/>
        </w:rPr>
      </w:pPr>
    </w:p>
    <w:p>
      <w:pPr>
        <w:ind w:left="1297" w:hanging="648"/>
        <w:spacing w:after="0" w:line="286" w:lineRule="auto"/>
        <w:tabs>
          <w:tab w:leader="none" w:pos="129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designate a custodian or broker to receive shares purchased under the Plan and to determine the manner and form in which shares are to be delivered to the designated custodian or broker;</w:t>
      </w:r>
    </w:p>
    <w:p>
      <w:pPr>
        <w:spacing w:after="0" w:line="196" w:lineRule="exact"/>
        <w:rPr>
          <w:rFonts w:ascii="Arial" w:cs="Arial" w:eastAsia="Arial" w:hAnsi="Arial"/>
          <w:sz w:val="16"/>
          <w:szCs w:val="16"/>
          <w:color w:val="auto"/>
        </w:rPr>
      </w:pPr>
    </w:p>
    <w:p>
      <w:pPr>
        <w:ind w:left="1277" w:hanging="629"/>
        <w:spacing w:after="0"/>
        <w:tabs>
          <w:tab w:leader="none" w:pos="127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determine the status and rights of Participants and their Beneficiaries or estates;</w:t>
      </w:r>
    </w:p>
    <w:p>
      <w:pPr>
        <w:spacing w:after="0" w:line="261" w:lineRule="exact"/>
        <w:rPr>
          <w:rFonts w:ascii="Arial" w:cs="Arial" w:eastAsia="Arial" w:hAnsi="Arial"/>
          <w:sz w:val="16"/>
          <w:szCs w:val="16"/>
          <w:color w:val="auto"/>
        </w:rPr>
      </w:pPr>
    </w:p>
    <w:p>
      <w:pPr>
        <w:ind w:left="1297" w:right="20" w:hanging="648"/>
        <w:spacing w:after="0" w:line="304" w:lineRule="auto"/>
        <w:tabs>
          <w:tab w:leader="none" w:pos="127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employ such brokers, counsel, agents and advisers, and to obtain such broker, legal, clerical and other services, as it may deem necessary or appropriate in carrying out the provisions of the Plan;</w:t>
      </w:r>
    </w:p>
    <w:p>
      <w:pPr>
        <w:spacing w:after="0" w:line="181" w:lineRule="exact"/>
        <w:rPr>
          <w:rFonts w:ascii="Arial" w:cs="Arial" w:eastAsia="Arial" w:hAnsi="Arial"/>
          <w:sz w:val="16"/>
          <w:szCs w:val="16"/>
          <w:color w:val="auto"/>
        </w:rPr>
      </w:pPr>
    </w:p>
    <w:p>
      <w:pPr>
        <w:ind w:left="1297" w:hanging="648"/>
        <w:spacing w:after="0"/>
        <w:tabs>
          <w:tab w:leader="none" w:pos="129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establish, from time to time, rules for the performance of its powers and duties and for the administration of the Plan;</w:t>
      </w:r>
    </w:p>
    <w:p>
      <w:pPr>
        <w:spacing w:after="0" w:line="261" w:lineRule="exact"/>
        <w:rPr>
          <w:rFonts w:ascii="Arial" w:cs="Arial" w:eastAsia="Arial" w:hAnsi="Arial"/>
          <w:sz w:val="16"/>
          <w:szCs w:val="16"/>
          <w:color w:val="auto"/>
        </w:rPr>
      </w:pPr>
    </w:p>
    <w:p>
      <w:pPr>
        <w:jc w:val="both"/>
        <w:ind w:left="1297" w:hanging="648"/>
        <w:spacing w:after="0" w:line="287" w:lineRule="auto"/>
        <w:tabs>
          <w:tab w:leader="none" w:pos="128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adopt such procedures and subplans (which need not qualify under Section 423 of the Code) as are necessary or appropriate to permit participation in the Plan by employees who are foreign nationals or employed outside of the United States;</w:t>
      </w:r>
    </w:p>
    <w:p>
      <w:pPr>
        <w:spacing w:after="0" w:line="396" w:lineRule="exact"/>
        <w:rPr>
          <w:rFonts w:ascii="Arial" w:cs="Arial" w:eastAsia="Arial" w:hAnsi="Arial"/>
          <w:sz w:val="16"/>
          <w:szCs w:val="16"/>
          <w:color w:val="auto"/>
        </w:rPr>
      </w:pPr>
    </w:p>
    <w:p>
      <w:pPr>
        <w:jc w:val="both"/>
        <w:ind w:left="1297" w:right="20" w:hanging="648"/>
        <w:spacing w:after="0" w:line="265" w:lineRule="auto"/>
        <w:tabs>
          <w:tab w:leader="none" w:pos="128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determine that, to the extent permitted by Treasury Regulation Section 1.423-2(f), the terms of an option granted under the Plan or an Offering to citizens or residents of a non-U.S. jurisdiction (without regard to whether they also are citizens or residents of the United States or resident aliens (within the meaning of Section 7701(b)(1)(A) of the Code)) will be less favorable than the terms of options granted under the Plan or the same Offering to Employees resident in the United States;</w:t>
      </w:r>
    </w:p>
    <w:p>
      <w:pPr>
        <w:spacing w:after="0" w:line="213" w:lineRule="exact"/>
        <w:rPr>
          <w:rFonts w:ascii="Arial" w:cs="Arial" w:eastAsia="Arial" w:hAnsi="Arial"/>
          <w:sz w:val="16"/>
          <w:szCs w:val="16"/>
          <w:color w:val="auto"/>
        </w:rPr>
      </w:pPr>
    </w:p>
    <w:p>
      <w:pPr>
        <w:jc w:val="both"/>
        <w:ind w:left="1297" w:hanging="648"/>
        <w:spacing w:after="0" w:line="275" w:lineRule="auto"/>
        <w:tabs>
          <w:tab w:leader="none" w:pos="128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designate separate Offerings for the Employees of one or more Designated Subsidiaries, in which case the Offerings will be considered separate even if the dates of each such Offering are identical and the provisions of the Plan will separately apply to each Offering; and</w:t>
      </w:r>
    </w:p>
    <w:p>
      <w:pPr>
        <w:spacing w:after="0" w:line="204" w:lineRule="exact"/>
        <w:rPr>
          <w:rFonts w:ascii="Arial" w:cs="Arial" w:eastAsia="Arial" w:hAnsi="Arial"/>
          <w:sz w:val="16"/>
          <w:szCs w:val="16"/>
          <w:color w:val="auto"/>
        </w:rPr>
      </w:pPr>
    </w:p>
    <w:p>
      <w:pPr>
        <w:jc w:val="both"/>
        <w:ind w:left="1297" w:hanging="648"/>
        <w:spacing w:after="0" w:line="275" w:lineRule="auto"/>
        <w:tabs>
          <w:tab w:leader="none" w:pos="128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delegate to any one or more of its members or to any other person including, but not limited to, employees of the Company and any Designated Subsidiary, severally or jointly, the authority to perform for and on behalf of the Administrator one or more of the functions of the Administrator under the Plan.</w:t>
      </w:r>
    </w:p>
    <w:p>
      <w:pPr>
        <w:spacing w:after="0" w:line="205" w:lineRule="exact"/>
        <w:rPr>
          <w:sz w:val="20"/>
          <w:szCs w:val="20"/>
          <w:color w:val="auto"/>
        </w:rPr>
      </w:pPr>
    </w:p>
    <w:p>
      <w:pPr>
        <w:ind w:left="637" w:hanging="637"/>
        <w:spacing w:after="0"/>
        <w:tabs>
          <w:tab w:leader="none" w:pos="637"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DESIGNATION OF BENEFICIARY.</w:t>
      </w:r>
    </w:p>
    <w:p>
      <w:pPr>
        <w:spacing w:after="0" w:line="248" w:lineRule="exact"/>
        <w:rPr>
          <w:sz w:val="20"/>
          <w:szCs w:val="20"/>
          <w:color w:val="auto"/>
        </w:rPr>
      </w:pPr>
    </w:p>
    <w:p>
      <w:pPr>
        <w:jc w:val="both"/>
        <w:ind w:left="657" w:hanging="656"/>
        <w:spacing w:after="0" w:line="261" w:lineRule="auto"/>
        <w:tabs>
          <w:tab w:leader="none" w:pos="652"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Participant may file a written designation, in a form and manner as the Administrator may designate from time to time, of a beneficiary who is to receive any shares and cash, if any, from the Participant’s account under the Plan in the event of such Participant’s death subsequent to an Exercise Date on which the option is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option. If a Participant is married and the designated beneficiary is not the spouse, spousal consent shall be required for such designation to be effective.</w:t>
      </w:r>
    </w:p>
    <w:p>
      <w:pPr>
        <w:spacing w:after="0" w:line="216" w:lineRule="exact"/>
        <w:rPr>
          <w:rFonts w:ascii="Arial" w:cs="Arial" w:eastAsia="Arial" w:hAnsi="Arial"/>
          <w:sz w:val="16"/>
          <w:szCs w:val="16"/>
          <w:color w:val="auto"/>
        </w:rPr>
      </w:pPr>
    </w:p>
    <w:p>
      <w:pPr>
        <w:jc w:val="both"/>
        <w:ind w:left="657" w:hanging="656"/>
        <w:spacing w:after="0" w:line="265" w:lineRule="auto"/>
        <w:tabs>
          <w:tab w:leader="none" w:pos="65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Participant may change such designation of beneficiary at any time by written notice, in a form and manner as the Administrator may designate from time to time.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817"/>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377"/>
          </w:cols>
          <w:pgMar w:left="1083" w:top="949" w:right="439" w:bottom="1440" w:gutter="0" w:footer="0" w:header="0"/>
        </w:sectPr>
      </w:pPr>
    </w:p>
    <w:bookmarkStart w:id="45" w:name="page46"/>
    <w:bookmarkEnd w:id="45"/>
    <w:p>
      <w:pPr>
        <w:jc w:val="both"/>
        <w:ind w:left="1300" w:right="120"/>
        <w:spacing w:after="0" w:line="275" w:lineRule="auto"/>
        <w:rPr>
          <w:sz w:val="20"/>
          <w:szCs w:val="20"/>
          <w:color w:val="auto"/>
        </w:rPr>
      </w:pPr>
      <w:r>
        <w:rPr>
          <w:rFonts w:ascii="Arial" w:cs="Arial" w:eastAsia="Arial" w:hAnsi="Arial"/>
          <w:sz w:val="16"/>
          <w:szCs w:val="16"/>
          <w:color w:val="auto"/>
        </w:rPr>
        <w:t>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205" w:lineRule="exact"/>
        <w:rPr>
          <w:sz w:val="20"/>
          <w:szCs w:val="20"/>
          <w:color w:val="auto"/>
        </w:rPr>
      </w:pPr>
    </w:p>
    <w:p>
      <w:pPr>
        <w:ind w:left="1280" w:hanging="637"/>
        <w:spacing w:after="0"/>
        <w:tabs>
          <w:tab w:leader="none" w:pos="128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TRANSFERABILITY.</w:t>
      </w:r>
    </w:p>
    <w:p>
      <w:pPr>
        <w:spacing w:after="0" w:line="2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Section 14 hereof) by the Participant. Any such attempt at assignment, transfer, pledge or other disposition shall be without effect, except that the Company may treat such act as an election to withdraw funds from an Offering Period in accordance with Section 10 hereof.</w:t>
      </w:r>
    </w:p>
    <w:p>
      <w:pPr>
        <w:spacing w:after="0" w:line="208" w:lineRule="exact"/>
        <w:rPr>
          <w:sz w:val="20"/>
          <w:szCs w:val="20"/>
          <w:color w:val="auto"/>
        </w:rPr>
      </w:pPr>
    </w:p>
    <w:p>
      <w:pPr>
        <w:ind w:left="1280" w:hanging="638"/>
        <w:spacing w:after="0"/>
        <w:tabs>
          <w:tab w:leader="none" w:pos="128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USE OF FUNDS.</w:t>
      </w:r>
    </w:p>
    <w:p>
      <w:pPr>
        <w:spacing w:after="0" w:line="262" w:lineRule="exact"/>
        <w:rPr>
          <w:sz w:val="20"/>
          <w:szCs w:val="20"/>
          <w:color w:val="auto"/>
        </w:rPr>
      </w:pPr>
    </w:p>
    <w:p>
      <w:pPr>
        <w:jc w:val="both"/>
        <w:ind w:right="100" w:firstLine="648"/>
        <w:spacing w:after="0" w:line="265" w:lineRule="auto"/>
        <w:rPr>
          <w:sz w:val="20"/>
          <w:szCs w:val="20"/>
          <w:color w:val="auto"/>
        </w:rPr>
      </w:pPr>
      <w:r>
        <w:rPr>
          <w:rFonts w:ascii="Arial" w:cs="Arial" w:eastAsia="Arial" w:hAnsi="Arial"/>
          <w:sz w:val="16"/>
          <w:szCs w:val="16"/>
          <w:color w:val="auto"/>
        </w:rPr>
        <w:t>The Company (or Designated Subsidiary) may use all payroll deductions received or held by the Company or any Designated Subsidiary under the Plan for any corporate purpose, and the Company (or Designated Subsidiary) shall not be obligated to segregate such payroll deductions, except as otherwise required by law. Until shares of Common Stock are issued, Participants will have only the rights of unsecured creditors with respect to such payroll deductions and such shares of Common Stock.</w:t>
      </w:r>
    </w:p>
    <w:p>
      <w:pPr>
        <w:spacing w:after="0" w:line="213" w:lineRule="exact"/>
        <w:rPr>
          <w:sz w:val="20"/>
          <w:szCs w:val="20"/>
          <w:color w:val="auto"/>
        </w:rPr>
      </w:pPr>
    </w:p>
    <w:p>
      <w:pPr>
        <w:ind w:left="1280" w:hanging="638"/>
        <w:spacing w:after="0"/>
        <w:tabs>
          <w:tab w:leader="none" w:pos="128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REPORTS.</w:t>
      </w:r>
    </w:p>
    <w:p>
      <w:pPr>
        <w:spacing w:after="0" w:line="262" w:lineRule="exact"/>
        <w:rPr>
          <w:sz w:val="20"/>
          <w:szCs w:val="20"/>
          <w:color w:val="auto"/>
        </w:rPr>
      </w:pPr>
    </w:p>
    <w:p>
      <w:pPr>
        <w:jc w:val="both"/>
        <w:ind w:right="100" w:firstLine="648"/>
        <w:spacing w:after="0" w:line="275" w:lineRule="auto"/>
        <w:rPr>
          <w:sz w:val="20"/>
          <w:szCs w:val="20"/>
          <w:color w:val="auto"/>
        </w:rPr>
      </w:pPr>
      <w:r>
        <w:rPr>
          <w:rFonts w:ascii="Arial" w:cs="Arial" w:eastAsia="Arial" w:hAnsi="Arial"/>
          <w:sz w:val="16"/>
          <w:szCs w:val="16"/>
          <w:color w:val="auto"/>
        </w:rPr>
        <w:t>Individual accounts will be maintained for each Participant in the Plan. Statements of account will be given to participating Employees at least annually, which statements will set forth the amounts of payroll deductions, the Purchase Price, the number of shares purchased and the remaining cash balance, if any.</w:t>
      </w:r>
    </w:p>
    <w:p>
      <w:pPr>
        <w:spacing w:after="0" w:line="205" w:lineRule="exact"/>
        <w:rPr>
          <w:sz w:val="20"/>
          <w:szCs w:val="20"/>
          <w:color w:val="auto"/>
        </w:rPr>
      </w:pPr>
    </w:p>
    <w:p>
      <w:pPr>
        <w:ind w:left="1280" w:hanging="638"/>
        <w:spacing w:after="0"/>
        <w:tabs>
          <w:tab w:leader="none" w:pos="128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 UPON CHANGES IN CAPITALIZATION.</w:t>
      </w:r>
    </w:p>
    <w:p>
      <w:pPr>
        <w:spacing w:after="0" w:line="262" w:lineRule="exact"/>
        <w:rPr>
          <w:sz w:val="20"/>
          <w:szCs w:val="20"/>
          <w:color w:val="auto"/>
        </w:rPr>
      </w:pPr>
    </w:p>
    <w:p>
      <w:pPr>
        <w:jc w:val="both"/>
        <w:ind w:left="1300" w:right="100" w:hanging="657"/>
        <w:spacing w:after="0" w:line="258" w:lineRule="auto"/>
        <w:tabs>
          <w:tab w:leader="none" w:pos="129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Subject to any required action by the stockholders of the Company, the Reserves as well as the price per share of Common Stock covered by each option under the Plan which has not yet been exercised shall be proportionately adjusted for any change in the Common Stock resulting from a stock split, reverse stock split, stock dividend, spin-off,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217" w:lineRule="exact"/>
        <w:rPr>
          <w:rFonts w:ascii="Arial" w:cs="Arial" w:eastAsia="Arial" w:hAnsi="Arial"/>
          <w:sz w:val="16"/>
          <w:szCs w:val="16"/>
          <w:color w:val="auto"/>
        </w:rPr>
      </w:pPr>
    </w:p>
    <w:p>
      <w:pPr>
        <w:ind w:left="1300" w:right="100" w:hanging="656"/>
        <w:spacing w:after="0" w:line="286" w:lineRule="auto"/>
        <w:tabs>
          <w:tab w:leader="none" w:pos="129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In the event of the proposed dissolution or liquidation of the Company, the Offering Period will terminate immediately prior to the consummation of such proposed action, unless otherwise provided by the Board.</w:t>
      </w:r>
    </w:p>
    <w:p>
      <w:pPr>
        <w:spacing w:after="0" w:line="277" w:lineRule="exact"/>
        <w:rPr>
          <w:rFonts w:ascii="Arial" w:cs="Arial" w:eastAsia="Arial" w:hAnsi="Arial"/>
          <w:sz w:val="16"/>
          <w:szCs w:val="16"/>
          <w:color w:val="auto"/>
        </w:rPr>
      </w:pPr>
    </w:p>
    <w:p>
      <w:pPr>
        <w:jc w:val="both"/>
        <w:ind w:left="1300" w:right="100" w:hanging="656"/>
        <w:spacing w:after="0" w:line="256" w:lineRule="auto"/>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Merger or Asset Sale</w:t>
      </w:r>
      <w:r>
        <w:rPr>
          <w:rFonts w:ascii="Arial" w:cs="Arial" w:eastAsia="Arial" w:hAnsi="Arial"/>
          <w:sz w:val="16"/>
          <w:szCs w:val="16"/>
          <w:color w:val="auto"/>
        </w:rPr>
        <w:t>.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Board determines, in the exercise of its sole discretion and in lieu of such assumption or substitution, to shorten the Offering Period(s) then in progress by setting a new Exercise Date (the “New Exercise Date”) or to cancel each outstanding right to purchase and refund all sums collected from Participants during the Offering Period(s) then in progress. If the Board shortens the Offering Period(s) then in progress in lieu of assumption or substitution in the event of a merger or sale of assets, the Board shall notify each Participant in writing, at least ten (10) business days prior to the New Exercise Date, that the Exercise Date for his or her option has been changed to the New Exercise Date and that his or her option will be exercised automatically on the New Exercise Date, unless prior to such date he or she has withdrawn from the Offering Period(s) as provided in Section 10 hereof. For purposes of this paragraph, an option granted under the Plan shall be deemed to be assumed if, following the sale of assets or merger, the option confers the right to purchase, for each share of option stock subject to the option immediately prior to the sale of assets or merger, the consideration (whether stock, cash or other securities or property) received in the sale of assets or merger by holders of Common Stock for each share of Common Stock held on the effective date of the transaction (and if such holders were offered a choice of consideration, the type of consideration chosen by the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20"/>
          </w:cols>
          <w:pgMar w:left="440" w:top="692" w:right="339" w:bottom="1440" w:gutter="0" w:footer="0" w:header="0"/>
        </w:sectPr>
      </w:pPr>
    </w:p>
    <w:bookmarkStart w:id="46" w:name="page47"/>
    <w:bookmarkEnd w:id="46"/>
    <w:p>
      <w:pPr>
        <w:jc w:val="both"/>
        <w:ind w:left="1300"/>
        <w:spacing w:after="0" w:line="260" w:lineRule="auto"/>
        <w:rPr>
          <w:sz w:val="20"/>
          <w:szCs w:val="20"/>
          <w:color w:val="auto"/>
        </w:rPr>
      </w:pPr>
      <w:r>
        <w:rPr>
          <w:rFonts w:ascii="Arial" w:cs="Arial" w:eastAsia="Arial" w:hAnsi="Arial"/>
          <w:sz w:val="16"/>
          <w:szCs w:val="16"/>
          <w:color w:val="auto"/>
        </w:rPr>
        <w:t>holders of a majority of the outstanding shares of Common Stock); provided, however, that if such consideration received in the sale of assets or merger was not solely common stock of the successor corporation or its parent (as defined in Section 424(e) of the Code), the Board may, with the consent of the successor corporation and the Participant, provide for the consideration to be received upon exercise of the option to be solely common stock of the successor corporation or its parent equal in fair market value to the per share consideration received by holders of Common Stock upon the sale of assets or merger. The Board may, if it so determines in the exercise of its sole discretion, also make provision for adjusting the Reserves, as well as the price per share of Common Stock covered by each outstanding option, in the event the Company effects one or more reorganizations, recapitalization, rights offerings or other increases or reductions of shares of its outstanding Common Stock, and in the event of the Company being consolidated with or merged into any other corporation.</w:t>
      </w:r>
    </w:p>
    <w:p>
      <w:pPr>
        <w:spacing w:after="0" w:line="204" w:lineRule="exact"/>
        <w:rPr>
          <w:sz w:val="20"/>
          <w:szCs w:val="20"/>
          <w:color w:val="auto"/>
        </w:rPr>
      </w:pPr>
    </w:p>
    <w:p>
      <w:pPr>
        <w:ind w:left="1280" w:hanging="637"/>
        <w:spacing w:after="0"/>
        <w:tabs>
          <w:tab w:leader="none" w:pos="1280" w:val="left"/>
        </w:tabs>
        <w:numPr>
          <w:ilvl w:val="1"/>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OR TERMINATION.</w:t>
      </w:r>
    </w:p>
    <w:p>
      <w:pPr>
        <w:spacing w:after="0" w:line="261" w:lineRule="exact"/>
        <w:rPr>
          <w:rFonts w:ascii="Arial" w:cs="Arial" w:eastAsia="Arial" w:hAnsi="Arial"/>
          <w:sz w:val="16"/>
          <w:szCs w:val="16"/>
          <w:b w:val="1"/>
          <w:bCs w:val="1"/>
          <w:color w:val="auto"/>
        </w:rPr>
      </w:pPr>
    </w:p>
    <w:p>
      <w:pPr>
        <w:jc w:val="both"/>
        <w:ind w:left="1300" w:hanging="657"/>
        <w:spacing w:after="0" w:line="259" w:lineRule="auto"/>
        <w:tabs>
          <w:tab w:leader="none" w:pos="129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Board may at any time and for any reason terminate or amend the Plan. Except as provided in Section 18 hereof, no such termination can affect options previously granted, provided that an Offering Period may be terminated by the Board on any Exercise Date if the Board determines that the termination of the Plan is in the best interests of the Company and its stockholders. Except as provided in Section 18 hereof, no amendment may make any change in any option theretofore granted which adversely affects the rights of any Participant. To the extent necessary to comply with Rule 16b-3 or Section 423 of the Code (or any successor rule or provision or any other applicable law or regulation), or the Listing Standards, the Company shall obtain stockholder approval in such a manner and to such a degree as required.</w:t>
      </w:r>
    </w:p>
    <w:p>
      <w:pPr>
        <w:spacing w:after="0" w:line="216" w:lineRule="exact"/>
        <w:rPr>
          <w:rFonts w:ascii="Arial" w:cs="Arial" w:eastAsia="Arial" w:hAnsi="Arial"/>
          <w:sz w:val="16"/>
          <w:szCs w:val="16"/>
          <w:color w:val="auto"/>
        </w:rPr>
      </w:pPr>
    </w:p>
    <w:p>
      <w:pPr>
        <w:jc w:val="both"/>
        <w:ind w:left="1300" w:hanging="657"/>
        <w:spacing w:after="0" w:line="259" w:lineRule="auto"/>
        <w:tabs>
          <w:tab w:leader="none" w:pos="1295" w:val="left"/>
        </w:tabs>
        <w:numPr>
          <w:ilvl w:val="0"/>
          <w:numId w:val="55"/>
        </w:numPr>
        <w:rPr>
          <w:rFonts w:ascii="Arial" w:cs="Arial" w:eastAsia="Arial" w:hAnsi="Arial"/>
          <w:sz w:val="16"/>
          <w:szCs w:val="16"/>
          <w:color w:val="auto"/>
        </w:rPr>
      </w:pPr>
      <w:r>
        <w:rPr>
          <w:rFonts w:ascii="Arial" w:cs="Arial" w:eastAsia="Arial" w:hAnsi="Arial"/>
          <w:sz w:val="16"/>
          <w:szCs w:val="16"/>
          <w:color w:val="auto"/>
        </w:rPr>
        <w:t>Without stockholder consent and without regard to whether any Participant rights may be considered to have been “adversely affected,” the Administrator shall be entitled to change the Offering Periods, limit the frequency and/or number of changes in the amount withheld during an Offering Period, designate separate Offerings,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advisable which are consistent with the Plan.</w:t>
      </w:r>
    </w:p>
    <w:p>
      <w:pPr>
        <w:spacing w:after="0" w:line="220" w:lineRule="exact"/>
        <w:rPr>
          <w:rFonts w:ascii="Arial" w:cs="Arial" w:eastAsia="Arial" w:hAnsi="Arial"/>
          <w:sz w:val="16"/>
          <w:szCs w:val="16"/>
          <w:color w:val="auto"/>
        </w:rPr>
      </w:pPr>
    </w:p>
    <w:p>
      <w:pPr>
        <w:ind w:left="1280" w:hanging="637"/>
        <w:spacing w:after="0"/>
        <w:tabs>
          <w:tab w:leader="none" w:pos="1280" w:val="left"/>
        </w:tabs>
        <w:numPr>
          <w:ilvl w:val="1"/>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p>
    <w:p>
      <w:pPr>
        <w:spacing w:after="0" w:line="26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210" w:lineRule="exact"/>
        <w:rPr>
          <w:sz w:val="20"/>
          <w:szCs w:val="20"/>
          <w:color w:val="auto"/>
        </w:rPr>
      </w:pPr>
    </w:p>
    <w:p>
      <w:pPr>
        <w:ind w:left="1280" w:hanging="637"/>
        <w:spacing w:after="0"/>
        <w:tabs>
          <w:tab w:leader="none" w:pos="128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CONDITIONS UPON ISSUANCE OF SHARES.</w:t>
      </w:r>
    </w:p>
    <w:p>
      <w:pPr>
        <w:spacing w:after="0" w:line="262" w:lineRule="exact"/>
        <w:rPr>
          <w:sz w:val="20"/>
          <w:szCs w:val="20"/>
          <w:color w:val="auto"/>
        </w:rPr>
      </w:pPr>
    </w:p>
    <w:p>
      <w:pPr>
        <w:jc w:val="both"/>
        <w:ind w:left="1300" w:hanging="656"/>
        <w:spacing w:after="0" w:line="260" w:lineRule="auto"/>
        <w:tabs>
          <w:tab w:leader="none" w:pos="1295" w:val="left"/>
        </w:tabs>
        <w:numPr>
          <w:ilvl w:val="0"/>
          <w:numId w:val="57"/>
        </w:numPr>
        <w:rPr>
          <w:rFonts w:ascii="Arial" w:cs="Arial" w:eastAsia="Arial" w:hAnsi="Arial"/>
          <w:sz w:val="16"/>
          <w:szCs w:val="16"/>
          <w:color w:val="auto"/>
        </w:rPr>
      </w:pPr>
      <w:r>
        <w:rPr>
          <w:rFonts w:ascii="Arial" w:cs="Arial" w:eastAsia="Arial" w:hAnsi="Arial"/>
          <w:sz w:val="16"/>
          <w:szCs w:val="16"/>
          <w:color w:val="auto"/>
        </w:rPr>
        <w:t>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as amended (the “Exchange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218" w:lineRule="exact"/>
        <w:rPr>
          <w:rFonts w:ascii="Arial" w:cs="Arial" w:eastAsia="Arial" w:hAnsi="Arial"/>
          <w:sz w:val="16"/>
          <w:szCs w:val="16"/>
          <w:color w:val="auto"/>
        </w:rPr>
      </w:pPr>
    </w:p>
    <w:p>
      <w:pPr>
        <w:jc w:val="both"/>
        <w:ind w:left="1300" w:hanging="656"/>
        <w:spacing w:after="0" w:line="265" w:lineRule="auto"/>
        <w:tabs>
          <w:tab w:leader="none" w:pos="1295" w:val="left"/>
        </w:tabs>
        <w:numPr>
          <w:ilvl w:val="0"/>
          <w:numId w:val="57"/>
        </w:numPr>
        <w:rPr>
          <w:rFonts w:ascii="Arial" w:cs="Arial" w:eastAsia="Arial" w:hAnsi="Arial"/>
          <w:sz w:val="16"/>
          <w:szCs w:val="16"/>
          <w:color w:val="auto"/>
        </w:rPr>
      </w:pPr>
      <w:r>
        <w:rPr>
          <w:rFonts w:ascii="Arial" w:cs="Arial" w:eastAsia="Arial" w:hAnsi="Arial"/>
          <w:sz w:val="16"/>
          <w:szCs w:val="16"/>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213" w:lineRule="exact"/>
        <w:rPr>
          <w:rFonts w:ascii="Arial" w:cs="Arial" w:eastAsia="Arial" w:hAnsi="Arial"/>
          <w:sz w:val="16"/>
          <w:szCs w:val="16"/>
          <w:color w:val="auto"/>
        </w:rPr>
      </w:pPr>
    </w:p>
    <w:p>
      <w:pPr>
        <w:jc w:val="both"/>
        <w:ind w:left="1260" w:right="20" w:hanging="616"/>
        <w:spacing w:after="0" w:line="265" w:lineRule="auto"/>
        <w:tabs>
          <w:tab w:leader="none" w:pos="12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At the time the option is exercised, in whole or in part, or at the time some or all of the Common Stock issued under the Plan is disposed of (or any other time that a taxable event related to the Plan occurs), the Participant must make adequate provision for the Company’s federal, state, or other tax withholding obligations, if any, which arise upon the exercise of the option or the disposition of the Common Stock (or any other time that a taxable event related to the Plan occurs). At any time, the Company may, but shall not be obligated to, withhold from the Participant’s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020"/>
          </w:cols>
          <w:pgMar w:left="440" w:top="760" w:right="439" w:bottom="1440" w:gutter="0" w:footer="0" w:header="0"/>
        </w:sectPr>
      </w:pPr>
    </w:p>
    <w:bookmarkStart w:id="47" w:name="page48"/>
    <w:bookmarkEnd w:id="47"/>
    <w:p>
      <w:pPr>
        <w:jc w:val="both"/>
        <w:ind w:left="1380" w:right="100"/>
        <w:spacing w:after="0" w:line="265" w:lineRule="auto"/>
        <w:rPr>
          <w:sz w:val="20"/>
          <w:szCs w:val="20"/>
          <w:color w:val="auto"/>
        </w:rPr>
      </w:pPr>
      <w:r>
        <w:rPr>
          <w:rFonts w:ascii="Arial" w:cs="Arial" w:eastAsia="Arial" w:hAnsi="Arial"/>
          <w:sz w:val="16"/>
          <w:szCs w:val="16"/>
          <w:color w:val="auto"/>
        </w:rPr>
        <w:t>Compensation the amount necessary for the Company to meet applicable withholding obligations, including any withholding required to make available to the Company any tax deductions or benefits attributable to the sale or early disposition of Common Stock by the Employee. Further, the Company or its Designated Subsidiaries may satisfy its withholding obligations, if any, through any of the means set forth in the applicable subscription agreement to the extent permitted by Section 1.423 2(f) of the Treasury Regulations of the Code.</w:t>
      </w:r>
    </w:p>
    <w:p>
      <w:pPr>
        <w:spacing w:after="0" w:line="281" w:lineRule="exact"/>
        <w:rPr>
          <w:sz w:val="20"/>
          <w:szCs w:val="20"/>
          <w:color w:val="auto"/>
        </w:rPr>
      </w:pPr>
    </w:p>
    <w:p>
      <w:pPr>
        <w:ind w:left="1400" w:hanging="637"/>
        <w:spacing w:after="0"/>
        <w:tabs>
          <w:tab w:leader="none" w:pos="140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TERM OF PLAN.</w:t>
      </w:r>
    </w:p>
    <w:p>
      <w:pPr>
        <w:spacing w:after="0" w:line="262" w:lineRule="exact"/>
        <w:rPr>
          <w:sz w:val="20"/>
          <w:szCs w:val="20"/>
          <w:color w:val="auto"/>
        </w:rPr>
      </w:pPr>
    </w:p>
    <w:p>
      <w:pPr>
        <w:ind w:left="120" w:right="120" w:firstLine="648"/>
        <w:spacing w:after="0" w:line="286" w:lineRule="auto"/>
        <w:rPr>
          <w:sz w:val="20"/>
          <w:szCs w:val="20"/>
          <w:color w:val="auto"/>
        </w:rPr>
      </w:pPr>
      <w:r>
        <w:rPr>
          <w:rFonts w:ascii="Arial" w:cs="Arial" w:eastAsia="Arial" w:hAnsi="Arial"/>
          <w:sz w:val="16"/>
          <w:szCs w:val="16"/>
          <w:color w:val="auto"/>
        </w:rPr>
        <w:t>The Plan shall continue in effect for a term of ten (10) years from its original effective date of September 1, 2021 unless sooner terminated under Section 19 hereof.</w:t>
      </w:r>
    </w:p>
    <w:p>
      <w:pPr>
        <w:spacing w:after="0" w:line="196" w:lineRule="exact"/>
        <w:rPr>
          <w:sz w:val="20"/>
          <w:szCs w:val="20"/>
          <w:color w:val="auto"/>
        </w:rPr>
      </w:pPr>
    </w:p>
    <w:p>
      <w:pPr>
        <w:ind w:left="1400" w:hanging="637"/>
        <w:spacing w:after="0"/>
        <w:tabs>
          <w:tab w:leader="none" w:pos="140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RESTRICTIONS OF RULE 16b-3.</w:t>
      </w:r>
    </w:p>
    <w:p>
      <w:pPr>
        <w:spacing w:after="0" w:line="262" w:lineRule="exact"/>
        <w:rPr>
          <w:sz w:val="20"/>
          <w:szCs w:val="20"/>
          <w:color w:val="auto"/>
        </w:rPr>
      </w:pPr>
    </w:p>
    <w:p>
      <w:pPr>
        <w:jc w:val="both"/>
        <w:ind w:left="120" w:right="120" w:firstLine="648"/>
        <w:spacing w:after="0" w:line="265" w:lineRule="auto"/>
        <w:rPr>
          <w:sz w:val="20"/>
          <w:szCs w:val="20"/>
          <w:color w:val="auto"/>
        </w:rPr>
      </w:pPr>
      <w:r>
        <w:rPr>
          <w:rFonts w:ascii="Arial" w:cs="Arial" w:eastAsia="Arial" w:hAnsi="Arial"/>
          <w:sz w:val="16"/>
          <w:szCs w:val="16"/>
          <w:color w:val="auto"/>
        </w:rPr>
        <w:t>The terms and conditions of options granted hereunder to, and the purchase of shares by, persons subject to Section 16 of the Exchange Act shall comply with the applicable provisions of Rule 16b-3. This Plan shall be deemed to contain, and such options shall contain, and the shares issued upon exercise thereof shall be subject to, such additional conditions and restrictions as may be required by Rule 16b-3 to qualify for the maximum exemption from Section 16 of the Exchange Act with respect to Plan transactions.</w:t>
      </w:r>
    </w:p>
    <w:p>
      <w:pPr>
        <w:spacing w:after="0" w:line="213" w:lineRule="exact"/>
        <w:rPr>
          <w:sz w:val="20"/>
          <w:szCs w:val="20"/>
          <w:color w:val="auto"/>
        </w:rPr>
      </w:pPr>
    </w:p>
    <w:p>
      <w:pPr>
        <w:ind w:left="1400" w:hanging="637"/>
        <w:spacing w:after="0"/>
        <w:tabs>
          <w:tab w:leader="none" w:pos="140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SECTION 409A OF THE CODE.</w:t>
      </w:r>
    </w:p>
    <w:p>
      <w:pPr>
        <w:spacing w:after="0" w:line="24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Plan is exempt from the application of Section 409A of the Code and any ambiguities herein will be interpreted to so be exempt from Section 409A of the Code. In furtherance of the foregoing and notwithstanding any provision in the Plan to the contrary, if the Administrator determines that an option granted under the Plan may be subject to Section 409A of the Code or that any provision in the Plan would cause an option under the Plan to be subject to Section 409A of the Code,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Administrator would not violate Section 409A of the Code. Notwithstanding the foregoing, the Company will have no liability to a Participant or any other party if any option to purchase Common Stock under the Plan that is intended to be exempt from or compliant with Section 409A of the Code is not so exempt or compliant or for any action taken by the Administrator with respect thereto. The Company makes no representation that any option to purchase Common Stock under the Plan is compliant with Section 409A of the Code.</w:t>
      </w:r>
    </w:p>
    <w:p>
      <w:pPr>
        <w:spacing w:after="0" w:line="223" w:lineRule="exact"/>
        <w:rPr>
          <w:sz w:val="20"/>
          <w:szCs w:val="20"/>
          <w:color w:val="auto"/>
        </w:rPr>
      </w:pPr>
    </w:p>
    <w:p>
      <w:pPr>
        <w:ind w:left="1400" w:hanging="637"/>
        <w:spacing w:after="0"/>
        <w:tabs>
          <w:tab w:leader="none" w:pos="1400"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NO RIGHT TO EMPLOYMENT.</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Participation in the Plan by a Participant will not be construed as giving a Participant the right to be retained as an Employee of the Company or a Subsidiary of the Company, as applicable. Further, the Company or a Subsidiary of the Company may dismiss a Participant from employment at any time, free from any liability or any claim under the Plan.</w:t>
      </w:r>
    </w:p>
    <w:p>
      <w:pPr>
        <w:spacing w:after="0" w:line="191" w:lineRule="exact"/>
        <w:rPr>
          <w:sz w:val="20"/>
          <w:szCs w:val="20"/>
          <w:color w:val="auto"/>
        </w:rPr>
      </w:pPr>
    </w:p>
    <w:p>
      <w:pPr>
        <w:ind w:left="1400" w:hanging="637"/>
        <w:spacing w:after="0"/>
        <w:tabs>
          <w:tab w:leader="none" w:pos="140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SEVERABILITY.</w:t>
      </w:r>
    </w:p>
    <w:p>
      <w:pPr>
        <w:spacing w:after="0" w:line="262" w:lineRule="exact"/>
        <w:rPr>
          <w:sz w:val="20"/>
          <w:szCs w:val="20"/>
          <w:color w:val="auto"/>
        </w:rPr>
      </w:pPr>
    </w:p>
    <w:p>
      <w:pPr>
        <w:jc w:val="both"/>
        <w:ind w:firstLine="214"/>
        <w:spacing w:after="0" w:line="275" w:lineRule="auto"/>
        <w:rPr>
          <w:sz w:val="20"/>
          <w:szCs w:val="20"/>
          <w:color w:val="auto"/>
        </w:rPr>
      </w:pPr>
      <w:r>
        <w:rPr>
          <w:rFonts w:ascii="Arial" w:cs="Arial" w:eastAsia="Arial" w:hAnsi="Arial"/>
          <w:sz w:val="16"/>
          <w:szCs w:val="16"/>
          <w:color w:val="auto"/>
        </w:rPr>
        <w:t>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91" w:lineRule="exact"/>
        <w:rPr>
          <w:sz w:val="20"/>
          <w:szCs w:val="20"/>
          <w:color w:val="auto"/>
        </w:rPr>
      </w:pPr>
    </w:p>
    <w:p>
      <w:pPr>
        <w:ind w:left="1400" w:hanging="637"/>
        <w:spacing w:after="0"/>
        <w:tabs>
          <w:tab w:leader="none" w:pos="140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RULES FOR FOREIGN JURISDICTIONS.</w:t>
      </w:r>
    </w:p>
    <w:p>
      <w:pPr>
        <w:spacing w:after="0" w:line="262" w:lineRule="exact"/>
        <w:rPr>
          <w:sz w:val="20"/>
          <w:szCs w:val="20"/>
          <w:color w:val="auto"/>
        </w:rPr>
      </w:pPr>
    </w:p>
    <w:p>
      <w:pPr>
        <w:jc w:val="both"/>
        <w:ind w:left="1420" w:right="120" w:hanging="656"/>
        <w:spacing w:after="0" w:line="265" w:lineRule="auto"/>
        <w:tabs>
          <w:tab w:leader="none" w:pos="141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Administrator may adopt rules or procedures relating to the operation and administration of the Plan to accommodate differences in local law, tax policy or custom. Without limiting the generality of the foregoing, rules and procedures may be adopted regarding handling of payroll deductions, payment of interest, conversion of local currency, payroll tax, withholding procedures and handling of stock certificates that vary depending on location.</w:t>
      </w:r>
    </w:p>
    <w:p>
      <w:pPr>
        <w:spacing w:after="0" w:line="213" w:lineRule="exact"/>
        <w:rPr>
          <w:rFonts w:ascii="Arial" w:cs="Arial" w:eastAsia="Arial" w:hAnsi="Arial"/>
          <w:sz w:val="16"/>
          <w:szCs w:val="16"/>
          <w:color w:val="auto"/>
        </w:rPr>
      </w:pPr>
    </w:p>
    <w:p>
      <w:pPr>
        <w:jc w:val="both"/>
        <w:ind w:left="1420" w:right="100" w:hanging="656"/>
        <w:spacing w:after="0" w:line="261" w:lineRule="auto"/>
        <w:tabs>
          <w:tab w:leader="none" w:pos="141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Administrator may approve such supplements to, or amendments, restatements or alternative versions of this Plan as it may consider necessary or appropriate to accommodate differences in local law, tax policy or custom, without affecting the terms of this Plan as in effect for any other purpose, (including supplements, amendments, restatements and alternative versions designed to be outside the scope of Section 423 of the Code), provided that no such supplements, amendments, restatements or alternative versions shall include any provisions that are inconsistent with the terms of this Plan, as then in effect, unless the Plan could have been amended to eliminate such inconsistency without further approval by the stockholders of the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692"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Eugene A. Hall, certify that:</w:t>
      </w:r>
    </w:p>
    <w:p>
      <w:pPr>
        <w:spacing w:after="0" w:line="252" w:lineRule="exact"/>
        <w:rPr>
          <w:sz w:val="20"/>
          <w:szCs w:val="20"/>
          <w:color w:val="auto"/>
        </w:rPr>
      </w:pPr>
    </w:p>
    <w:p>
      <w:pPr>
        <w:ind w:left="640" w:hanging="632"/>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Gartner,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82" w:lineRule="auto"/>
        <w:tabs>
          <w:tab w:leader="none" w:pos="145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460" w:right="20" w:hanging="804"/>
        <w:spacing w:after="0" w:line="282" w:lineRule="auto"/>
        <w:tabs>
          <w:tab w:leader="none" w:pos="145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460" w:hanging="804"/>
        <w:spacing w:after="0" w:line="282" w:lineRule="auto"/>
        <w:tabs>
          <w:tab w:leader="none" w:pos="145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16116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Eugene A. Hall</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Date: April 30, 2024</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W. Safian, certify that:</w:t>
      </w:r>
    </w:p>
    <w:p>
      <w:pPr>
        <w:spacing w:after="0" w:line="252" w:lineRule="exact"/>
        <w:rPr>
          <w:sz w:val="20"/>
          <w:szCs w:val="20"/>
          <w:color w:val="auto"/>
        </w:rPr>
      </w:pPr>
    </w:p>
    <w:p>
      <w:pPr>
        <w:ind w:left="640" w:hanging="632"/>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Gartner,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82" w:lineRule="auto"/>
        <w:tabs>
          <w:tab w:leader="none" w:pos="145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460" w:right="20" w:hanging="804"/>
        <w:spacing w:after="0" w:line="282" w:lineRule="auto"/>
        <w:tabs>
          <w:tab w:leader="none" w:pos="145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460" w:hanging="804"/>
        <w:spacing w:after="0" w:line="282" w:lineRule="auto"/>
        <w:tabs>
          <w:tab w:leader="none" w:pos="145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 Craig W. Safian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1465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Craig W. Safian</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Date: April 30, 2024</w:t>
      </w:r>
    </w:p>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connection with the Quarterly Report of Gartner, Inc. (the “Company”) on Form 10-Q for the quarter ended March 31, 2024, as filed with the Securities and Exchange Commission on the date hereof (the “Report”), Eugene A. Hall, Chief Executive Officer of the Company, and Craig W. Safian, Chief Financial Officer of the Company, each hereby certifies, pursuant to 18 U.S.C. § 1350, as adopted pursuant to Section 906 of the Sarbanes-Oxley Act of 2002, that:</w:t>
      </w:r>
    </w:p>
    <w:p>
      <w:pPr>
        <w:spacing w:after="0" w:line="205" w:lineRule="exact"/>
        <w:rPr>
          <w:sz w:val="20"/>
          <w:szCs w:val="20"/>
          <w:color w:val="auto"/>
        </w:rPr>
      </w:pPr>
    </w:p>
    <w:p>
      <w:pPr>
        <w:ind w:left="740" w:hanging="732"/>
        <w:spacing w:after="0"/>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740" w:hanging="732"/>
        <w:spacing w:after="0"/>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00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Eugene A. Hall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30, 2024</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Craig W. Safian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00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Craig W. Safian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30, 2024</w:t>
      </w:r>
    </w:p>
    <w:p>
      <w:pPr>
        <w:spacing w:after="0" w:line="31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1)"/>
      <w:numFmt w:val="decimal"/>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1)"/>
      <w:numFmt w:val="decimal"/>
      <w:start w:val="1"/>
    </w:lvl>
  </w:abstractNum>
  <w:abstractNum w:abstractNumId="11">
    <w:nsid w:val="51EAD36B"/>
    <w:multiLevelType w:val="hybridMultilevel"/>
    <w:lvl w:ilvl="0">
      <w:lvlJc w:val="left"/>
      <w:lvlText w:val="(%1)"/>
      <w:numFmt w:val="decimal"/>
      <w:start w:val="1"/>
    </w:lvl>
  </w:abstractNum>
  <w:abstractNum w:abstractNumId="12">
    <w:nsid w:val="2D517796"/>
    <w:multiLevelType w:val="hybridMultilevel"/>
    <w:lvl w:ilvl="0">
      <w:lvlJc w:val="left"/>
      <w:lvlText w:val="(%1)"/>
      <w:numFmt w:val="decimal"/>
      <w:start w:val="1"/>
    </w:lvl>
  </w:abstractNum>
  <w:abstractNum w:abstractNumId="13">
    <w:nsid w:val="580BD78F"/>
    <w:multiLevelType w:val="hybridMultilevel"/>
    <w:lvl w:ilvl="0">
      <w:lvlJc w:val="left"/>
      <w:lvlText w:val="(%1)"/>
      <w:numFmt w:val="decimal"/>
      <w:start w:val="1"/>
    </w:lvl>
  </w:abstractNum>
  <w:abstractNum w:abstractNumId="14">
    <w:nsid w:val="153EA438"/>
    <w:multiLevelType w:val="hybridMultilevel"/>
    <w:lvl w:ilvl="0">
      <w:lvlJc w:val="left"/>
      <w:lvlText w:val="(%1)"/>
      <w:numFmt w:val="decimal"/>
      <w:start w:val="1"/>
    </w:lvl>
  </w:abstractNum>
  <w:abstractNum w:abstractNumId="15">
    <w:nsid w:val="3855585C"/>
    <w:multiLevelType w:val="hybridMultilevel"/>
    <w:lvl w:ilvl="0">
      <w:lvlJc w:val="left"/>
      <w:lvlText w:val="(%1)"/>
      <w:numFmt w:val="decimal"/>
      <w:start w:val="1"/>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1)"/>
      <w:numFmt w:val="decimal"/>
      <w:start w:val="1"/>
    </w:lvl>
  </w:abstractNum>
  <w:abstractNum w:abstractNumId="18">
    <w:nsid w:val="2A487CB0"/>
    <w:multiLevelType w:val="hybridMultilevel"/>
    <w:lvl w:ilvl="0">
      <w:lvlJc w:val="left"/>
      <w:lvlText w:val="(%1)"/>
      <w:numFmt w:val="decimal"/>
      <w:start w:val="3"/>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1)"/>
      <w:numFmt w:val="decimal"/>
      <w:start w:val="1"/>
    </w:lvl>
  </w:abstractNum>
  <w:abstractNum w:abstractNumId="21">
    <w:nsid w:val="2CD89A32"/>
    <w:multiLevelType w:val="hybridMultilevel"/>
    <w:lvl w:ilvl="0">
      <w:lvlJc w:val="left"/>
      <w:lvlText w:val="(%1)"/>
      <w:numFmt w:val="decimal"/>
      <w:start w:val="1"/>
    </w:lvl>
  </w:abstractNum>
  <w:abstractNum w:abstractNumId="22">
    <w:nsid w:val="57E4CCAF"/>
    <w:multiLevelType w:val="hybridMultilevel"/>
    <w:lvl w:ilvl="0">
      <w:lvlJc w:val="left"/>
      <w:lvlText w:val="(%1)"/>
      <w:numFmt w:val="decimal"/>
      <w:start w:val="1"/>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1."/>
      <w:numFmt w:val="decimal"/>
      <w:start w:val="2"/>
    </w:lvl>
    <w:lvl w:ilvl="1">
      <w:lvlJc w:val="left"/>
      <w:lvlText w:val="(%2)"/>
      <w:numFmt w:val="lowerLetter"/>
      <w:start w:val="1"/>
    </w:lvl>
  </w:abstractNum>
  <w:abstractNum w:abstractNumId="28">
    <w:nsid w:val="7644A45C"/>
    <w:multiLevelType w:val="hybridMultilevel"/>
    <w:lvl w:ilvl="0">
      <w:lvlJc w:val="left"/>
      <w:lvlText w:val="%1"/>
      <w:numFmt w:val="decimal"/>
      <w:start w:val="1"/>
    </w:lvl>
    <w:lvl w:ilvl="1">
      <w:lvlJc w:val="left"/>
      <w:lvlText w:val="(%2)"/>
      <w:numFmt w:val="lowerLetter"/>
      <w:start w:val="13"/>
    </w:lvl>
    <w:lvl w:ilvl="2">
      <w:lvlJc w:val="left"/>
      <w:lvlText w:val="(%3)"/>
      <w:numFmt w:val="lowerLetter"/>
      <w:start w:val="1"/>
    </w:lvl>
  </w:abstractNum>
  <w:abstractNum w:abstractNumId="29">
    <w:nsid w:val="32FFF90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0">
    <w:nsid w:val="684A481A"/>
    <w:multiLevelType w:val="hybridMultilevel"/>
    <w:lvl w:ilvl="0">
      <w:lvlJc w:val="left"/>
      <w:lvlText w:val="%1"/>
      <w:numFmt w:val="decimal"/>
      <w:start w:val="1"/>
    </w:lvl>
    <w:lvl w:ilvl="1">
      <w:lvlJc w:val="left"/>
      <w:lvlText w:val="(%2)"/>
      <w:numFmt w:val="lowerLetter"/>
      <w:start w:val="3"/>
    </w:lvl>
    <w:lvl w:ilvl="2">
      <w:lvlJc w:val="left"/>
      <w:lvlText w:val="(%3)"/>
      <w:numFmt w:val="decimal"/>
      <w:start w:val="5"/>
    </w:lvl>
  </w:abstractNum>
  <w:abstractNum w:abstractNumId="31">
    <w:nsid w:val="579478FE"/>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32">
    <w:nsid w:val="749ABB43"/>
    <w:multiLevelType w:val="hybridMultilevel"/>
    <w:lvl w:ilvl="0">
      <w:lvlJc w:val="left"/>
      <w:lvlText w:val="%1."/>
      <w:numFmt w:val="decimal"/>
      <w:start w:val="5"/>
    </w:lvl>
    <w:lvl w:ilvl="1">
      <w:lvlJc w:val="left"/>
      <w:lvlText w:val="(%2)"/>
      <w:numFmt w:val="lowerLetter"/>
      <w:start w:val="1"/>
    </w:lvl>
  </w:abstractNum>
  <w:abstractNum w:abstractNumId="33">
    <w:nsid w:val="3DC240FB"/>
    <w:multiLevelType w:val="hybridMultilevel"/>
    <w:lvl w:ilvl="0">
      <w:lvlJc w:val="left"/>
      <w:lvlText w:val="(%1)"/>
      <w:numFmt w:val="lowerLetter"/>
      <w:start w:val="4"/>
    </w:lvl>
  </w:abstractNum>
  <w:abstractNum w:abstractNumId="34">
    <w:nsid w:val="1BA026FA"/>
    <w:multiLevelType w:val="hybridMultilevel"/>
    <w:lvl w:ilvl="0">
      <w:lvlJc w:val="left"/>
      <w:lvlText w:val="%1."/>
      <w:numFmt w:val="decimal"/>
      <w:start w:val="7"/>
    </w:lvl>
  </w:abstractNum>
  <w:abstractNum w:abstractNumId="35">
    <w:nsid w:val="79A1DEAA"/>
    <w:multiLevelType w:val="hybridMultilevel"/>
    <w:lvl w:ilvl="0">
      <w:lvlJc w:val="left"/>
      <w:lvlText w:val="%1."/>
      <w:numFmt w:val="decimal"/>
      <w:start w:val="8"/>
    </w:lvl>
  </w:abstractNum>
  <w:abstractNum w:abstractNumId="36">
    <w:nsid w:val="75C6C33A"/>
    <w:multiLevelType w:val="hybridMultilevel"/>
    <w:lvl w:ilvl="0">
      <w:lvlJc w:val="left"/>
      <w:lvlText w:val="(%1)"/>
      <w:numFmt w:val="lowerLetter"/>
      <w:start w:val="1"/>
    </w:lvl>
  </w:abstractNum>
  <w:abstractNum w:abstractNumId="37">
    <w:nsid w:val="12E685FB"/>
    <w:multiLevelType w:val="hybridMultilevel"/>
    <w:lvl w:ilvl="0">
      <w:lvlJc w:val="left"/>
      <w:lvlText w:val="%1."/>
      <w:numFmt w:val="decimal"/>
      <w:start w:val="9"/>
    </w:lvl>
  </w:abstractNum>
  <w:abstractNum w:abstractNumId="38">
    <w:nsid w:val="70C6A529"/>
    <w:multiLevelType w:val="hybridMultilevel"/>
    <w:lvl w:ilvl="0">
      <w:lvlJc w:val="left"/>
      <w:lvlText w:val="%1."/>
      <w:numFmt w:val="decimal"/>
      <w:start w:val="10"/>
    </w:lvl>
  </w:abstractNum>
  <w:abstractNum w:abstractNumId="39">
    <w:nsid w:val="520EEDD1"/>
    <w:multiLevelType w:val="hybridMultilevel"/>
    <w:lvl w:ilvl="0">
      <w:lvlJc w:val="left"/>
      <w:lvlText w:val="(%1)"/>
      <w:numFmt w:val="lowerLetter"/>
      <w:start w:val="1"/>
    </w:lvl>
  </w:abstractNum>
  <w:abstractNum w:abstractNumId="40">
    <w:nsid w:val="374A3FE6"/>
    <w:multiLevelType w:val="hybridMultilevel"/>
    <w:lvl w:ilvl="0">
      <w:lvlJc w:val="left"/>
      <w:lvlText w:val="(%1)"/>
      <w:numFmt w:val="lowerLetter"/>
      <w:start w:val="2"/>
    </w:lvl>
    <w:lvl w:ilvl="1">
      <w:lvlJc w:val="left"/>
      <w:lvlText w:val="%2."/>
      <w:numFmt w:val="decimal"/>
      <w:start w:val="11"/>
    </w:lvl>
  </w:abstractNum>
  <w:abstractNum w:abstractNumId="41">
    <w:nsid w:val="4F4EF005"/>
    <w:multiLevelType w:val="hybridMultilevel"/>
    <w:lvl w:ilvl="0">
      <w:lvlJc w:val="left"/>
      <w:lvlText w:val="%1."/>
      <w:numFmt w:val="decimal"/>
      <w:start w:val="12"/>
    </w:lvl>
  </w:abstractNum>
  <w:abstractNum w:abstractNumId="42">
    <w:nsid w:val="23F9C13C"/>
    <w:multiLevelType w:val="hybridMultilevel"/>
    <w:lvl w:ilvl="0">
      <w:lvlJc w:val="left"/>
      <w:lvlText w:val="(%1)"/>
      <w:numFmt w:val="lowerLetter"/>
      <w:start w:val="1"/>
    </w:lvl>
  </w:abstractNum>
  <w:abstractNum w:abstractNumId="43">
    <w:nsid w:val="649BB77C"/>
    <w:multiLevelType w:val="hybridMultilevel"/>
    <w:lvl w:ilvl="0">
      <w:lvlJc w:val="left"/>
      <w:lvlText w:val="%1."/>
      <w:numFmt w:val="decimal"/>
      <w:start w:val="13"/>
    </w:lvl>
  </w:abstractNum>
  <w:abstractNum w:abstractNumId="44">
    <w:nsid w:val="275AC794"/>
    <w:multiLevelType w:val="hybridMultilevel"/>
    <w:lvl w:ilvl="0">
      <w:lvlJc w:val="left"/>
      <w:lvlText w:val="(%1)"/>
      <w:numFmt w:val="lowerLetter"/>
      <w:start w:val="1"/>
    </w:lvl>
    <w:lvl w:ilvl="1">
      <w:lvlJc w:val="left"/>
      <w:lvlText w:val="(%2)"/>
      <w:numFmt w:val="decimal"/>
      <w:start w:val="1"/>
    </w:lvl>
  </w:abstractNum>
  <w:abstractNum w:abstractNumId="45">
    <w:nsid w:val="39386575"/>
    <w:multiLevelType w:val="hybridMultilevel"/>
    <w:lvl w:ilvl="0">
      <w:lvlJc w:val="left"/>
      <w:lvlText w:val="(%1)"/>
      <w:numFmt w:val="decimal"/>
      <w:start w:val="4"/>
    </w:lvl>
  </w:abstractNum>
  <w:abstractNum w:abstractNumId="46">
    <w:nsid w:val="1CF10FD8"/>
    <w:multiLevelType w:val="hybridMultilevel"/>
    <w:lvl w:ilvl="0">
      <w:lvlJc w:val="left"/>
      <w:lvlText w:val="%1."/>
      <w:numFmt w:val="decimal"/>
      <w:start w:val="14"/>
    </w:lvl>
  </w:abstractNum>
  <w:abstractNum w:abstractNumId="47">
    <w:nsid w:val="180115BE"/>
    <w:multiLevelType w:val="hybridMultilevel"/>
    <w:lvl w:ilvl="0">
      <w:lvlJc w:val="left"/>
      <w:lvlText w:val="(%1)"/>
      <w:numFmt w:val="lowerLetter"/>
      <w:start w:val="1"/>
    </w:lvl>
  </w:abstractNum>
  <w:abstractNum w:abstractNumId="48">
    <w:nsid w:val="235BA861"/>
    <w:multiLevelType w:val="hybridMultilevel"/>
    <w:lvl w:ilvl="0">
      <w:lvlJc w:val="left"/>
      <w:lvlText w:val="%1."/>
      <w:numFmt w:val="decimal"/>
      <w:start w:val="15"/>
    </w:lvl>
  </w:abstractNum>
  <w:abstractNum w:abstractNumId="49">
    <w:nsid w:val="47398C89"/>
    <w:multiLevelType w:val="hybridMultilevel"/>
    <w:lvl w:ilvl="0">
      <w:lvlJc w:val="left"/>
      <w:lvlText w:val="%1."/>
      <w:numFmt w:val="decimal"/>
      <w:start w:val="16"/>
    </w:lvl>
  </w:abstractNum>
  <w:abstractNum w:abstractNumId="50">
    <w:nsid w:val="354FE9F9"/>
    <w:multiLevelType w:val="hybridMultilevel"/>
    <w:lvl w:ilvl="0">
      <w:lvlJc w:val="left"/>
      <w:lvlText w:val="%1."/>
      <w:numFmt w:val="decimal"/>
      <w:start w:val="17"/>
    </w:lvl>
  </w:abstractNum>
  <w:abstractNum w:abstractNumId="51">
    <w:nsid w:val="15B5AF5C"/>
    <w:multiLevelType w:val="hybridMultilevel"/>
    <w:lvl w:ilvl="0">
      <w:lvlJc w:val="left"/>
      <w:lvlText w:val="%1."/>
      <w:numFmt w:val="decimal"/>
      <w:start w:val="18"/>
    </w:lvl>
  </w:abstractNum>
  <w:abstractNum w:abstractNumId="52">
    <w:nsid w:val="741226BB"/>
    <w:multiLevelType w:val="hybridMultilevel"/>
    <w:lvl w:ilvl="0">
      <w:lvlJc w:val="left"/>
      <w:lvlText w:val="(%1)"/>
      <w:numFmt w:val="lowerLetter"/>
      <w:start w:val="1"/>
    </w:lvl>
  </w:abstractNum>
  <w:abstractNum w:abstractNumId="53">
    <w:nsid w:val="D34B6A8"/>
    <w:multiLevelType w:val="hybridMultilevel"/>
    <w:lvl w:ilvl="0">
      <w:lvlJc w:val="left"/>
      <w:lvlText w:val="%1"/>
      <w:numFmt w:val="lowerLetter"/>
      <w:start w:val="1"/>
    </w:lvl>
    <w:lvl w:ilvl="1">
      <w:lvlJc w:val="left"/>
      <w:lvlText w:val="%2."/>
      <w:numFmt w:val="decimal"/>
      <w:start w:val="19"/>
    </w:lvl>
  </w:abstractNum>
  <w:abstractNum w:abstractNumId="54">
    <w:nsid w:val="10233C99"/>
    <w:multiLevelType w:val="hybridMultilevel"/>
    <w:lvl w:ilvl="0">
      <w:lvlJc w:val="left"/>
      <w:lvlText w:val="(%1)"/>
      <w:numFmt w:val="lowerLetter"/>
      <w:start w:val="1"/>
    </w:lvl>
    <w:lvl w:ilvl="1">
      <w:lvlJc w:val="left"/>
      <w:lvlText w:val="%2."/>
      <w:numFmt w:val="decimal"/>
      <w:start w:val="20"/>
    </w:lvl>
  </w:abstractNum>
  <w:abstractNum w:abstractNumId="55">
    <w:nsid w:val="3F6AB60F"/>
    <w:multiLevelType w:val="hybridMultilevel"/>
    <w:lvl w:ilvl="0">
      <w:lvlJc w:val="left"/>
      <w:lvlText w:val="%1."/>
      <w:numFmt w:val="decimal"/>
      <w:start w:val="21"/>
    </w:lvl>
  </w:abstractNum>
  <w:abstractNum w:abstractNumId="56">
    <w:nsid w:val="61574095"/>
    <w:multiLevelType w:val="hybridMultilevel"/>
    <w:lvl w:ilvl="0">
      <w:lvlJc w:val="left"/>
      <w:lvlText w:val="(%1)"/>
      <w:numFmt w:val="lowerLetter"/>
      <w:start w:val="1"/>
    </w:lvl>
  </w:abstractNum>
  <w:abstractNum w:abstractNumId="57">
    <w:nsid w:val="7E0C57B1"/>
    <w:multiLevelType w:val="hybridMultilevel"/>
    <w:lvl w:ilvl="0">
      <w:lvlJc w:val="left"/>
      <w:lvlText w:val="%1."/>
      <w:numFmt w:val="decimal"/>
      <w:start w:val="22"/>
    </w:lvl>
  </w:abstractNum>
  <w:abstractNum w:abstractNumId="58">
    <w:nsid w:val="77AE35EB"/>
    <w:multiLevelType w:val="hybridMultilevel"/>
    <w:lvl w:ilvl="0">
      <w:lvlJc w:val="left"/>
      <w:lvlText w:val="%1."/>
      <w:numFmt w:val="decimal"/>
      <w:start w:val="23"/>
    </w:lvl>
  </w:abstractNum>
  <w:abstractNum w:abstractNumId="59">
    <w:nsid w:val="579BE4F1"/>
    <w:multiLevelType w:val="hybridMultilevel"/>
    <w:lvl w:ilvl="0">
      <w:lvlJc w:val="left"/>
      <w:lvlText w:val="%1."/>
      <w:numFmt w:val="decimal"/>
      <w:start w:val="24"/>
    </w:lvl>
  </w:abstractNum>
  <w:abstractNum w:abstractNumId="60">
    <w:nsid w:val="310C50B3"/>
    <w:multiLevelType w:val="hybridMultilevel"/>
    <w:lvl w:ilvl="0">
      <w:lvlJc w:val="left"/>
      <w:lvlText w:val="%1."/>
      <w:numFmt w:val="decimal"/>
      <w:start w:val="25"/>
    </w:lvl>
  </w:abstractNum>
  <w:abstractNum w:abstractNumId="61">
    <w:nsid w:val="5FF87E05"/>
    <w:multiLevelType w:val="hybridMultilevel"/>
    <w:lvl w:ilvl="0">
      <w:lvlJc w:val="left"/>
      <w:lvlText w:val="%1."/>
      <w:numFmt w:val="decimal"/>
      <w:start w:val="26"/>
    </w:lvl>
  </w:abstractNum>
  <w:abstractNum w:abstractNumId="62">
    <w:nsid w:val="2F305DEF"/>
    <w:multiLevelType w:val="hybridMultilevel"/>
    <w:lvl w:ilvl="0">
      <w:lvlJc w:val="left"/>
      <w:lvlText w:val="%1."/>
      <w:numFmt w:val="decimal"/>
      <w:start w:val="27"/>
    </w:lvl>
  </w:abstractNum>
  <w:abstractNum w:abstractNumId="63">
    <w:nsid w:val="25A70BF7"/>
    <w:multiLevelType w:val="hybridMultilevel"/>
    <w:lvl w:ilvl="0">
      <w:lvlJc w:val="left"/>
      <w:lvlText w:val="(%1)"/>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0" Type="http://schemas.openxmlformats.org/officeDocument/2006/relationships/hyperlink" Target="https://www.sec.gov/Archives/edgar/data/749251/000095012305008192/y10586exv3w1.htm" TargetMode="External"/><Relationship Id="rId61" Type="http://schemas.openxmlformats.org/officeDocument/2006/relationships/hyperlink" Target="https://www.sec.gov/Archives/edgar/data/749251/000074925121000020/bylawsapril292021.htm" TargetMode="External"/><Relationship Id="rId62" Type="http://schemas.openxmlformats.org/officeDocument/2006/relationships/hyperlink" Target="https://www.sec.gov/Archives/edgar/data/749251/000119312524083467/d77149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2024-04-30T05:28:08Z</dcterms:created>
  <dcterms:modified xsi:type="dcterms:W3CDTF">2024-04-30T05:28:08Z</dcterms:modified>
</cp:coreProperties>
</file>