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8580d8k.htm"/>
      <w:bookmarkStart w:id="1" w:name="ksd15858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 of the</w:t>
      </w:r>
    </w:p>
    <w:p>
      <w:pPr>
        <w:pStyle w:val="TextBody"/>
        <w:bidi w:val="0"/>
        <w:spacing w:before="0" w:after="0"/>
        <w:jc w:val="center"/>
        <w:rPr>
          <w:rFonts w:ascii="Times New Roman" w:hAnsi="Times New Roman"/>
          <w:b/>
          <w:sz w:val="24"/>
        </w:rPr>
      </w:pPr>
      <w:r>
        <w:rPr>
          <w:rFonts w:ascii="Times New Roman" w:hAnsi="Times New Roman"/>
          <w:b/>
          <w:sz w:val="24"/>
        </w:rPr>
        <w:t>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October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GARTNER,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caps/>
              </w:rPr>
            </w:pPr>
            <w:r>
              <w:rPr>
                <w:b/>
                <w:caps/>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1-14443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04-3099750</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P.O. Box 10212</w:t>
      </w:r>
    </w:p>
    <w:p>
      <w:pPr>
        <w:pStyle w:val="TextBody"/>
        <w:bidi w:val="0"/>
        <w:spacing w:before="0" w:after="0"/>
        <w:jc w:val="center"/>
        <w:rPr>
          <w:rFonts w:ascii="Times New Roman" w:hAnsi="Times New Roman"/>
          <w:b/>
          <w:sz w:val="20"/>
        </w:rPr>
      </w:pPr>
      <w:r>
        <w:rPr>
          <w:rFonts w:ascii="Times New Roman" w:hAnsi="Times New Roman"/>
          <w:b/>
          <w:sz w:val="20"/>
        </w:rPr>
        <w:t>56 Top Gallant Road</w:t>
      </w:r>
    </w:p>
    <w:p>
      <w:pPr>
        <w:pStyle w:val="TextBody"/>
        <w:bidi w:val="0"/>
        <w:spacing w:before="0" w:after="0"/>
        <w:jc w:val="center"/>
        <w:rPr>
          <w:rFonts w:ascii="Times New Roman" w:hAnsi="Times New Roman"/>
          <w:b/>
          <w:sz w:val="20"/>
        </w:rPr>
      </w:pPr>
      <w:r>
        <w:rPr>
          <w:rFonts w:ascii="Times New Roman" w:hAnsi="Times New Roman"/>
          <w:b/>
          <w:sz w:val="20"/>
        </w:rPr>
        <w:t>Stamford, CT 06902-7747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(203) 964-0096</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Securities Exchange Act of 1934:</w:t>
      </w:r>
    </w:p>
    <w:p>
      <w:pPr>
        <w:pStyle w:val="TextBody"/>
        <w:bidi w:val="0"/>
        <w:spacing w:before="0" w:after="0"/>
        <w:jc w:val="left"/>
        <w:rPr/>
      </w:pPr>
      <w:r>
        <w:rPr/>
        <w:t> </w:t>
      </w:r>
    </w:p>
    <w:tbl>
      <w:tblPr>
        <w:tblW w:w="7650" w:type="dxa"/>
        <w:jc w:val="left"/>
        <w:tblInd w:w="0" w:type="dxa"/>
        <w:tblLayout w:type="fixed"/>
        <w:tblCellMar>
          <w:top w:w="0" w:type="dxa"/>
          <w:left w:w="0" w:type="dxa"/>
          <w:bottom w:w="0" w:type="dxa"/>
          <w:right w:w="0" w:type="dxa"/>
        </w:tblCellMar>
      </w:tblPr>
      <w:tblGrid>
        <w:gridCol w:w="4265"/>
        <w:gridCol w:w="60"/>
        <w:gridCol w:w="605"/>
        <w:gridCol w:w="60"/>
        <w:gridCol w:w="26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$0.0005 par value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IT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3, 2026, Mr. Thomas Kim, Executive Vice President, Chief Legal Officer &amp; Secretary of Gartner, Inc. (the “Company” or “Gartner”), notified the Company that he will be stepping down from his role effective October 16, 2026 to pursue a new senior executive opportunity. There has been no disagreement between Mr. Kim and Gartner on any matter relating to the Company’s financials, operations, policies or practices.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793" w:type="dxa"/>
        <w:jc w:val="left"/>
        <w:tblInd w:w="0" w:type="dxa"/>
        <w:tblLayout w:type="fixed"/>
        <w:tblCellMar>
          <w:top w:w="0" w:type="dxa"/>
          <w:left w:w="0" w:type="dxa"/>
          <w:bottom w:w="0" w:type="dxa"/>
          <w:right w:w="0" w:type="dxa"/>
        </w:tblCellMar>
      </w:tblPr>
      <w:tblGrid>
        <w:gridCol w:w="2150"/>
        <w:gridCol w:w="60"/>
        <w:gridCol w:w="23"/>
        <w:gridCol w:w="60"/>
        <w:gridCol w:w="365"/>
        <w:gridCol w:w="60"/>
        <w:gridCol w:w="507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Gartner,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W. Safian</w:t>
            </w:r>
          </w:p>
        </w:tc>
      </w:tr>
      <w:tr>
        <w:trPr/>
        <w:tc>
          <w:tcPr>
            <w:tcW w:w="21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Craig W. Safian</w:t>
            </w:r>
          </w:p>
        </w:tc>
      </w:tr>
      <w:tr>
        <w:trPr/>
        <w:tc>
          <w:tcPr>
            <w:tcW w:w="21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443</Words>
  <Characters>2447</Characters>
  <CharactersWithSpaces>2890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