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Gartner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$.0005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Independent Franchise Partners, LLP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5,286,523.00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169,219.00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5,582,962.00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5,582,962.00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Gartner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P.O. Box 10212, 56 Top Gallant Road, Stamford, CT 06902-7700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Independent Franchise Partners, LLP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Level 1, 10 Portman Square, London W1H 6AZ, United Kingdom</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United Kingdom</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$.0005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5,582,962.00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8.34%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5,286,523.00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169,219.00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5,582,962.00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88" w:type="dxa"/>
        <w:jc w:val="left"/>
        <w:tblInd w:w="0" w:type="dxa"/>
        <w:tblLayout w:type="fixed"/>
        <w:tblCellMar>
          <w:top w:w="28" w:type="dxa"/>
          <w:left w:w="28" w:type="dxa"/>
          <w:bottom w:w="28" w:type="dxa"/>
          <w:right w:w="28" w:type="dxa"/>
        </w:tblCellMar>
      </w:tblPr>
      <w:tblGrid>
        <w:gridCol w:w="3794"/>
        <w:gridCol w:w="3794"/>
      </w:tblGrid>
      <w:tr>
        <w:trPr/>
        <w:tc>
          <w:tcPr>
            <w:tcW w:w="3794" w:type="dxa"/>
            <w:tcBorders/>
            <w:vAlign w:val="center"/>
          </w:tcPr>
          <w:p>
            <w:pPr>
              <w:pStyle w:val="TableContents"/>
              <w:bidi w:val="0"/>
              <w:spacing w:before="0" w:after="0"/>
              <w:jc w:val="left"/>
              <w:rPr/>
            </w:pPr>
            <w:r>
              <w:rPr/>
              <w:t> </w:t>
            </w:r>
          </w:p>
          <w:tbl>
            <w:tblPr>
              <w:tblW w:w="3691" w:type="dxa"/>
              <w:jc w:val="left"/>
              <w:tblInd w:w="0" w:type="dxa"/>
              <w:tblLayout w:type="fixed"/>
              <w:tblCellMar>
                <w:top w:w="28" w:type="dxa"/>
                <w:left w:w="28" w:type="dxa"/>
                <w:bottom w:w="28" w:type="dxa"/>
                <w:right w:w="28" w:type="dxa"/>
              </w:tblCellMar>
            </w:tblPr>
            <w:tblGrid>
              <w:gridCol w:w="3691"/>
            </w:tblGrid>
            <w:tr>
              <w:trPr/>
              <w:tc>
                <w:tcPr>
                  <w:tcW w:w="3691" w:type="dxa"/>
                  <w:tcBorders/>
                  <w:vAlign w:val="center"/>
                </w:tcPr>
                <w:p>
                  <w:pPr>
                    <w:pStyle w:val="TableContents"/>
                    <w:bidi w:val="0"/>
                    <w:spacing w:before="0" w:after="0"/>
                    <w:jc w:val="left"/>
                    <w:rPr/>
                  </w:pPr>
                  <w:r>
                    <w:rPr/>
                    <w:t>Independent Franchise Partners, LLP</w:t>
                  </w:r>
                </w:p>
              </w:tc>
            </w:tr>
          </w:tbl>
          <w:p>
            <w:pPr>
              <w:pStyle w:val="TableContents"/>
              <w:bidi w:val="0"/>
              <w:spacing w:before="0" w:after="283"/>
              <w:jc w:val="left"/>
              <w:rPr/>
            </w:pPr>
            <w:r>
              <w:rPr/>
            </w:r>
          </w:p>
        </w:tc>
        <w:tc>
          <w:tcPr>
            <w:tcW w:w="37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Sandeep Ghela</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Sandeep Ghela | Chief Operating Officer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738</Words>
  <Characters>3848</Characters>
  <CharactersWithSpaces>4577</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