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11-K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640" w:right="1879" w:hanging="632"/>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15(d) OF THE SECURITIES EXCHANGE ACT OF 1934 [NO FEE REQUIRED].</w:t>
      </w:r>
    </w:p>
    <w:p>
      <w:pPr>
        <w:spacing w:after="0" w:line="203" w:lineRule="exact"/>
        <w:rPr>
          <w:sz w:val="24"/>
          <w:szCs w:val="24"/>
          <w:color w:val="auto"/>
        </w:rPr>
      </w:pPr>
    </w:p>
    <w:p>
      <w:pPr>
        <w:ind w:left="640"/>
        <w:spacing w:after="0"/>
        <w:tabs>
          <w:tab w:leader="none" w:pos="4000" w:val="left"/>
        </w:tabs>
        <w:rPr>
          <w:sz w:val="20"/>
          <w:szCs w:val="20"/>
          <w:color w:val="auto"/>
        </w:rPr>
      </w:pPr>
      <w:r>
        <w:rPr>
          <w:rFonts w:ascii="Courier New" w:cs="Courier New" w:eastAsia="Courier New" w:hAnsi="Courier New"/>
          <w:sz w:val="18"/>
          <w:szCs w:val="18"/>
          <w:color w:val="auto"/>
        </w:rPr>
        <w:t>For the fiscal year ended</w:t>
      </w:r>
      <w:r>
        <w:rPr>
          <w:sz w:val="20"/>
          <w:szCs w:val="20"/>
          <w:color w:val="auto"/>
        </w:rPr>
        <w:tab/>
      </w:r>
      <w:r>
        <w:rPr>
          <w:rFonts w:ascii="Courier New" w:cs="Courier New" w:eastAsia="Courier New" w:hAnsi="Courier New"/>
          <w:sz w:val="16"/>
          <w:szCs w:val="16"/>
          <w:color w:val="auto"/>
        </w:rPr>
        <w:t>December 31, 2003</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18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15(d) OF THE SECURITIES EXCHANGE ACT OF 1934 [NO FEE REQUIRED].</w:t>
      </w:r>
    </w:p>
    <w:p>
      <w:pPr>
        <w:sectPr>
          <w:pgSz w:w="11900" w:h="16838" w:orient="portrait"/>
          <w:cols w:equalWidth="0" w:num="1">
            <w:col w:w="10219"/>
          </w:cols>
          <w:pgMar w:left="240" w:top="649" w:right="1440" w:bottom="1440" w:gutter="0" w:footer="0" w:header="0"/>
        </w:sectPr>
      </w:pPr>
    </w:p>
    <w:p>
      <w:pPr>
        <w:spacing w:after="0" w:line="208"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200" w:lineRule="exact"/>
        <w:rPr>
          <w:sz w:val="24"/>
          <w:szCs w:val="24"/>
          <w:color w:val="auto"/>
        </w:rPr>
      </w:pPr>
    </w:p>
    <w:p>
      <w:pPr>
        <w:sectPr>
          <w:pgSz w:w="11900" w:h="16838" w:orient="portrait"/>
          <w:cols w:equalWidth="0" w:num="2">
            <w:col w:w="3700" w:space="620"/>
            <w:col w:w="5899"/>
          </w:cols>
          <w:pgMar w:left="240" w:top="649" w:right="1440" w:bottom="1440" w:gutter="0" w:footer="0" w:header="0"/>
          <w:type w:val="continuous"/>
        </w:sectPr>
      </w:pPr>
    </w:p>
    <w:p>
      <w:pPr>
        <w:spacing w:after="0" w:line="7"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1-14443</w:t>
      </w:r>
    </w:p>
    <w:p>
      <w:pPr>
        <w:spacing w:after="0" w:line="200" w:lineRule="exact"/>
        <w:rPr>
          <w:sz w:val="24"/>
          <w:szCs w:val="24"/>
          <w:color w:val="auto"/>
        </w:rPr>
      </w:pPr>
    </w:p>
    <w:p>
      <w:pPr>
        <w:sectPr>
          <w:pgSz w:w="11900" w:h="16838" w:orient="portrait"/>
          <w:cols w:equalWidth="0" w:num="2">
            <w:col w:w="2440" w:space="420"/>
            <w:col w:w="7359"/>
          </w:cols>
          <w:pgMar w:left="240" w:top="649" w:right="1440" w:bottom="1440" w:gutter="0" w:footer="0" w:header="0"/>
          <w:type w:val="continuous"/>
        </w:sectPr>
      </w:pPr>
    </w:p>
    <w:p>
      <w:pPr>
        <w:spacing w:after="0" w:line="24" w:lineRule="exact"/>
        <w:rPr>
          <w:sz w:val="24"/>
          <w:szCs w:val="24"/>
          <w:color w:val="auto"/>
        </w:rPr>
      </w:pPr>
    </w:p>
    <w:p>
      <w:pPr>
        <w:ind w:left="640" w:right="1779" w:hanging="632"/>
        <w:spacing w:after="0" w:line="235"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 title of the plan and the address of the plan, if different from that of the issuer named below:</w:t>
      </w:r>
    </w:p>
    <w:p>
      <w:pPr>
        <w:spacing w:after="0" w:line="203"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GARTNER, INC. SAVINGS AND INVESTMENT PLAN</w:t>
      </w:r>
    </w:p>
    <w:p>
      <w:pPr>
        <w:spacing w:after="0" w:line="207" w:lineRule="exact"/>
        <w:rPr>
          <w:sz w:val="24"/>
          <w:szCs w:val="24"/>
          <w:color w:val="auto"/>
        </w:rPr>
      </w:pPr>
    </w:p>
    <w:p>
      <w:pPr>
        <w:ind w:left="640" w:right="1779" w:hanging="632"/>
        <w:spacing w:after="0" w:line="235"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of the securities held pursuant to the plan and the address of its principal executive office:</w:t>
      </w: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GARTNER, INC.</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56 TOP GALLANT ROAD</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STAMFORD, CT 06902-7747</w:t>
      </w:r>
    </w:p>
    <w:p>
      <w:pPr>
        <w:sectPr>
          <w:pgSz w:w="11900" w:h="16838" w:orient="portrait"/>
          <w:cols w:equalWidth="0" w:num="1">
            <w:col w:w="10219"/>
          </w:cols>
          <w:pgMar w:left="240" w:top="649"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GARTNER, INC.</w:t>
            </w:r>
          </w:p>
        </w:tc>
        <w:tc>
          <w:tcPr>
            <w:tcW w:w="8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9800" w:type="dxa"/>
            <w:vAlign w:val="bottom"/>
            <w:gridSpan w:val="2"/>
          </w:tcPr>
          <w:p>
            <w:pPr>
              <w:spacing w:after="0"/>
              <w:rPr>
                <w:sz w:val="20"/>
                <w:szCs w:val="20"/>
                <w:color w:val="auto"/>
              </w:rPr>
            </w:pPr>
            <w:r>
              <w:rPr>
                <w:rFonts w:ascii="Courier New" w:cs="Courier New" w:eastAsia="Courier New" w:hAnsi="Courier New"/>
                <w:sz w:val="18"/>
                <w:szCs w:val="18"/>
                <w:color w:val="auto"/>
              </w:rPr>
              <w:t>SAVINGS AND INVESTMENT PLAN</w:t>
            </w:r>
          </w:p>
        </w:tc>
        <w:tc>
          <w:tcPr>
            <w:tcW w:w="1380" w:type="dxa"/>
            <w:vAlign w:val="bottom"/>
          </w:tcPr>
          <w:p>
            <w:pPr>
              <w:spacing w:after="0"/>
              <w:rPr>
                <w:sz w:val="24"/>
                <w:szCs w:val="24"/>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INDEX TO FORM</w:t>
            </w:r>
          </w:p>
        </w:tc>
        <w:tc>
          <w:tcPr>
            <w:tcW w:w="8360" w:type="dxa"/>
            <w:vAlign w:val="bottom"/>
          </w:tcPr>
          <w:p>
            <w:pPr>
              <w:ind w:left="40"/>
              <w:spacing w:after="0"/>
              <w:rPr>
                <w:sz w:val="20"/>
                <w:szCs w:val="20"/>
                <w:color w:val="auto"/>
              </w:rPr>
            </w:pPr>
            <w:r>
              <w:rPr>
                <w:rFonts w:ascii="Courier New" w:cs="Courier New" w:eastAsia="Courier New" w:hAnsi="Courier New"/>
                <w:sz w:val="18"/>
                <w:szCs w:val="18"/>
                <w:color w:val="auto"/>
              </w:rPr>
              <w:t>11-K</w:t>
            </w:r>
          </w:p>
        </w:tc>
        <w:tc>
          <w:tcPr>
            <w:tcW w:w="1380" w:type="dxa"/>
            <w:vAlign w:val="bottom"/>
          </w:tcPr>
          <w:p>
            <w:pPr>
              <w:spacing w:after="0"/>
              <w:rPr>
                <w:sz w:val="24"/>
                <w:szCs w:val="24"/>
                <w:color w:val="auto"/>
              </w:rPr>
            </w:pPr>
          </w:p>
        </w:tc>
      </w:tr>
      <w:tr>
        <w:trPr>
          <w:trHeight w:val="810"/>
        </w:trPr>
        <w:tc>
          <w:tcPr>
            <w:tcW w:w="144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380" w:type="dxa"/>
            <w:vAlign w:val="bottom"/>
          </w:tcPr>
          <w:p>
            <w:pPr>
              <w:ind w:left="840"/>
              <w:spacing w:after="0"/>
              <w:rPr>
                <w:sz w:val="20"/>
                <w:szCs w:val="20"/>
                <w:color w:val="auto"/>
              </w:rPr>
            </w:pPr>
            <w:r>
              <w:rPr>
                <w:rFonts w:ascii="Courier New" w:cs="Courier New" w:eastAsia="Courier New" w:hAnsi="Courier New"/>
                <w:sz w:val="18"/>
                <w:szCs w:val="18"/>
                <w:color w:val="auto"/>
              </w:rPr>
              <w:t>Page</w:t>
            </w:r>
          </w:p>
        </w:tc>
      </w:tr>
      <w:tr>
        <w:trPr>
          <w:trHeight w:val="405"/>
        </w:trPr>
        <w:tc>
          <w:tcPr>
            <w:tcW w:w="9800" w:type="dxa"/>
            <w:vAlign w:val="bottom"/>
            <w:gridSpan w:val="2"/>
          </w:tcPr>
          <w:p>
            <w:pPr>
              <w:spacing w:after="0"/>
              <w:rPr>
                <w:sz w:val="20"/>
                <w:szCs w:val="20"/>
                <w:color w:val="auto"/>
              </w:rPr>
            </w:pPr>
            <w:r>
              <w:rPr>
                <w:rFonts w:ascii="Courier New" w:cs="Courier New" w:eastAsia="Courier New" w:hAnsi="Courier New"/>
                <w:sz w:val="18"/>
                <w:szCs w:val="18"/>
                <w:color w:val="auto"/>
              </w:rPr>
              <w:t>REPORT OF INDEPENDENT REGISTERED PUBLIC ACCOUNTING FIRM</w:t>
            </w:r>
          </w:p>
        </w:tc>
        <w:tc>
          <w:tcPr>
            <w:tcW w:w="1380" w:type="dxa"/>
            <w:vAlign w:val="bottom"/>
          </w:tcPr>
          <w:p>
            <w:pPr>
              <w:ind w:left="1060"/>
              <w:spacing w:after="0"/>
              <w:rPr>
                <w:sz w:val="20"/>
                <w:szCs w:val="20"/>
                <w:color w:val="auto"/>
              </w:rPr>
            </w:pPr>
            <w:r>
              <w:rPr>
                <w:rFonts w:ascii="Courier New" w:cs="Courier New" w:eastAsia="Courier New" w:hAnsi="Courier New"/>
                <w:sz w:val="18"/>
                <w:szCs w:val="18"/>
                <w:color w:val="auto"/>
              </w:rPr>
              <w:t>1</w:t>
            </w:r>
          </w:p>
        </w:tc>
      </w:tr>
      <w:tr>
        <w:trPr>
          <w:trHeight w:val="405"/>
        </w:trPr>
        <w:tc>
          <w:tcPr>
            <w:tcW w:w="9800" w:type="dxa"/>
            <w:vAlign w:val="bottom"/>
            <w:gridSpan w:val="2"/>
          </w:tcPr>
          <w:p>
            <w:pPr>
              <w:spacing w:after="0"/>
              <w:rPr>
                <w:sz w:val="20"/>
                <w:szCs w:val="20"/>
                <w:color w:val="auto"/>
              </w:rPr>
            </w:pPr>
            <w:r>
              <w:rPr>
                <w:rFonts w:ascii="Courier New" w:cs="Courier New" w:eastAsia="Courier New" w:hAnsi="Courier New"/>
                <w:sz w:val="18"/>
                <w:szCs w:val="18"/>
                <w:color w:val="auto"/>
              </w:rPr>
              <w:t>FINANCIAL STATEMENTS:</w:t>
            </w:r>
          </w:p>
        </w:tc>
        <w:tc>
          <w:tcPr>
            <w:tcW w:w="1380" w:type="dxa"/>
            <w:vAlign w:val="bottom"/>
          </w:tcPr>
          <w:p>
            <w:pPr>
              <w:spacing w:after="0"/>
              <w:rPr>
                <w:sz w:val="24"/>
                <w:szCs w:val="24"/>
                <w:color w:val="auto"/>
              </w:rPr>
            </w:pPr>
          </w:p>
        </w:tc>
      </w:tr>
      <w:tr>
        <w:trPr>
          <w:trHeight w:val="405"/>
        </w:trPr>
        <w:tc>
          <w:tcPr>
            <w:tcW w:w="980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Statements of net assets available for benefits as of December 31, 2003 and</w:t>
            </w:r>
          </w:p>
        </w:tc>
        <w:tc>
          <w:tcPr>
            <w:tcW w:w="138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8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2002</w:t>
            </w:r>
          </w:p>
        </w:tc>
        <w:tc>
          <w:tcPr>
            <w:tcW w:w="1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2</w:t>
            </w:r>
          </w:p>
        </w:tc>
      </w:tr>
      <w:tr>
        <w:trPr>
          <w:trHeight w:val="405"/>
        </w:trPr>
        <w:tc>
          <w:tcPr>
            <w:tcW w:w="980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Statement of changes in net assets available for benefits for the year ended</w:t>
            </w:r>
          </w:p>
        </w:tc>
        <w:tc>
          <w:tcPr>
            <w:tcW w:w="138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8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December 31, 2003</w:t>
            </w:r>
          </w:p>
        </w:tc>
        <w:tc>
          <w:tcPr>
            <w:tcW w:w="1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9800" w:type="dxa"/>
            <w:vAlign w:val="bottom"/>
            <w:gridSpan w:val="2"/>
          </w:tcPr>
          <w:p>
            <w:pPr>
              <w:spacing w:after="0"/>
              <w:rPr>
                <w:sz w:val="20"/>
                <w:szCs w:val="20"/>
                <w:color w:val="auto"/>
              </w:rPr>
            </w:pPr>
            <w:r>
              <w:rPr>
                <w:rFonts w:ascii="Courier New" w:cs="Courier New" w:eastAsia="Courier New" w:hAnsi="Courier New"/>
                <w:sz w:val="18"/>
                <w:szCs w:val="18"/>
                <w:color w:val="auto"/>
              </w:rPr>
              <w:t>Notes to the financial statements</w:t>
            </w:r>
          </w:p>
        </w:tc>
        <w:tc>
          <w:tcPr>
            <w:tcW w:w="1380" w:type="dxa"/>
            <w:vAlign w:val="bottom"/>
          </w:tcPr>
          <w:p>
            <w:pPr>
              <w:ind w:left="840"/>
              <w:spacing w:after="0"/>
              <w:rPr>
                <w:sz w:val="20"/>
                <w:szCs w:val="20"/>
                <w:color w:val="auto"/>
              </w:rPr>
            </w:pPr>
            <w:r>
              <w:rPr>
                <w:rFonts w:ascii="Courier New" w:cs="Courier New" w:eastAsia="Courier New" w:hAnsi="Courier New"/>
                <w:sz w:val="18"/>
                <w:szCs w:val="18"/>
                <w:color w:val="auto"/>
                <w:w w:val="96"/>
              </w:rPr>
              <w:t>4 - 8</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SUPPLEMENTAL</w:t>
            </w:r>
          </w:p>
        </w:tc>
        <w:tc>
          <w:tcPr>
            <w:tcW w:w="8360" w:type="dxa"/>
            <w:vAlign w:val="bottom"/>
          </w:tcPr>
          <w:p>
            <w:pPr>
              <w:ind w:left="40"/>
              <w:spacing w:after="0"/>
              <w:rPr>
                <w:sz w:val="20"/>
                <w:szCs w:val="20"/>
                <w:color w:val="auto"/>
              </w:rPr>
            </w:pPr>
            <w:r>
              <w:rPr>
                <w:rFonts w:ascii="Courier New" w:cs="Courier New" w:eastAsia="Courier New" w:hAnsi="Courier New"/>
                <w:sz w:val="18"/>
                <w:szCs w:val="18"/>
                <w:color w:val="auto"/>
              </w:rPr>
              <w:t>SCHEDULE:</w:t>
            </w:r>
          </w:p>
        </w:tc>
        <w:tc>
          <w:tcPr>
            <w:tcW w:w="1380" w:type="dxa"/>
            <w:vAlign w:val="bottom"/>
          </w:tcPr>
          <w:p>
            <w:pPr>
              <w:spacing w:after="0"/>
              <w:rPr>
                <w:sz w:val="24"/>
                <w:szCs w:val="24"/>
                <w:color w:val="auto"/>
              </w:rPr>
            </w:pPr>
          </w:p>
        </w:tc>
      </w:tr>
      <w:tr>
        <w:trPr>
          <w:trHeight w:val="405"/>
        </w:trPr>
        <w:tc>
          <w:tcPr>
            <w:tcW w:w="980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Schedule H, line 4i -Schedule of Assets Held (at End of Year) as of</w:t>
            </w:r>
          </w:p>
        </w:tc>
        <w:tc>
          <w:tcPr>
            <w:tcW w:w="1380" w:type="dxa"/>
            <w:vAlign w:val="bottom"/>
          </w:tcPr>
          <w:p>
            <w:pPr>
              <w:ind w:left="1060"/>
              <w:spacing w:after="0"/>
              <w:rPr>
                <w:sz w:val="20"/>
                <w:szCs w:val="20"/>
                <w:color w:val="auto"/>
              </w:rPr>
            </w:pPr>
            <w:r>
              <w:rPr>
                <w:rFonts w:ascii="Courier New" w:cs="Courier New" w:eastAsia="Courier New" w:hAnsi="Courier New"/>
                <w:sz w:val="18"/>
                <w:szCs w:val="18"/>
                <w:color w:val="auto"/>
              </w:rPr>
              <w:t>9</w:t>
            </w:r>
          </w:p>
        </w:tc>
      </w:tr>
      <w:tr>
        <w:trPr>
          <w:trHeight w:val="203"/>
        </w:trPr>
        <w:tc>
          <w:tcPr>
            <w:tcW w:w="1440" w:type="dxa"/>
            <w:vAlign w:val="bottom"/>
          </w:tcPr>
          <w:p>
            <w:pPr>
              <w:spacing w:after="0"/>
              <w:rPr>
                <w:sz w:val="17"/>
                <w:szCs w:val="17"/>
                <w:color w:val="auto"/>
              </w:rPr>
            </w:pPr>
          </w:p>
        </w:tc>
        <w:tc>
          <w:tcPr>
            <w:tcW w:w="8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December 31, 2003</w:t>
            </w:r>
          </w:p>
        </w:tc>
        <w:tc>
          <w:tcPr>
            <w:tcW w:w="138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Signatures</w:t>
            </w:r>
          </w:p>
        </w:tc>
        <w:tc>
          <w:tcPr>
            <w:tcW w:w="8360" w:type="dxa"/>
            <w:vAlign w:val="bottom"/>
          </w:tcPr>
          <w:p>
            <w:pPr>
              <w:spacing w:after="0"/>
              <w:rPr>
                <w:sz w:val="17"/>
                <w:szCs w:val="17"/>
                <w:color w:val="auto"/>
              </w:rPr>
            </w:pPr>
          </w:p>
        </w:tc>
        <w:tc>
          <w:tcPr>
            <w:tcW w:w="1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10</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Exhibit Index</w:t>
            </w:r>
          </w:p>
        </w:tc>
        <w:tc>
          <w:tcPr>
            <w:tcW w:w="8360" w:type="dxa"/>
            <w:vAlign w:val="bottom"/>
          </w:tcPr>
          <w:p>
            <w:pPr>
              <w:spacing w:after="0"/>
              <w:rPr>
                <w:sz w:val="24"/>
                <w:szCs w:val="24"/>
                <w:color w:val="auto"/>
              </w:rPr>
            </w:pPr>
          </w:p>
        </w:tc>
        <w:tc>
          <w:tcPr>
            <w:tcW w:w="1380" w:type="dxa"/>
            <w:vAlign w:val="bottom"/>
          </w:tcPr>
          <w:p>
            <w:pPr>
              <w:ind w:left="1060"/>
              <w:spacing w:after="0"/>
              <w:rPr>
                <w:sz w:val="20"/>
                <w:szCs w:val="20"/>
                <w:color w:val="auto"/>
              </w:rPr>
            </w:pPr>
            <w:r>
              <w:rPr>
                <w:rFonts w:ascii="Courier New" w:cs="Courier New" w:eastAsia="Courier New" w:hAnsi="Courier New"/>
                <w:sz w:val="18"/>
                <w:szCs w:val="18"/>
                <w:color w:val="auto"/>
              </w:rPr>
              <w:t>11</w:t>
            </w:r>
          </w:p>
        </w:tc>
      </w:tr>
    </w:tbl>
    <w:p>
      <w:pPr>
        <w:sectPr>
          <w:pgSz w:w="11900" w:h="16838" w:orient="portrait"/>
          <w:cols w:equalWidth="0" w:num="1">
            <w:col w:w="11180"/>
          </w:cols>
          <w:pgMar w:left="240" w:top="717" w:right="479" w:bottom="1440" w:gutter="0" w:footer="0" w:header="0"/>
        </w:sectPr>
      </w:pPr>
    </w:p>
    <w:bookmarkStart w:id="2" w:name="page3"/>
    <w:bookmarkEnd w:id="2"/>
    <w:p>
      <w:pPr>
        <w:jc w:val="center"/>
        <w:ind w:right="2219"/>
        <w:spacing w:after="0"/>
        <w:rPr>
          <w:sz w:val="20"/>
          <w:szCs w:val="20"/>
          <w:color w:val="auto"/>
        </w:rPr>
      </w:pPr>
      <w:r>
        <w:rPr>
          <w:rFonts w:ascii="Courier New" w:cs="Courier New" w:eastAsia="Courier New" w:hAnsi="Courier New"/>
          <w:sz w:val="18"/>
          <w:szCs w:val="18"/>
          <w:color w:val="auto"/>
        </w:rPr>
        <w:t>GARTNER, INC.</w:t>
      </w:r>
    </w:p>
    <w:p>
      <w:pPr>
        <w:jc w:val="center"/>
        <w:ind w:right="2219"/>
        <w:spacing w:after="0" w:line="238" w:lineRule="auto"/>
        <w:rPr>
          <w:sz w:val="20"/>
          <w:szCs w:val="20"/>
          <w:color w:val="auto"/>
        </w:rPr>
      </w:pPr>
      <w:r>
        <w:rPr>
          <w:rFonts w:ascii="Courier New" w:cs="Courier New" w:eastAsia="Courier New" w:hAnsi="Courier New"/>
          <w:sz w:val="18"/>
          <w:szCs w:val="18"/>
          <w:color w:val="auto"/>
        </w:rPr>
        <w:t>SAVINGS AND INVESTMENT PLAN</w:t>
      </w:r>
    </w:p>
    <w:p>
      <w:pPr>
        <w:spacing w:after="0" w:line="202"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Financial Statements and Supplemental Schedule</w:t>
      </w:r>
    </w:p>
    <w:p>
      <w:pPr>
        <w:spacing w:after="0" w:line="20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December 31, 2003 and 2002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Report of Independent Registered Public Accounting Firm Thereon)</w:t>
      </w:r>
    </w:p>
    <w:p>
      <w:pPr>
        <w:sectPr>
          <w:pgSz w:w="11900" w:h="16838" w:orient="portrait"/>
          <w:cols w:equalWidth="0" w:num="1">
            <w:col w:w="9679"/>
          </w:cols>
          <w:pgMar w:left="780" w:top="717" w:right="1440" w:bottom="1440" w:gutter="0" w:footer="0" w:header="0"/>
        </w:sectPr>
      </w:pPr>
    </w:p>
    <w:bookmarkStart w:id="3" w:name="page4"/>
    <w:bookmarkEnd w:id="3"/>
    <w:p>
      <w:pPr>
        <w:jc w:val="center"/>
        <w:ind w:right="1679"/>
        <w:spacing w:after="0"/>
        <w:rPr>
          <w:sz w:val="20"/>
          <w:szCs w:val="20"/>
          <w:color w:val="auto"/>
        </w:rPr>
      </w:pPr>
      <w:r>
        <w:rPr>
          <w:rFonts w:ascii="Courier New" w:cs="Courier New" w:eastAsia="Courier New" w:hAnsi="Courier New"/>
          <w:sz w:val="18"/>
          <w:szCs w:val="18"/>
          <w:color w:val="auto"/>
        </w:rPr>
        <w:t>GARTNER,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SAVINGS AND INVESTMENT PLAN</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76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405"/>
        </w:trPr>
        <w:tc>
          <w:tcPr>
            <w:tcW w:w="8540" w:type="dxa"/>
            <w:vAlign w:val="bottom"/>
            <w:gridSpan w:val="2"/>
          </w:tcPr>
          <w:p>
            <w:pPr>
              <w:spacing w:after="0"/>
              <w:rPr>
                <w:sz w:val="20"/>
                <w:szCs w:val="20"/>
                <w:color w:val="auto"/>
              </w:rPr>
            </w:pPr>
            <w:r>
              <w:rPr>
                <w:rFonts w:ascii="Courier New" w:cs="Courier New" w:eastAsia="Courier New" w:hAnsi="Courier New"/>
                <w:sz w:val="18"/>
                <w:szCs w:val="18"/>
                <w:color w:val="auto"/>
              </w:rPr>
              <w:t>Report of Independent Registered Public Accounting Firm</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w:t>
            </w:r>
          </w:p>
        </w:tc>
      </w:tr>
      <w:tr>
        <w:trPr>
          <w:trHeight w:val="405"/>
        </w:trPr>
        <w:tc>
          <w:tcPr>
            <w:tcW w:w="8540" w:type="dxa"/>
            <w:vAlign w:val="bottom"/>
            <w:gridSpan w:val="2"/>
          </w:tcPr>
          <w:p>
            <w:pPr>
              <w:spacing w:after="0"/>
              <w:rPr>
                <w:sz w:val="20"/>
                <w:szCs w:val="20"/>
                <w:color w:val="auto"/>
              </w:rPr>
            </w:pPr>
            <w:r>
              <w:rPr>
                <w:rFonts w:ascii="Courier New" w:cs="Courier New" w:eastAsia="Courier New" w:hAnsi="Courier New"/>
                <w:sz w:val="18"/>
                <w:szCs w:val="18"/>
                <w:color w:val="auto"/>
              </w:rPr>
              <w:t>Statements of Net Assets Available for Benefits as of</w:t>
            </w:r>
          </w:p>
        </w:tc>
        <w:tc>
          <w:tcPr>
            <w:tcW w:w="840" w:type="dxa"/>
            <w:vAlign w:val="bottom"/>
          </w:tcPr>
          <w:p>
            <w:pPr>
              <w:spacing w:after="0"/>
              <w:rPr>
                <w:sz w:val="24"/>
                <w:szCs w:val="24"/>
                <w:color w:val="auto"/>
              </w:rPr>
            </w:pPr>
          </w:p>
        </w:tc>
      </w:tr>
      <w:tr>
        <w:trPr>
          <w:trHeight w:val="203"/>
        </w:trPr>
        <w:tc>
          <w:tcPr>
            <w:tcW w:w="85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December 31, 2003 and 2002</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w:t>
            </w:r>
          </w:p>
        </w:tc>
      </w:tr>
      <w:tr>
        <w:trPr>
          <w:trHeight w:val="405"/>
        </w:trPr>
        <w:tc>
          <w:tcPr>
            <w:tcW w:w="8540" w:type="dxa"/>
            <w:vAlign w:val="bottom"/>
            <w:gridSpan w:val="2"/>
          </w:tcPr>
          <w:p>
            <w:pPr>
              <w:spacing w:after="0"/>
              <w:rPr>
                <w:sz w:val="20"/>
                <w:szCs w:val="20"/>
                <w:color w:val="auto"/>
              </w:rPr>
            </w:pPr>
            <w:r>
              <w:rPr>
                <w:rFonts w:ascii="Courier New" w:cs="Courier New" w:eastAsia="Courier New" w:hAnsi="Courier New"/>
                <w:sz w:val="18"/>
                <w:szCs w:val="18"/>
                <w:color w:val="auto"/>
              </w:rPr>
              <w:t>Statement of Changes in Net Assets Available for Benefits</w:t>
            </w:r>
          </w:p>
        </w:tc>
        <w:tc>
          <w:tcPr>
            <w:tcW w:w="840" w:type="dxa"/>
            <w:vAlign w:val="bottom"/>
          </w:tcPr>
          <w:p>
            <w:pPr>
              <w:spacing w:after="0"/>
              <w:rPr>
                <w:sz w:val="24"/>
                <w:szCs w:val="24"/>
                <w:color w:val="auto"/>
              </w:rPr>
            </w:pP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for</w:t>
            </w: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year ended December 31, 2003</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Notes to</w:t>
            </w:r>
          </w:p>
        </w:tc>
        <w:tc>
          <w:tcPr>
            <w:tcW w:w="7640" w:type="dxa"/>
            <w:vAlign w:val="bottom"/>
          </w:tcPr>
          <w:p>
            <w:pPr>
              <w:ind w:left="60"/>
              <w:spacing w:after="0"/>
              <w:rPr>
                <w:sz w:val="20"/>
                <w:szCs w:val="20"/>
                <w:color w:val="auto"/>
              </w:rPr>
            </w:pPr>
            <w:r>
              <w:rPr>
                <w:rFonts w:ascii="Courier New" w:cs="Courier New" w:eastAsia="Courier New" w:hAnsi="Courier New"/>
                <w:sz w:val="18"/>
                <w:szCs w:val="18"/>
                <w:color w:val="auto"/>
              </w:rPr>
              <w:t>Financial Statements</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w:t>
            </w:r>
          </w:p>
        </w:tc>
      </w:tr>
      <w:tr>
        <w:trPr>
          <w:trHeight w:val="405"/>
        </w:trPr>
        <w:tc>
          <w:tcPr>
            <w:tcW w:w="8540" w:type="dxa"/>
            <w:vAlign w:val="bottom"/>
            <w:gridSpan w:val="2"/>
          </w:tcPr>
          <w:p>
            <w:pPr>
              <w:spacing w:after="0"/>
              <w:rPr>
                <w:sz w:val="20"/>
                <w:szCs w:val="20"/>
                <w:color w:val="auto"/>
              </w:rPr>
            </w:pPr>
            <w:r>
              <w:rPr>
                <w:rFonts w:ascii="Courier New" w:cs="Courier New" w:eastAsia="Courier New" w:hAnsi="Courier New"/>
                <w:sz w:val="18"/>
                <w:szCs w:val="18"/>
                <w:color w:val="auto"/>
              </w:rPr>
              <w:t>SUPPLEMENTAL SCHEDULE</w:t>
            </w:r>
          </w:p>
        </w:tc>
        <w:tc>
          <w:tcPr>
            <w:tcW w:w="840" w:type="dxa"/>
            <w:vAlign w:val="bottom"/>
          </w:tcPr>
          <w:p>
            <w:pPr>
              <w:spacing w:after="0"/>
              <w:rPr>
                <w:sz w:val="24"/>
                <w:szCs w:val="24"/>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Schedule</w:t>
            </w:r>
          </w:p>
        </w:tc>
        <w:tc>
          <w:tcPr>
            <w:tcW w:w="7640" w:type="dxa"/>
            <w:vAlign w:val="bottom"/>
          </w:tcPr>
          <w:p>
            <w:pPr>
              <w:ind w:left="60"/>
              <w:spacing w:after="0"/>
              <w:rPr>
                <w:sz w:val="20"/>
                <w:szCs w:val="20"/>
                <w:color w:val="auto"/>
              </w:rPr>
            </w:pPr>
            <w:r>
              <w:rPr>
                <w:rFonts w:ascii="Courier New" w:cs="Courier New" w:eastAsia="Courier New" w:hAnsi="Courier New"/>
                <w:sz w:val="18"/>
                <w:szCs w:val="18"/>
                <w:color w:val="auto"/>
              </w:rPr>
              <w:t>H, Line 4i - Schedule of Assets Held (at End of Year) as of December</w:t>
            </w:r>
          </w:p>
        </w:tc>
        <w:tc>
          <w:tcPr>
            <w:tcW w:w="840" w:type="dxa"/>
            <w:vAlign w:val="bottom"/>
          </w:tcPr>
          <w:p>
            <w:pPr>
              <w:spacing w:after="0"/>
              <w:rPr>
                <w:sz w:val="24"/>
                <w:szCs w:val="24"/>
                <w:color w:val="auto"/>
              </w:rPr>
            </w:pP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31,</w:t>
            </w: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2003</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w:t>
            </w:r>
          </w:p>
        </w:tc>
      </w:tr>
    </w:tbl>
    <w:p>
      <w:pPr>
        <w:sectPr>
          <w:pgSz w:w="11900" w:h="16838" w:orient="portrait"/>
          <w:cols w:equalWidth="0" w:num="1">
            <w:col w:w="10219"/>
          </w:cols>
          <w:pgMar w:left="240" w:top="717" w:right="1440" w:bottom="1440" w:gutter="0" w:footer="0" w:header="0"/>
        </w:sectPr>
      </w:pPr>
    </w:p>
    <w:bookmarkStart w:id="4" w:name="page5"/>
    <w:bookmarkEnd w:id="4"/>
    <w:p>
      <w:pPr>
        <w:ind w:left="1380"/>
        <w:spacing w:after="0"/>
        <w:rPr>
          <w:sz w:val="20"/>
          <w:szCs w:val="20"/>
          <w:color w:val="auto"/>
        </w:rPr>
      </w:pPr>
      <w:r>
        <w:rPr>
          <w:rFonts w:ascii="Courier New" w:cs="Courier New" w:eastAsia="Courier New" w:hAnsi="Courier New"/>
          <w:sz w:val="18"/>
          <w:szCs w:val="18"/>
          <w:color w:val="auto"/>
        </w:rPr>
        <w:t>REPORT OF INDEPENDENT REGISTERED PUBLIC ACCOUNTING FIRM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Participants and Administrative Committee of the</w:t>
      </w:r>
    </w:p>
    <w:p>
      <w:pPr>
        <w:ind w:left="320"/>
        <w:spacing w:after="0" w:line="238" w:lineRule="auto"/>
        <w:rPr>
          <w:sz w:val="20"/>
          <w:szCs w:val="20"/>
          <w:color w:val="auto"/>
        </w:rPr>
      </w:pPr>
      <w:r>
        <w:rPr>
          <w:rFonts w:ascii="Courier New" w:cs="Courier New" w:eastAsia="Courier New" w:hAnsi="Courier New"/>
          <w:sz w:val="18"/>
          <w:szCs w:val="18"/>
          <w:color w:val="auto"/>
        </w:rPr>
        <w:t>Gartner, Inc. Savings and Investment Plan: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audited the accompanying statements of net assets available for benefits of the Gartner, Inc. Savings and Investment Plan (the Plan) as of December 31, 2003 and 2002, and the related statement of changes in net assets available for benefits for the year ended December 31, 2003. These financial statements are the responsibility of the Plan's management. Our responsibility is to express an opinion on these financial statements based on our audits.</w:t>
      </w:r>
    </w:p>
    <w:p>
      <w:pPr>
        <w:spacing w:after="0" w:line="210"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We conducted our audits in accordance with the standards of the Public Company Accountancy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the significant estimates made by management, as well as evaluating the overall financial statement presentation. We believe that our audits provide a reasonable basis for our opinion.</w:t>
      </w:r>
    </w:p>
    <w:p>
      <w:pPr>
        <w:spacing w:after="0" w:line="3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our opinion, the financial statements referred to above present fairly, in all material respects, the net assets available for benefits of the Plan as of December 31, 2003 and 2002 and the changes in the net assets available for benefits for the year ended December 31, 2003 in conformity with U.S. generally accepted accounting principles.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audits were performed for the purpose of forming an opinion on the basic financial statements taken as a whole. The supplemental schedule of assets (held at end of year) as of December 31, 2003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audits of the basic financial statements and, in our opinion, is fairly stated in all material respects in relation to the basic financial statements taken as a whole.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KPMG LLP</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June 21, 2004</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New York</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5" w:name="page6"/>
    <w:bookmarkEnd w:id="5"/>
    <w:p>
      <w:pPr>
        <w:jc w:val="center"/>
        <w:ind w:right="1679"/>
        <w:spacing w:after="0"/>
        <w:rPr>
          <w:sz w:val="20"/>
          <w:szCs w:val="20"/>
          <w:color w:val="auto"/>
        </w:rPr>
      </w:pPr>
      <w:r>
        <w:rPr>
          <w:rFonts w:ascii="Courier New" w:cs="Courier New" w:eastAsia="Courier New" w:hAnsi="Courier New"/>
          <w:sz w:val="18"/>
          <w:szCs w:val="18"/>
          <w:color w:val="auto"/>
        </w:rPr>
        <w:t>GARTNER,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SAVINGS AND INVESTMENT PLAN</w:t>
      </w:r>
    </w:p>
    <w:p>
      <w:pPr>
        <w:jc w:val="center"/>
        <w:ind w:right="1679"/>
        <w:spacing w:after="0"/>
        <w:rPr>
          <w:sz w:val="20"/>
          <w:szCs w:val="20"/>
          <w:color w:val="auto"/>
        </w:rPr>
      </w:pPr>
      <w:r>
        <w:rPr>
          <w:rFonts w:ascii="Courier New" w:cs="Courier New" w:eastAsia="Courier New" w:hAnsi="Courier New"/>
          <w:sz w:val="18"/>
          <w:szCs w:val="18"/>
          <w:color w:val="auto"/>
        </w:rPr>
        <w:t>Statements of Net Assets Available for Benefits</w:t>
      </w:r>
    </w:p>
    <w:tbl>
      <w:tblPr>
        <w:tblLayout w:type="fixed"/>
        <w:tblInd w:w="0" w:type="dxa"/>
        <w:tblCellMar>
          <w:top w:w="0" w:type="dxa"/>
          <w:left w:w="0" w:type="dxa"/>
          <w:bottom w:w="0" w:type="dxa"/>
          <w:right w:w="0" w:type="dxa"/>
        </w:tblCellMar>
      </w:tblPr>
      <w:tr>
        <w:trPr>
          <w:trHeight w:val="202"/>
        </w:trPr>
        <w:tc>
          <w:tcPr>
            <w:tcW w:w="6380" w:type="dxa"/>
            <w:vAlign w:val="bottom"/>
          </w:tcPr>
          <w:p>
            <w:pPr>
              <w:ind w:left="2860"/>
              <w:spacing w:after="0" w:line="202" w:lineRule="exact"/>
              <w:rPr>
                <w:sz w:val="20"/>
                <w:szCs w:val="20"/>
                <w:color w:val="auto"/>
              </w:rPr>
            </w:pPr>
            <w:r>
              <w:rPr>
                <w:rFonts w:ascii="Courier New" w:cs="Courier New" w:eastAsia="Courier New" w:hAnsi="Courier New"/>
                <w:sz w:val="18"/>
                <w:szCs w:val="18"/>
                <w:color w:val="auto"/>
              </w:rPr>
              <w:t>December 31, 2003 and 2002</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810"/>
        </w:trPr>
        <w:tc>
          <w:tcPr>
            <w:tcW w:w="6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2003</w:t>
            </w:r>
          </w:p>
        </w:tc>
        <w:tc>
          <w:tcPr>
            <w:tcW w:w="26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2002</w:t>
            </w:r>
          </w:p>
        </w:tc>
      </w:tr>
      <w:tr>
        <w:trPr>
          <w:trHeight w:val="203"/>
        </w:trPr>
        <w:tc>
          <w:tcPr>
            <w:tcW w:w="638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Investments: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Cash equivalents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228,487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202,920</w:t>
            </w:r>
          </w:p>
        </w:tc>
      </w:tr>
      <w:tr>
        <w:trPr>
          <w:trHeight w:val="203"/>
        </w:trPr>
        <w:tc>
          <w:tcPr>
            <w:tcW w:w="6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9"/>
              </w:rPr>
              <w:t>Investments in registered investment company shares</w:t>
            </w:r>
          </w:p>
        </w:tc>
        <w:tc>
          <w:tcPr>
            <w:tcW w:w="2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172,618,731</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128,280,802</w:t>
            </w:r>
          </w:p>
        </w:tc>
      </w:tr>
      <w:tr>
        <w:trPr>
          <w:trHeight w:val="203"/>
        </w:trPr>
        <w:tc>
          <w:tcPr>
            <w:tcW w:w="6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Gartner, Inc. common stock</w:t>
            </w:r>
          </w:p>
        </w:tc>
        <w:tc>
          <w:tcPr>
            <w:tcW w:w="2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4,061,919</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3,330,961</w:t>
            </w:r>
          </w:p>
        </w:tc>
      </w:tr>
      <w:tr>
        <w:trPr>
          <w:trHeight w:val="203"/>
        </w:trPr>
        <w:tc>
          <w:tcPr>
            <w:tcW w:w="6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Participant loans</w:t>
            </w:r>
          </w:p>
        </w:tc>
        <w:tc>
          <w:tcPr>
            <w:tcW w:w="2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3,492,494</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3,049,848</w:t>
            </w:r>
          </w:p>
        </w:tc>
      </w:tr>
      <w:tr>
        <w:trPr>
          <w:trHeight w:val="203"/>
        </w:trPr>
        <w:tc>
          <w:tcPr>
            <w:tcW w:w="638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Total investments</w:t>
            </w:r>
          </w:p>
        </w:tc>
        <w:tc>
          <w:tcPr>
            <w:tcW w:w="2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180,401,631</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134,864,531</w:t>
            </w:r>
          </w:p>
        </w:tc>
      </w:tr>
      <w:tr>
        <w:trPr>
          <w:trHeight w:val="203"/>
        </w:trPr>
        <w:tc>
          <w:tcPr>
            <w:tcW w:w="638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Receivables: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Employer contributions</w:t>
            </w:r>
          </w:p>
        </w:tc>
        <w:tc>
          <w:tcPr>
            <w:tcW w:w="2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1,982,459</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1,999,371</w:t>
            </w:r>
          </w:p>
        </w:tc>
      </w:tr>
      <w:tr>
        <w:trPr>
          <w:trHeight w:val="203"/>
        </w:trPr>
        <w:tc>
          <w:tcPr>
            <w:tcW w:w="6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Due from custodian for securities sold</w:t>
            </w:r>
          </w:p>
        </w:tc>
        <w:tc>
          <w:tcPr>
            <w:tcW w:w="2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12,694</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17,500</w:t>
            </w:r>
          </w:p>
        </w:tc>
      </w:tr>
      <w:tr>
        <w:trPr>
          <w:trHeight w:val="203"/>
        </w:trPr>
        <w:tc>
          <w:tcPr>
            <w:tcW w:w="638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Total receivables</w:t>
            </w:r>
          </w:p>
        </w:tc>
        <w:tc>
          <w:tcPr>
            <w:tcW w:w="2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1,995,153</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2,016,871</w:t>
            </w:r>
          </w:p>
        </w:tc>
      </w:tr>
      <w:tr>
        <w:trPr>
          <w:trHeight w:val="203"/>
        </w:trPr>
        <w:tc>
          <w:tcPr>
            <w:tcW w:w="638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Total assets</w:t>
            </w:r>
          </w:p>
        </w:tc>
        <w:tc>
          <w:tcPr>
            <w:tcW w:w="2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182,396,784</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136,881,402</w:t>
            </w:r>
          </w:p>
        </w:tc>
      </w:tr>
      <w:tr>
        <w:trPr>
          <w:trHeight w:val="203"/>
        </w:trPr>
        <w:tc>
          <w:tcPr>
            <w:tcW w:w="638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6380" w:type="dxa"/>
            <w:vAlign w:val="bottom"/>
          </w:tcPr>
          <w:p>
            <w:pPr>
              <w:ind w:left="540"/>
              <w:spacing w:after="0"/>
              <w:rPr>
                <w:sz w:val="20"/>
                <w:szCs w:val="20"/>
                <w:color w:val="auto"/>
              </w:rPr>
            </w:pPr>
            <w:r>
              <w:rPr>
                <w:rFonts w:ascii="Courier New" w:cs="Courier New" w:eastAsia="Courier New" w:hAnsi="Courier New"/>
                <w:sz w:val="18"/>
                <w:szCs w:val="18"/>
                <w:color w:val="auto"/>
              </w:rPr>
              <w:t>Accrued expenses</w:t>
            </w:r>
          </w:p>
        </w:tc>
        <w:tc>
          <w:tcPr>
            <w:tcW w:w="260" w:type="dxa"/>
            <w:vAlign w:val="bottom"/>
          </w:tcPr>
          <w:p>
            <w:pPr>
              <w:spacing w:after="0"/>
              <w:rPr>
                <w:sz w:val="24"/>
                <w:szCs w:val="24"/>
                <w:color w:val="auto"/>
              </w:rPr>
            </w:pP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69,890</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32,270</w:t>
            </w:r>
          </w:p>
        </w:tc>
      </w:tr>
      <w:tr>
        <w:trPr>
          <w:trHeight w:val="203"/>
        </w:trPr>
        <w:tc>
          <w:tcPr>
            <w:tcW w:w="638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2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69,890</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32,270</w:t>
            </w:r>
          </w:p>
        </w:tc>
      </w:tr>
      <w:tr>
        <w:trPr>
          <w:trHeight w:val="203"/>
        </w:trPr>
        <w:tc>
          <w:tcPr>
            <w:tcW w:w="638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Net assets available for benefits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182,326,894</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$136,849,132</w:t>
            </w:r>
          </w:p>
        </w:tc>
      </w:tr>
      <w:tr>
        <w:trPr>
          <w:trHeight w:val="203"/>
        </w:trPr>
        <w:tc>
          <w:tcPr>
            <w:tcW w:w="638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the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6" w:name="page7"/>
    <w:bookmarkEnd w:id="6"/>
    <w:p>
      <w:pPr>
        <w:ind w:left="3580"/>
        <w:spacing w:after="0"/>
        <w:rPr>
          <w:sz w:val="20"/>
          <w:szCs w:val="20"/>
          <w:color w:val="auto"/>
        </w:rPr>
      </w:pPr>
      <w:r>
        <w:rPr>
          <w:rFonts w:ascii="Courier New" w:cs="Courier New" w:eastAsia="Courier New" w:hAnsi="Courier New"/>
          <w:sz w:val="18"/>
          <w:szCs w:val="18"/>
          <w:color w:val="auto"/>
        </w:rPr>
        <w:t>GARTNER, INC.</w:t>
      </w:r>
    </w:p>
    <w:p>
      <w:pPr>
        <w:ind w:left="2860"/>
        <w:spacing w:after="0" w:line="238" w:lineRule="auto"/>
        <w:rPr>
          <w:sz w:val="20"/>
          <w:szCs w:val="20"/>
          <w:color w:val="auto"/>
        </w:rPr>
      </w:pPr>
      <w:r>
        <w:rPr>
          <w:rFonts w:ascii="Courier New" w:cs="Courier New" w:eastAsia="Courier New" w:hAnsi="Courier New"/>
          <w:sz w:val="18"/>
          <w:szCs w:val="18"/>
          <w:color w:val="auto"/>
        </w:rPr>
        <w:t>SAVINGS AND INVESTMENT PLAN</w:t>
      </w:r>
    </w:p>
    <w:p>
      <w:pPr>
        <w:ind w:left="2440"/>
        <w:spacing w:after="0"/>
        <w:rPr>
          <w:sz w:val="20"/>
          <w:szCs w:val="20"/>
          <w:color w:val="auto"/>
        </w:rPr>
      </w:pPr>
      <w:r>
        <w:rPr>
          <w:rFonts w:ascii="Courier New" w:cs="Courier New" w:eastAsia="Courier New" w:hAnsi="Courier New"/>
          <w:sz w:val="18"/>
          <w:szCs w:val="18"/>
          <w:color w:val="auto"/>
        </w:rPr>
        <w:t>Statement of Changes in Net Assets</w:t>
      </w:r>
    </w:p>
    <w:p>
      <w:pPr>
        <w:ind w:left="3060"/>
        <w:spacing w:after="0" w:line="237" w:lineRule="auto"/>
        <w:rPr>
          <w:sz w:val="20"/>
          <w:szCs w:val="20"/>
          <w:color w:val="auto"/>
        </w:rPr>
      </w:pPr>
      <w:r>
        <w:rPr>
          <w:rFonts w:ascii="Courier New" w:cs="Courier New" w:eastAsia="Courier New" w:hAnsi="Courier New"/>
          <w:sz w:val="18"/>
          <w:szCs w:val="18"/>
          <w:color w:val="auto"/>
        </w:rPr>
        <w:t>Available for Benefits</w:t>
      </w:r>
    </w:p>
    <w:p>
      <w:pPr>
        <w:ind w:left="2740"/>
        <w:spacing w:after="0" w:line="238" w:lineRule="auto"/>
        <w:rPr>
          <w:sz w:val="20"/>
          <w:szCs w:val="20"/>
          <w:color w:val="auto"/>
        </w:rPr>
      </w:pPr>
      <w:r>
        <w:rPr>
          <w:rFonts w:ascii="Courier New" w:cs="Courier New" w:eastAsia="Courier New" w:hAnsi="Courier New"/>
          <w:sz w:val="18"/>
          <w:szCs w:val="18"/>
          <w:color w:val="auto"/>
        </w:rPr>
        <w:t>Year ended December 31, 2003</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00" w:type="dxa"/>
            <w:vAlign w:val="bottom"/>
          </w:tcPr>
          <w:p>
            <w:pPr>
              <w:spacing w:after="0"/>
              <w:rPr>
                <w:sz w:val="20"/>
                <w:szCs w:val="20"/>
                <w:color w:val="auto"/>
              </w:rPr>
            </w:pPr>
            <w:r>
              <w:rPr>
                <w:rFonts w:ascii="Courier New" w:cs="Courier New" w:eastAsia="Courier New" w:hAnsi="Courier New"/>
                <w:sz w:val="18"/>
                <w:szCs w:val="18"/>
                <w:color w:val="auto"/>
              </w:rPr>
              <w:t>Additions:</w:t>
            </w:r>
          </w:p>
        </w:tc>
        <w:tc>
          <w:tcPr>
            <w:tcW w:w="1420" w:type="dxa"/>
            <w:vAlign w:val="bottom"/>
          </w:tcPr>
          <w:p>
            <w:pPr>
              <w:spacing w:after="0"/>
              <w:rPr>
                <w:sz w:val="17"/>
                <w:szCs w:val="17"/>
                <w:color w:val="auto"/>
              </w:rPr>
            </w:pPr>
          </w:p>
        </w:tc>
      </w:tr>
      <w:tr>
        <w:trPr>
          <w:trHeight w:val="203"/>
        </w:trPr>
        <w:tc>
          <w:tcPr>
            <w:tcW w:w="6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420" w:type="dxa"/>
            <w:vAlign w:val="bottom"/>
          </w:tcPr>
          <w:p>
            <w:pPr>
              <w:spacing w:after="0"/>
              <w:rPr>
                <w:sz w:val="17"/>
                <w:szCs w:val="17"/>
                <w:color w:val="auto"/>
              </w:rPr>
            </w:pPr>
          </w:p>
        </w:tc>
      </w:tr>
      <w:tr>
        <w:trPr>
          <w:trHeight w:val="203"/>
        </w:trPr>
        <w:tc>
          <w:tcPr>
            <w:tcW w:w="6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Net appreciation in fair value of investments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$ 31,028,420</w:t>
            </w:r>
          </w:p>
        </w:tc>
      </w:tr>
      <w:tr>
        <w:trPr>
          <w:trHeight w:val="203"/>
        </w:trPr>
        <w:tc>
          <w:tcPr>
            <w:tcW w:w="6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Interest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214,976</w:t>
            </w:r>
          </w:p>
        </w:tc>
      </w:tr>
      <w:tr>
        <w:trPr>
          <w:trHeight w:val="203"/>
        </w:trPr>
        <w:tc>
          <w:tcPr>
            <w:tcW w:w="6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Dividends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2,647,127</w:t>
            </w:r>
          </w:p>
        </w:tc>
      </w:tr>
      <w:tr>
        <w:trPr>
          <w:trHeight w:val="203"/>
        </w:trPr>
        <w:tc>
          <w:tcPr>
            <w:tcW w:w="67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33,890,523</w:t>
            </w:r>
          </w:p>
        </w:tc>
      </w:tr>
      <w:tr>
        <w:trPr>
          <w:trHeight w:val="203"/>
        </w:trPr>
        <w:tc>
          <w:tcPr>
            <w:tcW w:w="6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Contributions:</w:t>
            </w:r>
          </w:p>
        </w:tc>
        <w:tc>
          <w:tcPr>
            <w:tcW w:w="1420" w:type="dxa"/>
            <w:vAlign w:val="bottom"/>
          </w:tcPr>
          <w:p>
            <w:pPr>
              <w:spacing w:after="0"/>
              <w:rPr>
                <w:sz w:val="17"/>
                <w:szCs w:val="17"/>
                <w:color w:val="auto"/>
              </w:rPr>
            </w:pPr>
          </w:p>
        </w:tc>
      </w:tr>
      <w:tr>
        <w:trPr>
          <w:trHeight w:val="203"/>
        </w:trPr>
        <w:tc>
          <w:tcPr>
            <w:tcW w:w="6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Participants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16,767,026</w:t>
            </w:r>
          </w:p>
        </w:tc>
      </w:tr>
      <w:tr>
        <w:trPr>
          <w:trHeight w:val="203"/>
        </w:trPr>
        <w:tc>
          <w:tcPr>
            <w:tcW w:w="6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Employer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9,069,216</w:t>
            </w:r>
          </w:p>
        </w:tc>
      </w:tr>
      <w:tr>
        <w:trPr>
          <w:trHeight w:val="203"/>
        </w:trPr>
        <w:tc>
          <w:tcPr>
            <w:tcW w:w="67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Total additions, net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59,726,765</w:t>
            </w:r>
          </w:p>
        </w:tc>
      </w:tr>
      <w:tr>
        <w:trPr>
          <w:trHeight w:val="203"/>
        </w:trPr>
        <w:tc>
          <w:tcPr>
            <w:tcW w:w="67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rPr>
              <w:t>Deductions:</w:t>
            </w:r>
          </w:p>
        </w:tc>
        <w:tc>
          <w:tcPr>
            <w:tcW w:w="1420" w:type="dxa"/>
            <w:vAlign w:val="bottom"/>
          </w:tcPr>
          <w:p>
            <w:pPr>
              <w:spacing w:after="0"/>
              <w:rPr>
                <w:sz w:val="17"/>
                <w:szCs w:val="17"/>
                <w:color w:val="auto"/>
              </w:rPr>
            </w:pPr>
          </w:p>
        </w:tc>
      </w:tr>
      <w:tr>
        <w:trPr>
          <w:trHeight w:val="203"/>
        </w:trPr>
        <w:tc>
          <w:tcPr>
            <w:tcW w:w="6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Benefits paid to participants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14,133,961</w:t>
            </w:r>
          </w:p>
        </w:tc>
      </w:tr>
      <w:tr>
        <w:trPr>
          <w:trHeight w:val="203"/>
        </w:trPr>
        <w:tc>
          <w:tcPr>
            <w:tcW w:w="6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Administrative expenses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115,042</w:t>
            </w:r>
          </w:p>
        </w:tc>
      </w:tr>
      <w:tr>
        <w:trPr>
          <w:trHeight w:val="203"/>
        </w:trPr>
        <w:tc>
          <w:tcPr>
            <w:tcW w:w="67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Total deductions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14,249,003</w:t>
            </w:r>
          </w:p>
        </w:tc>
      </w:tr>
      <w:tr>
        <w:trPr>
          <w:trHeight w:val="203"/>
        </w:trPr>
        <w:tc>
          <w:tcPr>
            <w:tcW w:w="67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Increase in net assets available for benefits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45,477,762</w:t>
            </w:r>
          </w:p>
        </w:tc>
      </w:tr>
      <w:tr>
        <w:trPr>
          <w:trHeight w:val="405"/>
        </w:trPr>
        <w:tc>
          <w:tcPr>
            <w:tcW w:w="6700" w:type="dxa"/>
            <w:vAlign w:val="bottom"/>
          </w:tcPr>
          <w:p>
            <w:pPr>
              <w:spacing w:after="0"/>
              <w:rPr>
                <w:sz w:val="20"/>
                <w:szCs w:val="20"/>
                <w:color w:val="auto"/>
              </w:rPr>
            </w:pPr>
            <w:r>
              <w:rPr>
                <w:rFonts w:ascii="Courier New" w:cs="Courier New" w:eastAsia="Courier New" w:hAnsi="Courier New"/>
                <w:sz w:val="18"/>
                <w:szCs w:val="18"/>
                <w:color w:val="auto"/>
              </w:rPr>
              <w:t>Net assets available for benefits:</w:t>
            </w:r>
          </w:p>
        </w:tc>
        <w:tc>
          <w:tcPr>
            <w:tcW w:w="1420" w:type="dxa"/>
            <w:vAlign w:val="bottom"/>
          </w:tcPr>
          <w:p>
            <w:pPr>
              <w:spacing w:after="0"/>
              <w:rPr>
                <w:sz w:val="24"/>
                <w:szCs w:val="24"/>
                <w:color w:val="auto"/>
              </w:rPr>
            </w:pPr>
          </w:p>
        </w:tc>
      </w:tr>
      <w:tr>
        <w:trPr>
          <w:trHeight w:val="203"/>
        </w:trPr>
        <w:tc>
          <w:tcPr>
            <w:tcW w:w="6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Beginning of year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136,849,132</w:t>
            </w:r>
          </w:p>
        </w:tc>
      </w:tr>
      <w:tr>
        <w:trPr>
          <w:trHeight w:val="203"/>
        </w:trPr>
        <w:tc>
          <w:tcPr>
            <w:tcW w:w="67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End of year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$182,326,894</w:t>
            </w:r>
          </w:p>
        </w:tc>
      </w:tr>
      <w:tr>
        <w:trPr>
          <w:trHeight w:val="203"/>
        </w:trPr>
        <w:tc>
          <w:tcPr>
            <w:tcW w:w="67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the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7" w:name="page8"/>
    <w:bookmarkEnd w:id="7"/>
    <w:p>
      <w:pPr>
        <w:jc w:val="center"/>
        <w:ind w:right="1659"/>
        <w:spacing w:after="0"/>
        <w:rPr>
          <w:sz w:val="20"/>
          <w:szCs w:val="20"/>
          <w:color w:val="auto"/>
        </w:rPr>
      </w:pPr>
      <w:r>
        <w:rPr>
          <w:rFonts w:ascii="Courier New" w:cs="Courier New" w:eastAsia="Courier New" w:hAnsi="Courier New"/>
          <w:sz w:val="18"/>
          <w:szCs w:val="18"/>
          <w:color w:val="auto"/>
        </w:rPr>
        <w:t>GARTNER,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SAVINGS AND INVESTMENT PLAN</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December 31, 2003 and 2002</w:t>
      </w:r>
    </w:p>
    <w:p>
      <w:pPr>
        <w:spacing w:after="0" w:line="201" w:lineRule="exact"/>
        <w:rPr>
          <w:sz w:val="20"/>
          <w:szCs w:val="20"/>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DESCRIPTION OF THE PLAN</w:t>
      </w:r>
    </w:p>
    <w:p>
      <w:pPr>
        <w:spacing w:after="0" w:line="206" w:lineRule="exact"/>
        <w:rPr>
          <w:rFonts w:ascii="Courier New" w:cs="Courier New" w:eastAsia="Courier New" w:hAnsi="Courier New"/>
          <w:sz w:val="18"/>
          <w:szCs w:val="18"/>
          <w:color w:val="auto"/>
        </w:rPr>
      </w:pPr>
    </w:p>
    <w:p>
      <w:pPr>
        <w:ind w:left="6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description of the Gartner, Inc. Savings and Investment Plan (the Plan) provides only general information. Participants should refer to the Plan agreement for a more complete description of the Plan's provisions.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6" w:lineRule="exact"/>
        <w:rPr>
          <w:rFonts w:ascii="Courier New" w:cs="Courier New" w:eastAsia="Courier New" w:hAnsi="Courier New"/>
          <w:sz w:val="18"/>
          <w:szCs w:val="18"/>
          <w:color w:val="auto"/>
        </w:rPr>
      </w:pPr>
    </w:p>
    <w:p>
      <w:pPr>
        <w:ind w:left="128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is a defined contribution retirement plan subject to the provisions of the Employee Retirement Income Security Act of 1974 (ERISA). The Plan has been amended and restated at various times in order to comply with regulatory guidance, most recently as of January 1, 2004 (see note 4).</w:t>
      </w:r>
    </w:p>
    <w:p>
      <w:pPr>
        <w:spacing w:after="0" w:line="208" w:lineRule="exact"/>
        <w:rPr>
          <w:rFonts w:ascii="Courier New" w:cs="Courier New" w:eastAsia="Courier New" w:hAnsi="Courier New"/>
          <w:sz w:val="18"/>
          <w:szCs w:val="18"/>
          <w:color w:val="auto"/>
        </w:rPr>
      </w:pPr>
    </w:p>
    <w:p>
      <w:pPr>
        <w:ind w:left="128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covers substantially all domestic full-time employees of Gartner, Inc. and its wholly owned subsidiaries (collectively the Company or Employer). Any employee who customarily works at least 20 hours per week (minimum of 1,000 hours per year) and is at least 18 years of age is eligible to participate in the Plan.</w:t>
      </w:r>
    </w:p>
    <w:p>
      <w:pPr>
        <w:spacing w:after="0" w:line="203"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w:t>
      </w:r>
    </w:p>
    <w:p>
      <w:pPr>
        <w:spacing w:after="0" w:line="206" w:lineRule="exact"/>
        <w:rPr>
          <w:rFonts w:ascii="Courier New" w:cs="Courier New" w:eastAsia="Courier New" w:hAnsi="Courier New"/>
          <w:sz w:val="18"/>
          <w:szCs w:val="18"/>
          <w:color w:val="auto"/>
        </w:rPr>
      </w:pPr>
    </w:p>
    <w:p>
      <w:pPr>
        <w:ind w:left="1280"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is administered by the Administrative Committee (the Plan Committee) which is appointed by the Company's board of directors. The Plan Committee is responsible for all administrative aspects of the Plan, including selection of trustees and investment managers, establishment of investment alternatives, determination of benefit eligibility and benefit calculations and interpretation of Plan provisions. The Plan Committee has appointed officers of the Company to act as trustees (the Trustees) to administer the Plan. Administrative expenses are to be paid by the Plan through the use of participant forfeitures. Any administrative expenses in excess of participant forfeitures will be paid by the Company. For the plan years ended December 31, 2003 and 2002, all expenses were paid by the Plan.</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CONTRIBUTIONS</w:t>
      </w:r>
    </w:p>
    <w:p>
      <w:pPr>
        <w:spacing w:after="0" w:line="206" w:lineRule="exact"/>
        <w:rPr>
          <w:rFonts w:ascii="Courier New" w:cs="Courier New" w:eastAsia="Courier New" w:hAnsi="Courier New"/>
          <w:sz w:val="18"/>
          <w:szCs w:val="18"/>
          <w:color w:val="auto"/>
        </w:rPr>
      </w:pPr>
    </w:p>
    <w:p>
      <w:pPr>
        <w:ind w:left="128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Participating employees may make annual contributions to the Plan in percentages of not less than 1% or more than 60% of total annual compensation (50% pre-tax, 10% post-tax), as defined in the Plan agreement, subject to Internal Revenue Service (IRS) limitations. Participants who are eligible may make pre-tax Catch-Up Contributions effective January 1, 2002 subject to the IRS limitations.</w:t>
      </w:r>
    </w:p>
    <w:p>
      <w:pPr>
        <w:spacing w:after="0" w:line="211" w:lineRule="exact"/>
        <w:rPr>
          <w:rFonts w:ascii="Courier New" w:cs="Courier New" w:eastAsia="Courier New" w:hAnsi="Courier New"/>
          <w:sz w:val="18"/>
          <w:szCs w:val="18"/>
          <w:color w:val="auto"/>
        </w:rPr>
      </w:pPr>
    </w:p>
    <w:p>
      <w:pPr>
        <w:ind w:left="128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2003, the Plan requires the Company to match 100% of pre-tax participant contributions up to a maximum of 4% of a participant's total compensation, or $4,800, which is 40% of the IRS pretax contribution limitation for 2003.</w:t>
      </w:r>
    </w:p>
    <w:p>
      <w:pPr>
        <w:spacing w:after="0" w:line="207" w:lineRule="exact"/>
        <w:rPr>
          <w:rFonts w:ascii="Courier New" w:cs="Courier New" w:eastAsia="Courier New" w:hAnsi="Courier New"/>
          <w:sz w:val="18"/>
          <w:szCs w:val="18"/>
          <w:color w:val="auto"/>
        </w:rPr>
      </w:pPr>
    </w:p>
    <w:p>
      <w:pPr>
        <w:ind w:left="1280"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also provides for a profit sharing contribution comprised of the following elements:</w:t>
      </w:r>
    </w:p>
    <w:p>
      <w:pPr>
        <w:spacing w:after="0" w:line="208" w:lineRule="exact"/>
        <w:rPr>
          <w:rFonts w:ascii="Courier New" w:cs="Courier New" w:eastAsia="Courier New" w:hAnsi="Courier New"/>
          <w:sz w:val="18"/>
          <w:szCs w:val="18"/>
          <w:color w:val="auto"/>
        </w:rPr>
      </w:pPr>
    </w:p>
    <w:p>
      <w:pPr>
        <w:ind w:left="1900" w:right="1999" w:hanging="628"/>
        <w:spacing w:after="0" w:line="235" w:lineRule="auto"/>
        <w:tabs>
          <w:tab w:leader="none" w:pos="190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Fixed amount - an amount equal to 1% of a participant's base compensation, subject to an IRS limitation.</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(Continued)</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8" w:name="page9"/>
    <w:bookmarkEnd w:id="8"/>
    <w:p>
      <w:pPr>
        <w:jc w:val="center"/>
        <w:ind w:right="2319"/>
        <w:spacing w:after="0"/>
        <w:rPr>
          <w:sz w:val="20"/>
          <w:szCs w:val="20"/>
          <w:color w:val="auto"/>
        </w:rPr>
      </w:pPr>
      <w:r>
        <w:rPr>
          <w:rFonts w:ascii="Courier New" w:cs="Courier New" w:eastAsia="Courier New" w:hAnsi="Courier New"/>
          <w:sz w:val="18"/>
          <w:szCs w:val="18"/>
          <w:color w:val="auto"/>
        </w:rPr>
        <w:t>GARTNER, INC.</w:t>
      </w:r>
    </w:p>
    <w:p>
      <w:pPr>
        <w:jc w:val="center"/>
        <w:ind w:right="2319"/>
        <w:spacing w:after="0" w:line="238" w:lineRule="auto"/>
        <w:rPr>
          <w:sz w:val="20"/>
          <w:szCs w:val="20"/>
          <w:color w:val="auto"/>
        </w:rPr>
      </w:pPr>
      <w:r>
        <w:rPr>
          <w:rFonts w:ascii="Courier New" w:cs="Courier New" w:eastAsia="Courier New" w:hAnsi="Courier New"/>
          <w:sz w:val="18"/>
          <w:szCs w:val="18"/>
          <w:color w:val="auto"/>
        </w:rPr>
        <w:t>SAVINGS AND INVESTMENT PLAN</w:t>
      </w:r>
    </w:p>
    <w:p>
      <w:pPr>
        <w:spacing w:after="0" w:line="202" w:lineRule="exact"/>
        <w:rPr>
          <w:sz w:val="20"/>
          <w:szCs w:val="20"/>
          <w:color w:val="auto"/>
        </w:rPr>
      </w:pPr>
    </w:p>
    <w:p>
      <w:pPr>
        <w:ind w:left="2100"/>
        <w:spacing w:after="0"/>
        <w:rPr>
          <w:sz w:val="20"/>
          <w:szCs w:val="20"/>
          <w:color w:val="auto"/>
        </w:rPr>
      </w:pPr>
      <w:r>
        <w:rPr>
          <w:rFonts w:ascii="Courier New" w:cs="Courier New" w:eastAsia="Courier New" w:hAnsi="Courier New"/>
          <w:sz w:val="18"/>
          <w:szCs w:val="18"/>
          <w:color w:val="auto"/>
        </w:rPr>
        <w:t>Notes to Financial Statements</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December 31, 2003 and 2002</w:t>
      </w:r>
    </w:p>
    <w:p>
      <w:pPr>
        <w:spacing w:after="0" w:line="207" w:lineRule="exact"/>
        <w:rPr>
          <w:sz w:val="20"/>
          <w:szCs w:val="20"/>
          <w:color w:val="auto"/>
        </w:rPr>
      </w:pPr>
    </w:p>
    <w:p>
      <w:pPr>
        <w:ind w:left="1260" w:right="1779" w:hanging="628"/>
        <w:spacing w:after="0" w:line="237" w:lineRule="auto"/>
        <w:tabs>
          <w:tab w:leader="none" w:pos="12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Discretionary amount - an amount in excess of the fixed amount solely at the discretion of the Company's board of directors based on the financial results of the Company. Employees must be employed on the last day of the year to receive discretionary contributions.</w:t>
      </w:r>
    </w:p>
    <w:p>
      <w:pPr>
        <w:spacing w:after="0" w:line="209"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Fixed profit sharing contributions of $1,980,839 and $1,999,371 for the years ended December 31, 2003 and 2002, respectively, are included in employer contributions receivable in the Plan's financial statements as of December 31, 2003 and 2002, respectively. There were no discretionary contributions made to the Plan for the Plan years ended December 31, 2003 and 2002.</w:t>
      </w:r>
    </w:p>
    <w:p>
      <w:pPr>
        <w:spacing w:after="0" w:line="210" w:lineRule="exact"/>
        <w:rPr>
          <w:sz w:val="20"/>
          <w:szCs w:val="20"/>
          <w:color w:val="auto"/>
        </w:rPr>
      </w:pPr>
    </w:p>
    <w:p>
      <w:pPr>
        <w:ind w:left="640" w:right="1779"/>
        <w:spacing w:after="0" w:line="236" w:lineRule="auto"/>
        <w:rPr>
          <w:sz w:val="20"/>
          <w:szCs w:val="20"/>
          <w:color w:val="auto"/>
        </w:rPr>
      </w:pPr>
      <w:r>
        <w:rPr>
          <w:rFonts w:ascii="Courier New" w:cs="Courier New" w:eastAsia="Courier New" w:hAnsi="Courier New"/>
          <w:sz w:val="18"/>
          <w:szCs w:val="18"/>
          <w:color w:val="auto"/>
        </w:rPr>
        <w:t>A participant may make "after tax" contributions of up to 10% of the participant's compensation, subject to a maximum of $20,000 per year.</w:t>
      </w:r>
    </w:p>
    <w:p>
      <w:pPr>
        <w:spacing w:after="0" w:line="203" w:lineRule="exact"/>
        <w:rPr>
          <w:sz w:val="20"/>
          <w:szCs w:val="20"/>
          <w:color w:val="auto"/>
        </w:rPr>
      </w:pPr>
    </w:p>
    <w:p>
      <w:pPr>
        <w:ind w:left="640" w:hanging="640"/>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PARTICIPANTS' ACCOUNTS</w:t>
      </w:r>
    </w:p>
    <w:p>
      <w:pPr>
        <w:spacing w:after="0" w:line="206" w:lineRule="exact"/>
        <w:rPr>
          <w:rFonts w:ascii="Courier New" w:cs="Courier New" w:eastAsia="Courier New" w:hAnsi="Courier New"/>
          <w:sz w:val="18"/>
          <w:szCs w:val="18"/>
          <w:color w:val="auto"/>
        </w:rPr>
      </w:pPr>
    </w:p>
    <w:p>
      <w:pPr>
        <w:ind w:left="640" w:right="209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Separate accounts are maintained for each participant of the Plan through the Fidelity Management Trust Company (Fidelity). The participants' accounts are adjusted to reflect contributions and investment earnings such as interest, dividends, and realized and unrealized investment gains and losses.</w:t>
      </w:r>
    </w:p>
    <w:p>
      <w:pPr>
        <w:spacing w:after="0" w:line="184" w:lineRule="exact"/>
        <w:rPr>
          <w:rFonts w:ascii="Courier New" w:cs="Courier New" w:eastAsia="Courier New" w:hAnsi="Courier New"/>
          <w:sz w:val="18"/>
          <w:szCs w:val="18"/>
          <w:color w:val="auto"/>
        </w:rPr>
      </w:pPr>
    </w:p>
    <w:p>
      <w:pPr>
        <w:ind w:left="64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 December 31, 2003 and 2002, forfeited nonvested accounts totaled $58,755 and $38,575, respectively. These accounts will be used to reduce future Plan expenses and employer contributions. Also, in 2003, Plan expenses were reduced by $47,990 and employer contributions were reduced by $252,000 from forfeited nonvested accounts.</w:t>
      </w:r>
    </w:p>
    <w:p>
      <w:pPr>
        <w:spacing w:after="0" w:line="204" w:lineRule="exact"/>
        <w:rPr>
          <w:rFonts w:ascii="Courier New" w:cs="Courier New" w:eastAsia="Courier New" w:hAnsi="Courier New"/>
          <w:sz w:val="18"/>
          <w:szCs w:val="18"/>
          <w:color w:val="auto"/>
        </w:rPr>
      </w:pPr>
    </w:p>
    <w:p>
      <w:pPr>
        <w:ind w:left="640" w:hanging="640"/>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w:t>
      </w:r>
    </w:p>
    <w:p>
      <w:pPr>
        <w:spacing w:after="0" w:line="206" w:lineRule="exact"/>
        <w:rPr>
          <w:rFonts w:ascii="Courier New" w:cs="Courier New" w:eastAsia="Courier New" w:hAnsi="Courier New"/>
          <w:sz w:val="18"/>
          <w:szCs w:val="18"/>
          <w:color w:val="auto"/>
        </w:rPr>
      </w:pPr>
    </w:p>
    <w:p>
      <w:pPr>
        <w:ind w:left="640"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Participants may elect to invest in a variety of specialized investment funds and may make transfers among investment funds at their discretion in whole percentages. The Company's board of directors has authorized Fidelity to execute transactions upon direction from the participant within the framework of the trust instrument.</w:t>
      </w:r>
    </w:p>
    <w:p>
      <w:pPr>
        <w:spacing w:after="0" w:line="204" w:lineRule="exact"/>
        <w:rPr>
          <w:rFonts w:ascii="Courier New" w:cs="Courier New" w:eastAsia="Courier New" w:hAnsi="Courier New"/>
          <w:sz w:val="18"/>
          <w:szCs w:val="18"/>
          <w:color w:val="auto"/>
        </w:rPr>
      </w:pPr>
    </w:p>
    <w:p>
      <w:pPr>
        <w:ind w:left="640" w:hanging="640"/>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w:t>
      </w:r>
    </w:p>
    <w:p>
      <w:pPr>
        <w:spacing w:after="0" w:line="206" w:lineRule="exact"/>
        <w:rPr>
          <w:rFonts w:ascii="Courier New" w:cs="Courier New" w:eastAsia="Courier New" w:hAnsi="Courier New"/>
          <w:sz w:val="18"/>
          <w:szCs w:val="18"/>
          <w:color w:val="auto"/>
        </w:rPr>
      </w:pPr>
    </w:p>
    <w:p>
      <w:pPr>
        <w:ind w:left="64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Participants are immediately vested in their own contributions and in the Employer's matching contributions. Participants vest in the profit sharing contributions ratably over a five-year period based on date of hire. The date of hire for the employees of acquired companies continues to be their historical date of hire by the acquired company for vesting purposes.</w:t>
      </w:r>
    </w:p>
    <w:p>
      <w:pPr>
        <w:spacing w:after="0" w:line="204" w:lineRule="exact"/>
        <w:rPr>
          <w:rFonts w:ascii="Courier New" w:cs="Courier New" w:eastAsia="Courier New" w:hAnsi="Courier New"/>
          <w:sz w:val="18"/>
          <w:szCs w:val="18"/>
          <w:color w:val="auto"/>
        </w:rPr>
      </w:pPr>
    </w:p>
    <w:p>
      <w:pPr>
        <w:ind w:left="640" w:hanging="640"/>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LOANS TO PARTICIPANTS</w:t>
      </w:r>
    </w:p>
    <w:p>
      <w:pPr>
        <w:spacing w:after="0" w:line="206" w:lineRule="exact"/>
        <w:rPr>
          <w:rFonts w:ascii="Courier New" w:cs="Courier New" w:eastAsia="Courier New" w:hAnsi="Courier New"/>
          <w:sz w:val="18"/>
          <w:szCs w:val="18"/>
          <w:color w:val="auto"/>
        </w:rPr>
      </w:pPr>
    </w:p>
    <w:p>
      <w:pPr>
        <w:ind w:left="640"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Loans to participants are permitted, with the Trustees' consent, in accordance with the limits provided by the Internal Revenue Code (Code). Loans bear interest at a rate equal to prime plus 1% which ranged between 5.0% and 5.25% for loans made during the year ended December 31, 2003, and 5.25% and 6.0% for loans made during the year ended December 31, 2002. Participants receiving loans from the Plan must execute an interest bearing promissory note in the amount of the loan. The terms of the promissory note require that all participants repay their loans based upon a fixed repayment schedule not to exceed a five-year period, except in the case of a primary residence loan for which the repayment period is extended to 15 years. Participant loans are subject to a $1,000</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(Continued)</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579"/>
          </w:cols>
          <w:pgMar w:left="880" w:top="717" w:right="1440" w:bottom="362" w:gutter="0" w:footer="0" w:header="0"/>
        </w:sectPr>
      </w:pPr>
    </w:p>
    <w:bookmarkStart w:id="9" w:name="page10"/>
    <w:bookmarkEnd w:id="9"/>
    <w:p>
      <w:pPr>
        <w:jc w:val="center"/>
        <w:ind w:right="1659"/>
        <w:spacing w:after="0"/>
        <w:rPr>
          <w:sz w:val="20"/>
          <w:szCs w:val="20"/>
          <w:color w:val="auto"/>
        </w:rPr>
      </w:pPr>
      <w:r>
        <w:rPr>
          <w:rFonts w:ascii="Courier New" w:cs="Courier New" w:eastAsia="Courier New" w:hAnsi="Courier New"/>
          <w:sz w:val="18"/>
          <w:szCs w:val="18"/>
          <w:color w:val="auto"/>
        </w:rPr>
        <w:t>GARTNER,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SAVINGS AND INVESTMENT PLAN</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December 31, 2003 and 2002</w:t>
      </w:r>
    </w:p>
    <w:p>
      <w:pPr>
        <w:spacing w:after="0" w:line="207"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minimum amount and limited to 50% of a participant's vested account balance, not to exceed $50,000.</w:t>
      </w:r>
    </w:p>
    <w:p>
      <w:pPr>
        <w:spacing w:after="0" w:line="203" w:lineRule="exact"/>
        <w:rPr>
          <w:sz w:val="20"/>
          <w:szCs w:val="20"/>
          <w:color w:val="auto"/>
        </w:rPr>
      </w:pPr>
    </w:p>
    <w:p>
      <w:pPr>
        <w:ind w:left="1280" w:hanging="640"/>
        <w:spacing w:after="0"/>
        <w:tabs>
          <w:tab w:leader="none" w:pos="12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BENEFITS</w:t>
      </w:r>
    </w:p>
    <w:p>
      <w:pPr>
        <w:spacing w:after="0" w:line="206" w:lineRule="exact"/>
        <w:rPr>
          <w:rFonts w:ascii="Courier New" w:cs="Courier New" w:eastAsia="Courier New" w:hAnsi="Courier New"/>
          <w:sz w:val="18"/>
          <w:szCs w:val="18"/>
          <w:color w:val="auto"/>
        </w:rPr>
      </w:pPr>
    </w:p>
    <w:p>
      <w:pPr>
        <w:ind w:left="1280" w:right="18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Benefits are paid upon retirement (on or after age 55), death, or termination of employment, and may also be distributed prior to termination of employment upon reaching age 59-1/2 or because of financial hardship. Participants' benefits are paid in a lump sum equal to the vested value of the participant's account at the time of payment. With respect to accounts from the former Pension Plan that was merged into this Plan in 1993, an annuity (joint and 50% survivor for married participants and single life for unmarried participants) is the standard form of payment. With respect to such Pension Plan accounts, participants may elect a lump sum payment instead of the annuity, with spousal consent as applicable.</w:t>
      </w:r>
    </w:p>
    <w:p>
      <w:pPr>
        <w:spacing w:after="0" w:line="182"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TERMINATION</w:t>
      </w:r>
    </w:p>
    <w:p>
      <w:pPr>
        <w:spacing w:after="0" w:line="206" w:lineRule="exact"/>
        <w:rPr>
          <w:rFonts w:ascii="Courier New" w:cs="Courier New" w:eastAsia="Courier New" w:hAnsi="Courier New"/>
          <w:sz w:val="18"/>
          <w:szCs w:val="18"/>
          <w:color w:val="auto"/>
        </w:rPr>
      </w:pPr>
    </w:p>
    <w:p>
      <w:pPr>
        <w:ind w:left="128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Although it has not expressed any intent to do so, the Company reserves the right to fully or partially terminate the Plan at any time by action of the board of directors or its designee. In such an event, all participants will become fully vested in their account balance as of the date of full or partial termination.</w:t>
      </w:r>
    </w:p>
    <w:p>
      <w:pPr>
        <w:spacing w:after="0" w:line="203"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ACCOUNTING</w:t>
      </w:r>
    </w:p>
    <w:p>
      <w:pPr>
        <w:spacing w:after="0" w:line="206" w:lineRule="exact"/>
        <w:rPr>
          <w:rFonts w:ascii="Courier New" w:cs="Courier New" w:eastAsia="Courier New" w:hAnsi="Courier New"/>
          <w:sz w:val="18"/>
          <w:szCs w:val="18"/>
          <w:color w:val="auto"/>
        </w:rPr>
      </w:pPr>
    </w:p>
    <w:p>
      <w:pPr>
        <w:ind w:left="128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statements have been prepared using the accrual basis of accounting.</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VALUATION OF INVESTMENTS</w:t>
      </w:r>
    </w:p>
    <w:p>
      <w:pPr>
        <w:spacing w:after="0" w:line="206" w:lineRule="exact"/>
        <w:rPr>
          <w:rFonts w:ascii="Courier New" w:cs="Courier New" w:eastAsia="Courier New" w:hAnsi="Courier New"/>
          <w:sz w:val="18"/>
          <w:szCs w:val="18"/>
          <w:color w:val="auto"/>
        </w:rPr>
      </w:pPr>
    </w:p>
    <w:p>
      <w:pPr>
        <w:ind w:left="128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Plan's investments are valued at fair value based upon market prices quoted on national stock exchanges for the respective funds. Shares of registered company investments are valued at the net asset value of shares held by the Plan at year end. Participants' loans are valued at their outstanding balances, which approximate fair value.</w:t>
      </w:r>
    </w:p>
    <w:p>
      <w:pPr>
        <w:spacing w:after="0" w:line="204"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ESTIMATES</w:t>
      </w:r>
    </w:p>
    <w:p>
      <w:pPr>
        <w:spacing w:after="0" w:line="206" w:lineRule="exact"/>
        <w:rPr>
          <w:rFonts w:ascii="Courier New" w:cs="Courier New" w:eastAsia="Courier New" w:hAnsi="Courier New"/>
          <w:sz w:val="18"/>
          <w:szCs w:val="18"/>
          <w:color w:val="auto"/>
        </w:rPr>
      </w:pPr>
    </w:p>
    <w:p>
      <w:pPr>
        <w:ind w:left="1280" w:right="17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preparation of financial statements in conformity with accounting principles generally accepted in the United States of America requires management to make significant estimates and assumptions that affect the reported amounts of assets and liabilities, the disclosures of contingent assets and liabilities at the date of the financial statements, and the reported amounts of additions to and deductions from net assets during the reporting period. Actual results could differ from those estimates.</w:t>
      </w:r>
    </w:p>
    <w:p>
      <w:pPr>
        <w:spacing w:after="0" w:line="379"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RISKS AND UNCERTAINTIES</w:t>
      </w:r>
    </w:p>
    <w:p>
      <w:pPr>
        <w:spacing w:after="0" w:line="206" w:lineRule="exact"/>
        <w:rPr>
          <w:rFonts w:ascii="Courier New" w:cs="Courier New" w:eastAsia="Courier New" w:hAnsi="Courier New"/>
          <w:sz w:val="18"/>
          <w:szCs w:val="18"/>
          <w:color w:val="auto"/>
        </w:rPr>
      </w:pPr>
    </w:p>
    <w:p>
      <w:pPr>
        <w:ind w:left="128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offers a number of investment options, including Gartner, Inc. common stock and a variety of mutual funds. The funds invest in U.S. equities, international equities, and fixed income securities. Investment securities, in general, are exposed to various risks, such as interest rate, credit, and overall market volatility risk. Due to the level of risk associated with certain investment securities. It</w:t>
      </w:r>
    </w:p>
    <w:p>
      <w:pPr>
        <w:spacing w:after="0" w:line="20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(Continued)</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970" w:gutter="0" w:footer="0" w:header="0"/>
        </w:sectPr>
      </w:pPr>
    </w:p>
    <w:bookmarkStart w:id="10" w:name="page11"/>
    <w:bookmarkEnd w:id="10"/>
    <w:p>
      <w:pPr>
        <w:jc w:val="center"/>
        <w:ind w:right="1659"/>
        <w:spacing w:after="0"/>
        <w:rPr>
          <w:sz w:val="20"/>
          <w:szCs w:val="20"/>
          <w:color w:val="auto"/>
        </w:rPr>
      </w:pPr>
      <w:r>
        <w:rPr>
          <w:rFonts w:ascii="Courier New" w:cs="Courier New" w:eastAsia="Courier New" w:hAnsi="Courier New"/>
          <w:sz w:val="18"/>
          <w:szCs w:val="18"/>
          <w:color w:val="auto"/>
        </w:rPr>
        <w:t>GARTNER,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SAVINGS AND INVESTMENT PLAN</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December 31, 2003 and 2002</w:t>
      </w:r>
    </w:p>
    <w:p>
      <w:pPr>
        <w:spacing w:after="0" w:line="207" w:lineRule="exact"/>
        <w:rPr>
          <w:sz w:val="20"/>
          <w:szCs w:val="20"/>
          <w:color w:val="auto"/>
        </w:rPr>
      </w:pPr>
    </w:p>
    <w:p>
      <w:pPr>
        <w:ind w:left="1280" w:right="1779"/>
        <w:spacing w:after="0" w:line="275" w:lineRule="auto"/>
        <w:rPr>
          <w:sz w:val="20"/>
          <w:szCs w:val="20"/>
          <w:color w:val="auto"/>
        </w:rPr>
      </w:pPr>
      <w:r>
        <w:rPr>
          <w:rFonts w:ascii="Courier New" w:cs="Courier New" w:eastAsia="Courier New" w:hAnsi="Courier New"/>
          <w:sz w:val="16"/>
          <w:szCs w:val="16"/>
          <w:color w:val="auto"/>
        </w:rPr>
        <w:t>is reasonably possible that changes in the values of investment securities will occur in the near term and that such changes could materially affect the amounts reported in the statement of net assets available for plan benefits and participant account balances.</w:t>
      </w:r>
    </w:p>
    <w:p>
      <w:pPr>
        <w:spacing w:after="0" w:line="182" w:lineRule="exact"/>
        <w:rPr>
          <w:sz w:val="20"/>
          <w:szCs w:val="20"/>
          <w:color w:val="auto"/>
        </w:rPr>
      </w:pPr>
    </w:p>
    <w:p>
      <w:pPr>
        <w:ind w:left="1280" w:right="1879"/>
        <w:spacing w:after="0" w:line="272" w:lineRule="auto"/>
        <w:rPr>
          <w:sz w:val="20"/>
          <w:szCs w:val="20"/>
          <w:color w:val="auto"/>
        </w:rPr>
      </w:pPr>
      <w:r>
        <w:rPr>
          <w:rFonts w:ascii="Courier New" w:cs="Courier New" w:eastAsia="Courier New" w:hAnsi="Courier New"/>
          <w:sz w:val="16"/>
          <w:szCs w:val="16"/>
          <w:color w:val="auto"/>
        </w:rPr>
        <w:t>The Plan's exposure to a concentration of credit risk is limited by the diversification of investments across twenty-two participant-directed fund elections. Additionally, the investments within each participant-directed fund are further diversified into varied financial instruments, with the exception of the Gartner, Inc. Stock Fund, which invests in a single security.</w:t>
      </w:r>
    </w:p>
    <w:p>
      <w:pPr>
        <w:spacing w:after="0" w:line="180" w:lineRule="exact"/>
        <w:rPr>
          <w:sz w:val="20"/>
          <w:szCs w:val="20"/>
          <w:color w:val="auto"/>
        </w:rPr>
      </w:pPr>
    </w:p>
    <w:p>
      <w:pPr>
        <w:ind w:left="1280" w:hanging="640"/>
        <w:spacing w:after="0"/>
        <w:tabs>
          <w:tab w:leader="none" w:pos="12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TRANSACTIONS AND RELATED INCOME</w:t>
      </w:r>
    </w:p>
    <w:p>
      <w:pPr>
        <w:spacing w:after="0" w:line="206" w:lineRule="exact"/>
        <w:rPr>
          <w:rFonts w:ascii="Courier New" w:cs="Courier New" w:eastAsia="Courier New" w:hAnsi="Courier New"/>
          <w:sz w:val="18"/>
          <w:szCs w:val="18"/>
          <w:color w:val="auto"/>
        </w:rPr>
      </w:pPr>
    </w:p>
    <w:p>
      <w:pPr>
        <w:ind w:left="1280" w:right="17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Purchases and sales of interests in the investment funds, along with realized gains and losses, are accounted for on the trade date.</w:t>
      </w:r>
    </w:p>
    <w:p>
      <w:pPr>
        <w:spacing w:after="0" w:line="169" w:lineRule="exact"/>
        <w:rPr>
          <w:rFonts w:ascii="Courier New" w:cs="Courier New" w:eastAsia="Courier New" w:hAnsi="Courier New"/>
          <w:sz w:val="18"/>
          <w:szCs w:val="18"/>
          <w:color w:val="auto"/>
        </w:rPr>
      </w:pPr>
    </w:p>
    <w:p>
      <w:pPr>
        <w:ind w:left="128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represent the Plan's share in dividend income of the investment funds in which the Plan participates. Dividends are recorded on the ex-dividend date. Income from other investments is recorded as earned on an accrual basis.</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w:t>
      </w:r>
    </w:p>
    <w:p>
      <w:pPr>
        <w:spacing w:after="0" w:line="206" w:lineRule="exact"/>
        <w:rPr>
          <w:rFonts w:ascii="Courier New" w:cs="Courier New" w:eastAsia="Courier New" w:hAnsi="Courier New"/>
          <w:sz w:val="18"/>
          <w:szCs w:val="18"/>
          <w:color w:val="auto"/>
        </w:rPr>
      </w:pPr>
    </w:p>
    <w:p>
      <w:pPr>
        <w:ind w:left="6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Substantially all of the Plan's assets are invested in mutual funds and a commingled investment fund managed by Fidelity. A brief description of the funds and investments is as follows:</w:t>
      </w:r>
    </w:p>
    <w:p>
      <w:pPr>
        <w:spacing w:after="0" w:line="203"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GARTNER, INC. STOCK FUND</w:t>
      </w:r>
    </w:p>
    <w:p>
      <w:pPr>
        <w:spacing w:after="0" w:line="206" w:lineRule="exact"/>
        <w:rPr>
          <w:rFonts w:ascii="Courier New" w:cs="Courier New" w:eastAsia="Courier New" w:hAnsi="Courier New"/>
          <w:sz w:val="18"/>
          <w:szCs w:val="18"/>
          <w:color w:val="auto"/>
        </w:rPr>
      </w:pPr>
    </w:p>
    <w:p>
      <w:pPr>
        <w:ind w:left="128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assets of this fund are substantially invested in Gartner, Inc. Class A common stock. This fund also maintains interest-bearing cash, $204,540 and $153,024 at December 31, 2003 and 2002, respectively, to meet liquidity needs from participant withdrawals or transfers.</w:t>
      </w:r>
    </w:p>
    <w:p>
      <w:pPr>
        <w:spacing w:after="0" w:line="203"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RETIREMENT MONEY MARKET FUND</w:t>
      </w:r>
    </w:p>
    <w:p>
      <w:pPr>
        <w:spacing w:after="0" w:line="206" w:lineRule="exact"/>
        <w:rPr>
          <w:rFonts w:ascii="Courier New" w:cs="Courier New" w:eastAsia="Courier New" w:hAnsi="Courier New"/>
          <w:sz w:val="18"/>
          <w:szCs w:val="18"/>
          <w:color w:val="auto"/>
        </w:rPr>
      </w:pPr>
    </w:p>
    <w:p>
      <w:pPr>
        <w:ind w:left="128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are held in a diversified portfolio of domestic and international short-term fixed income securities such as corporate commercial paper, certificates of deposit, Treasury notes and bills, and bankers' acceptances.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FUNDS</w:t>
      </w:r>
    </w:p>
    <w:p>
      <w:pPr>
        <w:spacing w:after="0" w:line="206" w:lineRule="exact"/>
        <w:rPr>
          <w:rFonts w:ascii="Courier New" w:cs="Courier New" w:eastAsia="Courier New" w:hAnsi="Courier New"/>
          <w:sz w:val="18"/>
          <w:szCs w:val="18"/>
          <w:color w:val="auto"/>
        </w:rPr>
      </w:pPr>
    </w:p>
    <w:p>
      <w:pPr>
        <w:ind w:left="1280"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Magellan, Growth Company, OTC Portfolio, and Overseas Funds invest in debt and equity securities of companies of varying sizes with above average growth potential to achieve long-term capital appreciation. The U.S. Equity Index Fund seeks to match the total return of the Standard &amp; Poor 500 Index. The Puritan, Equity Income, and Intermediate Bond Funds seek current income and capital preservation as well as the potential for capital appreciation by investing in a diversified portfolio of common and preferred stocks and bonds. The Fidelity Freedom Funds are asset allocation funds that invest in other Fidelity mutual funds; there are five funds that are managed to specific target retirement dates - 2000, 2010, 2020, 2030, and 2040 and a sixth fund, the Fidelity Freedom Income Fund, for those actively seeking high current income. The Fidelity Select Portfolios are mutual funds that invest in specific sectors or industries. Investors are able to obtain targeted diversification with industry specific mutual funds and an opportunity to invest in industries with</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(Continued)</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767" w:gutter="0" w:footer="0" w:header="0"/>
        </w:sectPr>
      </w:pPr>
    </w:p>
    <w:bookmarkStart w:id="11" w:name="page12"/>
    <w:bookmarkEnd w:id="11"/>
    <w:p>
      <w:pPr>
        <w:jc w:val="center"/>
        <w:ind w:right="320"/>
        <w:spacing w:after="0"/>
        <w:rPr>
          <w:sz w:val="20"/>
          <w:szCs w:val="20"/>
          <w:color w:val="auto"/>
        </w:rPr>
      </w:pPr>
      <w:r>
        <w:rPr>
          <w:rFonts w:ascii="Courier New" w:cs="Courier New" w:eastAsia="Courier New" w:hAnsi="Courier New"/>
          <w:sz w:val="18"/>
          <w:szCs w:val="18"/>
          <w:color w:val="auto"/>
        </w:rPr>
        <w:t>GARTNER, INC.</w:t>
      </w:r>
    </w:p>
    <w:p>
      <w:pPr>
        <w:jc w:val="center"/>
        <w:ind w:right="320"/>
        <w:spacing w:after="0" w:line="238" w:lineRule="auto"/>
        <w:rPr>
          <w:sz w:val="20"/>
          <w:szCs w:val="20"/>
          <w:color w:val="auto"/>
        </w:rPr>
      </w:pPr>
      <w:r>
        <w:rPr>
          <w:rFonts w:ascii="Courier New" w:cs="Courier New" w:eastAsia="Courier New" w:hAnsi="Courier New"/>
          <w:sz w:val="18"/>
          <w:szCs w:val="18"/>
          <w:color w:val="auto"/>
        </w:rPr>
        <w:t>SAVINGS AND INVESTMENT PLAN</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December 31, 2003 and 2002</w:t>
      </w:r>
    </w:p>
    <w:p>
      <w:pPr>
        <w:spacing w:after="0" w:line="207" w:lineRule="exact"/>
        <w:rPr>
          <w:sz w:val="20"/>
          <w:szCs w:val="20"/>
          <w:color w:val="auto"/>
        </w:rPr>
      </w:pPr>
    </w:p>
    <w:p>
      <w:pPr>
        <w:ind w:left="1280" w:right="520"/>
        <w:spacing w:after="0" w:line="290" w:lineRule="auto"/>
        <w:rPr>
          <w:sz w:val="20"/>
          <w:szCs w:val="20"/>
          <w:color w:val="auto"/>
        </w:rPr>
      </w:pPr>
      <w:r>
        <w:rPr>
          <w:rFonts w:ascii="Courier New" w:cs="Courier New" w:eastAsia="Courier New" w:hAnsi="Courier New"/>
          <w:sz w:val="16"/>
          <w:szCs w:val="16"/>
          <w:color w:val="auto"/>
        </w:rPr>
        <w:t>high growth potential. As of December 31, 2003, the Fidelity Select Consumer Industries Fund was dropped as an investment choice.</w:t>
      </w:r>
    </w:p>
    <w:p>
      <w:pPr>
        <w:spacing w:after="0" w:line="16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market value of investments exceeding 5% of Plan assets as of</w:t>
      </w:r>
    </w:p>
    <w:p>
      <w:pPr>
        <w:ind w:left="1280"/>
        <w:spacing w:after="0" w:line="238" w:lineRule="auto"/>
        <w:rPr>
          <w:sz w:val="20"/>
          <w:szCs w:val="20"/>
          <w:color w:val="auto"/>
        </w:rPr>
      </w:pPr>
      <w:r>
        <w:rPr>
          <w:rFonts w:ascii="Courier New" w:cs="Courier New" w:eastAsia="Courier New" w:hAnsi="Courier New"/>
          <w:sz w:val="18"/>
          <w:szCs w:val="18"/>
          <w:color w:val="auto"/>
        </w:rPr>
        <w:t>December 31, 2003 and 2002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2003</w:t>
            </w:r>
          </w:p>
        </w:tc>
      </w:tr>
      <w:tr>
        <w:trPr>
          <w:trHeight w:val="203"/>
        </w:trPr>
        <w:tc>
          <w:tcPr>
            <w:tcW w:w="1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w w:val="96"/>
              </w:rPr>
              <w:t>Investments at</w:t>
            </w:r>
          </w:p>
        </w:tc>
        <w:tc>
          <w:tcPr>
            <w:tcW w:w="1480" w:type="dxa"/>
            <w:vAlign w:val="bottom"/>
          </w:tcPr>
          <w:p>
            <w:pPr>
              <w:ind w:left="40"/>
              <w:spacing w:after="0"/>
              <w:rPr>
                <w:sz w:val="20"/>
                <w:szCs w:val="20"/>
                <w:color w:val="auto"/>
              </w:rPr>
            </w:pPr>
            <w:r>
              <w:rPr>
                <w:rFonts w:ascii="Courier New" w:cs="Courier New" w:eastAsia="Courier New" w:hAnsi="Courier New"/>
                <w:sz w:val="18"/>
                <w:szCs w:val="18"/>
                <w:color w:val="auto"/>
              </w:rPr>
              <w:t>fair value as</w:t>
            </w:r>
          </w:p>
        </w:tc>
        <w:tc>
          <w:tcPr>
            <w:tcW w:w="3100" w:type="dxa"/>
            <w:vAlign w:val="bottom"/>
          </w:tcPr>
          <w:p>
            <w:pPr>
              <w:ind w:left="40"/>
              <w:spacing w:after="0"/>
              <w:rPr>
                <w:sz w:val="20"/>
                <w:szCs w:val="20"/>
                <w:color w:val="auto"/>
              </w:rPr>
            </w:pPr>
            <w:r>
              <w:rPr>
                <w:rFonts w:ascii="Courier New" w:cs="Courier New" w:eastAsia="Courier New" w:hAnsi="Courier New"/>
                <w:sz w:val="18"/>
                <w:szCs w:val="18"/>
                <w:color w:val="auto"/>
              </w:rPr>
              <w:t>determined by</w:t>
            </w:r>
          </w:p>
        </w:tc>
        <w:tc>
          <w:tcPr>
            <w:tcW w:w="2740" w:type="dxa"/>
            <w:vAlign w:val="bottom"/>
          </w:tcPr>
          <w:p>
            <w:pPr>
              <w:spacing w:after="0"/>
              <w:rPr>
                <w:sz w:val="24"/>
                <w:szCs w:val="24"/>
                <w:color w:val="auto"/>
              </w:rPr>
            </w:pPr>
          </w:p>
        </w:tc>
      </w:tr>
      <w:tr>
        <w:trPr>
          <w:trHeight w:val="203"/>
        </w:trPr>
        <w:tc>
          <w:tcPr>
            <w:tcW w:w="30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quoted market prices:</w:t>
            </w:r>
          </w:p>
        </w:tc>
        <w:tc>
          <w:tcPr>
            <w:tcW w:w="3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Fidelity</w:t>
            </w:r>
          </w:p>
        </w:tc>
        <w:tc>
          <w:tcPr>
            <w:tcW w:w="4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Retirement Money Market Fund</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$18,021,577</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Fidelity</w:t>
            </w: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Magellan Fund</w:t>
            </w:r>
          </w:p>
        </w:tc>
        <w:tc>
          <w:tcPr>
            <w:tcW w:w="3100" w:type="dxa"/>
            <w:vAlign w:val="bottom"/>
          </w:tcPr>
          <w:p>
            <w:pPr>
              <w:spacing w:after="0"/>
              <w:rPr>
                <w:sz w:val="17"/>
                <w:szCs w:val="17"/>
                <w:color w:val="auto"/>
              </w:rPr>
            </w:pP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32,467,883</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Fidelity</w:t>
            </w:r>
          </w:p>
        </w:tc>
        <w:tc>
          <w:tcPr>
            <w:tcW w:w="4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Growth Company Fund</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33,666,664</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Fidelity</w:t>
            </w: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Puritan Fund</w:t>
            </w:r>
          </w:p>
        </w:tc>
        <w:tc>
          <w:tcPr>
            <w:tcW w:w="3100" w:type="dxa"/>
            <w:vAlign w:val="bottom"/>
          </w:tcPr>
          <w:p>
            <w:pPr>
              <w:spacing w:after="0"/>
              <w:rPr>
                <w:sz w:val="17"/>
                <w:szCs w:val="17"/>
                <w:color w:val="auto"/>
              </w:rPr>
            </w:pP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14,851,187</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Fidelity</w:t>
            </w: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Equity Income</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Fund</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19,400,131</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Fidelity</w:t>
            </w: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OTC Portfolio</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Fund</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10,327,123</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Fidelity</w:t>
            </w:r>
          </w:p>
        </w:tc>
        <w:tc>
          <w:tcPr>
            <w:tcW w:w="4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Intermediate Bond Fund</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9,281,493</w:t>
            </w:r>
          </w:p>
        </w:tc>
      </w:tr>
    </w:tbl>
    <w:p>
      <w:pPr>
        <w:spacing w:after="0" w:line="207" w:lineRule="exact"/>
        <w:rPr>
          <w:sz w:val="20"/>
          <w:szCs w:val="20"/>
          <w:color w:val="auto"/>
        </w:rPr>
      </w:pPr>
    </w:p>
    <w:p>
      <w:pPr>
        <w:ind w:left="1280" w:right="420"/>
        <w:spacing w:after="0" w:line="236" w:lineRule="auto"/>
        <w:rPr>
          <w:sz w:val="20"/>
          <w:szCs w:val="20"/>
          <w:color w:val="auto"/>
        </w:rPr>
      </w:pPr>
      <w:r>
        <w:rPr>
          <w:rFonts w:ascii="Courier New" w:cs="Courier New" w:eastAsia="Courier New" w:hAnsi="Courier New"/>
          <w:sz w:val="18"/>
          <w:szCs w:val="18"/>
          <w:color w:val="auto"/>
        </w:rPr>
        <w:t>During 2003, the Plan's investments (including investments bought, sold, and held during the year) increased in value by $31,028,420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rPr>
              <w:t>Registered investment company</w:t>
            </w:r>
          </w:p>
        </w:tc>
        <w:tc>
          <w:tcPr>
            <w:tcW w:w="1320" w:type="dxa"/>
            <w:vAlign w:val="bottom"/>
          </w:tcPr>
          <w:p>
            <w:pPr>
              <w:spacing w:after="0"/>
              <w:rPr>
                <w:sz w:val="17"/>
                <w:szCs w:val="17"/>
                <w:color w:val="auto"/>
              </w:rPr>
            </w:pP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$30,138,726</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Gartner, Inc. Class A common stock</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889,694</w:t>
            </w:r>
          </w:p>
        </w:tc>
      </w:tr>
      <w:tr>
        <w:trPr>
          <w:trHeight w:val="203"/>
        </w:trPr>
        <w:tc>
          <w:tcPr>
            <w:tcW w:w="37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$31,028,420</w:t>
            </w:r>
          </w:p>
        </w:tc>
      </w:tr>
      <w:tr>
        <w:trPr>
          <w:trHeight w:val="203"/>
        </w:trPr>
        <w:tc>
          <w:tcPr>
            <w:tcW w:w="37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TAX STATUS</w:t>
      </w:r>
    </w:p>
    <w:p>
      <w:pPr>
        <w:spacing w:after="0" w:line="206" w:lineRule="exact"/>
        <w:rPr>
          <w:rFonts w:ascii="Courier New" w:cs="Courier New" w:eastAsia="Courier New" w:hAnsi="Courier New"/>
          <w:sz w:val="18"/>
          <w:szCs w:val="18"/>
          <w:color w:val="auto"/>
        </w:rPr>
      </w:pPr>
    </w:p>
    <w:p>
      <w:pPr>
        <w:ind w:left="640" w:right="420"/>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 April 7, 2003, the Plan received a favorable determination letter from the Internal Revenue Service, as to the continuing qualification of the Plan under Code Section 401(a). Gartner, Inc. believes that the Plan currently is designed and being operated in compliance with the applicable requirements of the Code and that, therefore, the Plan qualifies under Section 401(a) and the related trust is tax-exempt as of December 31, 2003. Therefore, no provision for income taxes has been included in the Plan's financial statements.</w:t>
      </w:r>
    </w:p>
    <w:p>
      <w:pPr>
        <w:spacing w:after="0" w:line="20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PARTY TRANSACTIONS</w:t>
      </w:r>
    </w:p>
    <w:p>
      <w:pPr>
        <w:spacing w:after="0" w:line="206" w:lineRule="exact"/>
        <w:rPr>
          <w:rFonts w:ascii="Courier New" w:cs="Courier New" w:eastAsia="Courier New" w:hAnsi="Courier New"/>
          <w:sz w:val="18"/>
          <w:szCs w:val="18"/>
          <w:color w:val="auto"/>
        </w:rPr>
      </w:pPr>
    </w:p>
    <w:p>
      <w:pPr>
        <w:ind w:left="640" w:right="520"/>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Certain Plan investments are shares of mutual funds managed by Fidelity Management and Research, who is a subsidiary of Fidelity Management Trust Company, the Trustee as defined by the Plan, and therefore, these transactions qualify as party in interest. Another investment is an investment fund comprised primarily of shares of common stock issued by Gartner, Inc. Gartner, Inc. is the Plan sponsor as defined by the Plan.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2002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18,275,416</w:t>
      </w:r>
    </w:p>
    <w:p>
      <w:pPr>
        <w:spacing w:after="0" w:line="21"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25,638,106</w:t>
      </w:r>
    </w:p>
    <w:p>
      <w:pPr>
        <w:spacing w:after="0" w:line="21"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21,968,947</w:t>
      </w:r>
    </w:p>
    <w:p>
      <w:pPr>
        <w:spacing w:after="0" w:line="21"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11,589,344</w:t>
      </w:r>
    </w:p>
    <w:p>
      <w:pPr>
        <w:spacing w:after="0" w:line="21"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14,288,436</w:t>
      </w:r>
    </w:p>
    <w:p>
      <w:pPr>
        <w:spacing w:after="0" w:line="16"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7,599,065</w:t>
      </w:r>
    </w:p>
    <w:p>
      <w:pPr>
        <w:jc w:val="right"/>
        <w:spacing w:after="0" w:line="238" w:lineRule="auto"/>
        <w:rPr>
          <w:sz w:val="20"/>
          <w:szCs w:val="20"/>
          <w:color w:val="auto"/>
        </w:rPr>
      </w:pPr>
      <w:r>
        <w:rPr>
          <w:rFonts w:ascii="Courier New" w:cs="Courier New" w:eastAsia="Courier New" w:hAnsi="Courier New"/>
          <w:sz w:val="18"/>
          <w:szCs w:val="18"/>
          <w:color w:val="auto"/>
        </w:rPr>
        <w:t>9,088,626</w:t>
      </w:r>
    </w:p>
    <w:p>
      <w:pPr>
        <w:sectPr>
          <w:pgSz w:w="11900" w:h="16838" w:orient="portrait"/>
          <w:cols w:equalWidth="0" w:num="2">
            <w:col w:w="8860" w:space="420"/>
            <w:col w:w="1060"/>
          </w:cols>
          <w:pgMar w:left="240" w:top="717" w:right="1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21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SCHEDULE I</w:t>
            </w:r>
          </w:p>
        </w:tc>
        <w:tc>
          <w:tcPr>
            <w:tcW w:w="3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GARTNER, INC.</w:t>
            </w:r>
          </w:p>
        </w:tc>
        <w:tc>
          <w:tcPr>
            <w:tcW w:w="2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SAVINGS AND INVESTMENT PLAN</w:t>
            </w:r>
          </w:p>
        </w:tc>
        <w:tc>
          <w:tcPr>
            <w:tcW w:w="2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8800" w:type="dxa"/>
            <w:vAlign w:val="bottom"/>
            <w:gridSpan w:val="3"/>
          </w:tcPr>
          <w:p>
            <w:pPr>
              <w:jc w:val="right"/>
              <w:ind w:right="1612"/>
              <w:spacing w:after="0" w:line="203" w:lineRule="exact"/>
              <w:rPr>
                <w:sz w:val="20"/>
                <w:szCs w:val="20"/>
                <w:color w:val="auto"/>
              </w:rPr>
            </w:pPr>
            <w:r>
              <w:rPr>
                <w:rFonts w:ascii="Courier New" w:cs="Courier New" w:eastAsia="Courier New" w:hAnsi="Courier New"/>
                <w:sz w:val="18"/>
                <w:szCs w:val="18"/>
                <w:color w:val="auto"/>
              </w:rPr>
              <w:t>Schedule H, Line 4i - Schedule of Assets Held (at End of Year)</w:t>
            </w:r>
          </w:p>
        </w:tc>
        <w:tc>
          <w:tcPr>
            <w:tcW w:w="3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December 31, 2003</w:t>
            </w:r>
          </w:p>
        </w:tc>
        <w:tc>
          <w:tcPr>
            <w:tcW w:w="2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810"/>
        </w:trPr>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CURRENT</w:t>
            </w:r>
          </w:p>
        </w:tc>
      </w:tr>
      <w:tr>
        <w:trPr>
          <w:trHeight w:val="203"/>
        </w:trPr>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2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DESCRIPTION</w:t>
            </w:r>
          </w:p>
        </w:tc>
        <w:tc>
          <w:tcPr>
            <w:tcW w:w="21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SHARES</w:t>
            </w:r>
          </w:p>
        </w:tc>
        <w:tc>
          <w:tcPr>
            <w:tcW w:w="360" w:type="dxa"/>
            <w:vAlign w:val="bottom"/>
          </w:tcPr>
          <w:p>
            <w:pPr>
              <w:spacing w:after="0"/>
              <w:rPr>
                <w:sz w:val="17"/>
                <w:szCs w:val="17"/>
                <w:color w:val="auto"/>
              </w:rPr>
            </w:pP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VALUE</w:t>
            </w:r>
          </w:p>
        </w:tc>
      </w:tr>
      <w:tr>
        <w:trPr>
          <w:trHeight w:val="203"/>
        </w:trPr>
        <w:tc>
          <w:tcPr>
            <w:tcW w:w="7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w:t>
            </w:r>
          </w:p>
        </w:tc>
        <w:tc>
          <w:tcPr>
            <w:tcW w:w="21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66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FMTC Institutional Cash Portfolio</w:t>
            </w:r>
          </w:p>
        </w:tc>
        <w:tc>
          <w:tcPr>
            <w:tcW w:w="21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228,487</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228,487</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Fidelity</w:t>
            </w:r>
          </w:p>
        </w:tc>
        <w:tc>
          <w:tcPr>
            <w:tcW w:w="5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Retirement Money Market Fund</w:t>
            </w: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18,021,577</w:t>
            </w:r>
          </w:p>
        </w:tc>
        <w:tc>
          <w:tcPr>
            <w:tcW w:w="36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18,021,577</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Fidelity</w:t>
            </w:r>
          </w:p>
        </w:tc>
        <w:tc>
          <w:tcPr>
            <w:tcW w:w="5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Magellan Fund</w:t>
            </w: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322,186</w:t>
            </w:r>
          </w:p>
        </w:tc>
        <w:tc>
          <w:tcPr>
            <w:tcW w:w="36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32,467,883</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Fidelity</w:t>
            </w:r>
          </w:p>
        </w:tc>
        <w:tc>
          <w:tcPr>
            <w:tcW w:w="5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Growth Company Fund</w:t>
            </w: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672,392</w:t>
            </w:r>
          </w:p>
        </w:tc>
        <w:tc>
          <w:tcPr>
            <w:tcW w:w="36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33,666,664</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Fidelity</w:t>
            </w:r>
          </w:p>
        </w:tc>
        <w:tc>
          <w:tcPr>
            <w:tcW w:w="5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Puritan Fund</w:t>
            </w: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804,071</w:t>
            </w:r>
          </w:p>
        </w:tc>
        <w:tc>
          <w:tcPr>
            <w:tcW w:w="36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14,851,187</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Fidelity</w:t>
            </w:r>
          </w:p>
        </w:tc>
        <w:tc>
          <w:tcPr>
            <w:tcW w:w="5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Equity Income Fund</w:t>
            </w: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389,952</w:t>
            </w:r>
          </w:p>
        </w:tc>
        <w:tc>
          <w:tcPr>
            <w:tcW w:w="36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19,400,131</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Fidelity</w:t>
            </w:r>
          </w:p>
        </w:tc>
        <w:tc>
          <w:tcPr>
            <w:tcW w:w="5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Intermediate Bond Fund</w:t>
            </w: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870,684</w:t>
            </w:r>
          </w:p>
        </w:tc>
        <w:tc>
          <w:tcPr>
            <w:tcW w:w="36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9,281,493</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Fidelity</w:t>
            </w:r>
          </w:p>
        </w:tc>
        <w:tc>
          <w:tcPr>
            <w:tcW w:w="5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Overseas Fund</w:t>
            </w: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243,148</w:t>
            </w:r>
          </w:p>
        </w:tc>
        <w:tc>
          <w:tcPr>
            <w:tcW w:w="36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7,642,149</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Fidelity</w:t>
            </w:r>
          </w:p>
        </w:tc>
        <w:tc>
          <w:tcPr>
            <w:tcW w:w="5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OTC Portfolio Fund</w:t>
            </w: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318,051</w:t>
            </w:r>
          </w:p>
        </w:tc>
        <w:tc>
          <w:tcPr>
            <w:tcW w:w="36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10,327,123</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6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Spartan U.S. Equity Index Fund</w:t>
            </w: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214,430</w:t>
            </w:r>
          </w:p>
        </w:tc>
        <w:tc>
          <w:tcPr>
            <w:tcW w:w="36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8,450,668</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Fidelity</w:t>
            </w:r>
          </w:p>
        </w:tc>
        <w:tc>
          <w:tcPr>
            <w:tcW w:w="5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Freedom Income Fund</w:t>
            </w: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36,759</w:t>
            </w:r>
          </w:p>
        </w:tc>
        <w:tc>
          <w:tcPr>
            <w:tcW w:w="36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407,660</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Fidelity</w:t>
            </w:r>
          </w:p>
        </w:tc>
        <w:tc>
          <w:tcPr>
            <w:tcW w:w="5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Freedom 2000 Fund</w:t>
            </w: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506,647</w:t>
            </w:r>
          </w:p>
        </w:tc>
        <w:tc>
          <w:tcPr>
            <w:tcW w:w="36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5,944,741</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Fidelity</w:t>
            </w:r>
          </w:p>
        </w:tc>
        <w:tc>
          <w:tcPr>
            <w:tcW w:w="5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Freedom 2010 Fund</w:t>
            </w: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137,719</w:t>
            </w:r>
          </w:p>
        </w:tc>
        <w:tc>
          <w:tcPr>
            <w:tcW w:w="36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1,793,106</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Fidelity</w:t>
            </w:r>
          </w:p>
        </w:tc>
        <w:tc>
          <w:tcPr>
            <w:tcW w:w="5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Freedom 2020 Fund</w:t>
            </w: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261,286</w:t>
            </w:r>
          </w:p>
        </w:tc>
        <w:tc>
          <w:tcPr>
            <w:tcW w:w="36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3,401,937</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Fidelity</w:t>
            </w:r>
          </w:p>
        </w:tc>
        <w:tc>
          <w:tcPr>
            <w:tcW w:w="5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Freedom 2030 Fund</w:t>
            </w: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187,874</w:t>
            </w:r>
          </w:p>
        </w:tc>
        <w:tc>
          <w:tcPr>
            <w:tcW w:w="36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2,432,967</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Fidelity</w:t>
            </w:r>
          </w:p>
        </w:tc>
        <w:tc>
          <w:tcPr>
            <w:tcW w:w="5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Freedom 2040 Fund</w:t>
            </w: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68,880</w:t>
            </w:r>
          </w:p>
        </w:tc>
        <w:tc>
          <w:tcPr>
            <w:tcW w:w="36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520,731</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Fidelity</w:t>
            </w:r>
          </w:p>
        </w:tc>
        <w:tc>
          <w:tcPr>
            <w:tcW w:w="5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Select Health Care</w:t>
            </w: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9,057</w:t>
            </w:r>
          </w:p>
        </w:tc>
        <w:tc>
          <w:tcPr>
            <w:tcW w:w="36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1,068,850</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Fidelity</w:t>
            </w:r>
          </w:p>
        </w:tc>
        <w:tc>
          <w:tcPr>
            <w:tcW w:w="5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Select Technology</w:t>
            </w: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23,612</w:t>
            </w:r>
          </w:p>
        </w:tc>
        <w:tc>
          <w:tcPr>
            <w:tcW w:w="36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1,418,864</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Fidelity</w:t>
            </w:r>
          </w:p>
        </w:tc>
        <w:tc>
          <w:tcPr>
            <w:tcW w:w="5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Utilities Growth</w:t>
            </w: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3,097</w:t>
            </w:r>
          </w:p>
        </w:tc>
        <w:tc>
          <w:tcPr>
            <w:tcW w:w="36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102,009</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Fidelity</w:t>
            </w:r>
          </w:p>
        </w:tc>
        <w:tc>
          <w:tcPr>
            <w:tcW w:w="5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Financial Services</w:t>
            </w: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8,381</w:t>
            </w:r>
          </w:p>
        </w:tc>
        <w:tc>
          <w:tcPr>
            <w:tcW w:w="36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963,160</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Fidelity</w:t>
            </w:r>
          </w:p>
        </w:tc>
        <w:tc>
          <w:tcPr>
            <w:tcW w:w="5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Select Natural Resources</w:t>
            </w: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10,452</w:t>
            </w:r>
          </w:p>
        </w:tc>
        <w:tc>
          <w:tcPr>
            <w:tcW w:w="36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149,673</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Fidelity</w:t>
            </w:r>
          </w:p>
        </w:tc>
        <w:tc>
          <w:tcPr>
            <w:tcW w:w="5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Select Cyclical Industries</w:t>
            </w: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19,051</w:t>
            </w:r>
          </w:p>
        </w:tc>
        <w:tc>
          <w:tcPr>
            <w:tcW w:w="36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306,158</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Loans to</w:t>
            </w:r>
          </w:p>
        </w:tc>
        <w:tc>
          <w:tcPr>
            <w:tcW w:w="5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Plan participants (545 loans with interest rates</w:t>
            </w:r>
          </w:p>
        </w:tc>
        <w:tc>
          <w:tcPr>
            <w:tcW w:w="2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66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ranging from 5% to 11%)</w:t>
            </w: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3,492,494</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Gartner,</w:t>
            </w:r>
          </w:p>
        </w:tc>
        <w:tc>
          <w:tcPr>
            <w:tcW w:w="5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 Class A Common Stock</w:t>
            </w: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359,144</w:t>
            </w:r>
          </w:p>
        </w:tc>
        <w:tc>
          <w:tcPr>
            <w:tcW w:w="36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4,061,919</w:t>
            </w:r>
          </w:p>
        </w:tc>
      </w:tr>
      <w:tr>
        <w:trPr>
          <w:trHeight w:val="203"/>
        </w:trPr>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1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180,401,631</w:t>
            </w:r>
          </w:p>
        </w:tc>
      </w:tr>
      <w:tr>
        <w:trPr>
          <w:trHeight w:val="203"/>
        </w:trPr>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1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Party in interest - affiliate of Plan custodian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Party in interest - Sponsor of the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report of independent registered public accounting firm.</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1280"/>
          </w:cols>
          <w:pgMar w:left="240" w:top="717" w:right="379" w:bottom="1440" w:gutter="0" w:footer="0" w:header="0"/>
        </w:sectPr>
      </w:pPr>
    </w:p>
    <w:bookmarkStart w:id="13" w:name="page14"/>
    <w:bookmarkEnd w:id="13"/>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left="640" w:right="1999"/>
        <w:spacing w:after="0" w:line="237" w:lineRule="auto"/>
        <w:rPr>
          <w:sz w:val="20"/>
          <w:szCs w:val="20"/>
          <w:color w:val="auto"/>
        </w:rPr>
      </w:pPr>
      <w:r>
        <w:rPr>
          <w:rFonts w:ascii="Courier New" w:cs="Courier New" w:eastAsia="Courier New" w:hAnsi="Courier New"/>
          <w:sz w:val="18"/>
          <w:szCs w:val="18"/>
          <w:color w:val="auto"/>
        </w:rPr>
        <w:t>The Plan. 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Gartner, Inc. Savings and Investment Plan</w:t>
      </w:r>
    </w:p>
    <w:p>
      <w:pPr>
        <w:spacing w:after="0" w:line="201" w:lineRule="exact"/>
        <w:rPr>
          <w:sz w:val="20"/>
          <w:szCs w:val="20"/>
          <w:color w:val="auto"/>
        </w:rPr>
      </w:pPr>
    </w:p>
    <w:p>
      <w:pPr>
        <w:spacing w:after="0"/>
        <w:tabs>
          <w:tab w:leader="none" w:pos="720" w:val="left"/>
          <w:tab w:leader="none" w:pos="2720" w:val="left"/>
        </w:tabs>
        <w:rPr>
          <w:sz w:val="20"/>
          <w:szCs w:val="20"/>
          <w:color w:val="auto"/>
        </w:rPr>
      </w:pPr>
      <w:r>
        <w:rPr>
          <w:rFonts w:ascii="Courier New" w:cs="Courier New" w:eastAsia="Courier New" w:hAnsi="Courier New"/>
          <w:sz w:val="18"/>
          <w:szCs w:val="18"/>
          <w:color w:val="auto"/>
        </w:rPr>
        <w:t>Date:</w:t>
        <w:tab/>
        <w:t>June 25, 2004</w:t>
      </w:r>
      <w:r>
        <w:rPr>
          <w:sz w:val="20"/>
          <w:szCs w:val="20"/>
          <w:color w:val="auto"/>
        </w:rPr>
        <w:tab/>
      </w:r>
      <w:r>
        <w:rPr>
          <w:rFonts w:ascii="Courier New" w:cs="Courier New" w:eastAsia="Courier New" w:hAnsi="Courier New"/>
          <w:sz w:val="16"/>
          <w:szCs w:val="16"/>
          <w:color w:val="auto"/>
        </w:rPr>
        <w:t>By: / s / Christopher Lafond</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Name: Christopher Lafond</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Title: Administrative Committee Chairman</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Executive Vice President,</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Chief Financial Officer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Gartner, Inc.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14" w:name="page15"/>
    <w:bookmarkEnd w:id="14"/>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Number</w:t>
      </w:r>
    </w:p>
    <w:p>
      <w:pPr>
        <w:spacing w:after="0" w:line="2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23*</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Description of Exhibits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 Consent, KPMG LLP.</w:t>
      </w:r>
    </w:p>
    <w:p>
      <w:pPr>
        <w:spacing w:after="0" w:line="216" w:lineRule="exact"/>
        <w:rPr>
          <w:sz w:val="20"/>
          <w:szCs w:val="20"/>
          <w:color w:val="auto"/>
        </w:rPr>
      </w:pPr>
    </w:p>
    <w:p>
      <w:pPr>
        <w:sectPr>
          <w:pgSz w:w="11900" w:h="16838" w:orient="portrait"/>
          <w:cols w:equalWidth="0" w:num="2">
            <w:col w:w="1820" w:space="720"/>
            <w:col w:w="7679"/>
          </w:cols>
          <w:pgMar w:left="240" w:top="717" w:right="1440" w:bottom="1440" w:gutter="0" w:footer="0" w:header="0"/>
        </w:sectPr>
      </w:pPr>
    </w:p>
    <w:p>
      <w:pPr>
        <w:spacing w:after="0" w:line="1"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Filed herewith.</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717" w:right="1440" w:bottom="1440" w:gutter="0" w:footer="0" w:header="0"/>
          <w:type w:val="continuous"/>
        </w:sectPr>
      </w:pPr>
    </w:p>
    <w:bookmarkStart w:id="15" w:name="page16"/>
    <w:bookmarkEnd w:id="15"/>
    <w:p>
      <w:pPr>
        <w:jc w:val="right"/>
        <w:ind w:right="1779"/>
        <w:spacing w:after="0"/>
        <w:rPr>
          <w:sz w:val="20"/>
          <w:szCs w:val="20"/>
          <w:color w:val="auto"/>
        </w:rPr>
      </w:pPr>
      <w:r>
        <w:rPr>
          <w:rFonts w:ascii="Courier New" w:cs="Courier New" w:eastAsia="Courier New" w:hAnsi="Courier New"/>
          <w:sz w:val="18"/>
          <w:szCs w:val="18"/>
          <w:color w:val="auto"/>
        </w:rPr>
        <w:t>EXHIBIT 23</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CONSENT OF INDEPENDENT REGISTERED PUBLIC ACCOUNTING FIRM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members of the Board of Directors of Gartner, Inc.:</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(No. 333-104753) on Form S-8 of Gartner, Inc. of our report dated June 21, 2004 relating to the statements of net assets available for benefits, as of December 31, 2003 and 2002, and the related statement of changes in net assets available for benefits for the year ended December 31, 2003 of Gartner, Inc. Savings and Investment Plan and the related supplemental schedule as of December 31, 2003, which report appears in the December 31, 2003 Annual Report on Form 11-K of Gartner, Inc. Savings and Investment Plan.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KPMG LLP</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83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New York, New York June 25, 2004</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upperLetter"/>
      <w:start w:val="1"/>
    </w:lvl>
  </w:abstractNum>
  <w:abstractNum w:abstractNumId="3">
    <w:nsid w:val="12200854"/>
    <w:multiLevelType w:val="hybridMultilevel"/>
    <w:lvl w:ilvl="0">
      <w:lvlJc w:val="left"/>
      <w:lvlText w:val="%1."/>
      <w:numFmt w:val="upperLetter"/>
      <w:start w:val="2"/>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lowerLetter"/>
      <w:start w:val="4"/>
    </w:lvl>
  </w:abstractNum>
  <w:abstractNum w:abstractNumId="8">
    <w:nsid w:val="66EF438D"/>
    <w:multiLevelType w:val="hybridMultilevel"/>
    <w:lvl w:ilvl="0">
      <w:lvlJc w:val="left"/>
      <w:lvlText w:val="%1"/>
      <w:numFmt w:val="decimal"/>
      <w:start w:val="1"/>
    </w:lvl>
    <w:lvl w:ilvl="1">
      <w:lvlJc w:val="left"/>
      <w:lvlText w:val="(%2)"/>
      <w:numFmt w:val="lowerLetter"/>
      <w:start w:val="8"/>
    </w:lvl>
  </w:abstractNum>
  <w:abstractNum w:abstractNumId="9">
    <w:nsid w:val="140E0F76"/>
    <w:multiLevelType w:val="hybridMultilevel"/>
    <w:lvl w:ilvl="0">
      <w:lvlJc w:val="left"/>
      <w:lvlText w:val="(%1)"/>
      <w:numFmt w:val="decimal"/>
      <w:start w:val="2"/>
    </w:lvl>
    <w:lvl w:ilvl="1">
      <w:lvlJc w:val="left"/>
      <w:lvlText w:val="(%2)"/>
      <w:numFmt w:val="lowerLetter"/>
      <w:start w:val="1"/>
    </w:lvl>
  </w:abstractNum>
  <w:abstractNum w:abstractNumId="10">
    <w:nsid w:val="3352255A"/>
    <w:multiLevelType w:val="hybridMultilevel"/>
    <w:lvl w:ilvl="0">
      <w:lvlJc w:val="left"/>
      <w:lvlText w:val="%1"/>
      <w:numFmt w:val="decimal"/>
      <w:start w:val="1"/>
    </w:lvl>
    <w:lvl w:ilvl="1">
      <w:lvlJc w:val="left"/>
      <w:lvlText w:val="(%2)"/>
      <w:numFmt w:val="lowerLetter"/>
      <w:start w:val="5"/>
    </w:lvl>
  </w:abstractNum>
  <w:abstractNum w:abstractNumId="11">
    <w:nsid w:val="109CF92E"/>
    <w:multiLevelType w:val="hybridMultilevel"/>
    <w:lvl w:ilvl="0">
      <w:lvlJc w:val="left"/>
      <w:lvlText w:val="(%1)"/>
      <w:numFmt w:val="decimal"/>
      <w:start w:val="3"/>
    </w:lvl>
    <w:lvl w:ilvl="1">
      <w:lvlJc w:val="left"/>
      <w:lvlText w:val="(%2)"/>
      <w:numFmt w:val="lowerLetter"/>
      <w:start w:val="1"/>
    </w:lvl>
  </w:abstractNum>
  <w:abstractNum w:abstractNumId="12">
    <w:nsid w:val="DED7263"/>
    <w:multiLevelType w:val="hybridMultilevel"/>
    <w:lvl w:ilvl="0">
      <w:lvlJc w:val="left"/>
      <w:lvlText w:val="(%1)"/>
      <w:numFmt w:val="decimal"/>
      <w:start w:val="4"/>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2019-12-13T14:36:50Z</dcterms:created>
  <dcterms:modified xsi:type="dcterms:W3CDTF">2019-12-13T14:36:50Z</dcterms:modified>
</cp:coreProperties>
</file>