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60"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5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7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ind w:left="420" w:hanging="381"/>
        <w:spacing w:after="0"/>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1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GARTNER, INC.</w:t>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tbl>
      <w:tblPr>
        <w:tblLayout w:type="fixed"/>
        <w:tblInd w:w="680" w:type="dxa"/>
        <w:tblCellMar>
          <w:top w:w="0" w:type="dxa"/>
          <w:left w:w="0" w:type="dxa"/>
          <w:bottom w:w="0" w:type="dxa"/>
          <w:right w:w="0" w:type="dxa"/>
        </w:tblCellMar>
      </w:tblPr>
      <w:tr>
        <w:trPr>
          <w:trHeight w:val="233"/>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04-3099750</w:t>
            </w:r>
          </w:p>
        </w:tc>
      </w:tr>
      <w:tr>
        <w:trPr>
          <w:trHeight w:val="226"/>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29"/>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P.O. Box 10212</w:t>
            </w:r>
          </w:p>
        </w:tc>
        <w:tc>
          <w:tcPr>
            <w:tcW w:w="3680" w:type="dxa"/>
            <w:vAlign w:val="bottom"/>
          </w:tcPr>
          <w:p>
            <w:pPr>
              <w:spacing w:after="0"/>
              <w:rPr>
                <w:sz w:val="19"/>
                <w:szCs w:val="19"/>
                <w:color w:val="auto"/>
              </w:rPr>
            </w:pPr>
          </w:p>
        </w:tc>
      </w:tr>
      <w:tr>
        <w:trPr>
          <w:trHeight w:val="229"/>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56 Top Gallant Road</w:t>
            </w:r>
          </w:p>
        </w:tc>
        <w:tc>
          <w:tcPr>
            <w:tcW w:w="3680" w:type="dxa"/>
            <w:vAlign w:val="bottom"/>
          </w:tcPr>
          <w:p>
            <w:pPr>
              <w:spacing w:after="0"/>
              <w:rPr>
                <w:sz w:val="19"/>
                <w:szCs w:val="19"/>
                <w:color w:val="auto"/>
              </w:rPr>
            </w:pPr>
          </w:p>
        </w:tc>
      </w:tr>
      <w:tr>
        <w:trPr>
          <w:trHeight w:val="230"/>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Stamford,</w:t>
            </w:r>
          </w:p>
        </w:tc>
        <w:tc>
          <w:tcPr>
            <w:tcW w:w="3680" w:type="dxa"/>
            <w:vAlign w:val="bottom"/>
          </w:tcPr>
          <w:p>
            <w:pPr>
              <w:spacing w:after="0"/>
              <w:rPr>
                <w:sz w:val="19"/>
                <w:szCs w:val="19"/>
                <w:color w:val="auto"/>
              </w:rPr>
            </w:pPr>
          </w:p>
        </w:tc>
      </w:tr>
      <w:tr>
        <w:trPr>
          <w:trHeight w:val="233"/>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06902-7700</w:t>
            </w:r>
          </w:p>
        </w:tc>
      </w:tr>
      <w:tr>
        <w:trPr>
          <w:trHeight w:val="234"/>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964-0096</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vMerge w:val="continue"/>
          </w:tcPr>
          <w:p>
            <w:pPr>
              <w:spacing w:after="0"/>
              <w:rPr>
                <w:sz w:val="21"/>
                <w:szCs w:val="21"/>
                <w:color w:val="auto"/>
              </w:rPr>
            </w:pPr>
          </w:p>
        </w:tc>
        <w:tc>
          <w:tcPr>
            <w:tcW w:w="448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$0.0005 par value per share</w:t>
            </w:r>
          </w:p>
        </w:tc>
        <w:tc>
          <w:tcPr>
            <w:tcW w:w="26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IT</w:t>
            </w:r>
          </w:p>
        </w:tc>
        <w:tc>
          <w:tcPr>
            <w:tcW w:w="44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36" w:lineRule="exact"/>
        <w:rPr>
          <w:sz w:val="24"/>
          <w:szCs w:val="24"/>
          <w:color w:val="auto"/>
        </w:rPr>
      </w:pPr>
    </w:p>
    <w:p>
      <w:pPr>
        <w:ind w:right="1640"/>
        <w:spacing w:after="0" w:line="30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0" w:gutter="0" w:footer="0" w:header="0"/>
        </w:sectPr>
      </w:pPr>
    </w:p>
    <w:p>
      <w:pPr>
        <w:spacing w:after="0" w:line="68" w:lineRule="exact"/>
        <w:rPr>
          <w:sz w:val="24"/>
          <w:szCs w:val="24"/>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3" w:lineRule="exact"/>
        <w:rPr>
          <w:sz w:val="24"/>
          <w:szCs w:val="24"/>
          <w:color w:val="auto"/>
        </w:rPr>
      </w:pPr>
    </w:p>
    <w:p>
      <w:pPr>
        <w:sectPr>
          <w:pgSz w:w="11900" w:h="16838" w:orient="portrait"/>
          <w:cols w:equalWidth="0" w:num="6">
            <w:col w:w="2000" w:space="620"/>
            <w:col w:w="860" w:space="720"/>
            <w:col w:w="2240" w:space="720"/>
            <w:col w:w="880" w:space="720"/>
            <w:col w:w="1520" w:space="500"/>
            <w:col w:w="460"/>
          </w:cols>
          <w:pgMar w:left="320" w:top="988" w:right="339" w:bottom="0" w:gutter="0" w:footer="0" w:header="0"/>
          <w:type w:val="continuous"/>
        </w:sectPr>
      </w:pPr>
    </w:p>
    <w:p>
      <w:pPr>
        <w:ind w:left="20" w:right="14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aggregate market value of the registrant’s common stock held by non-affiliates of the registrant was $33.6 billion, based on the closing price as reported on the New York Stock Exchange.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7, 2025, there were 76,818,191 shares of the registrant’s common stock outstanding.</w:t>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5"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definitive Proxy Statement for the Annual Meeting of Stockholders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2025 Proxy Statement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is incorporated by reference into Part III to the extent described therein.</w:t>
      </w:r>
    </w:p>
    <w:p>
      <w:pPr>
        <w:sectPr>
          <w:pgSz w:w="11900" w:h="16838" w:orient="portrait"/>
          <w:cols w:equalWidth="0" w:num="1">
            <w:col w:w="11240"/>
          </w:cols>
          <w:pgMar w:left="320" w:top="988" w:right="339" w:bottom="0" w:gutter="0" w:footer="0" w:header="0"/>
          <w:type w:val="continuous"/>
        </w:sectPr>
      </w:pPr>
    </w:p>
    <w:bookmarkStart w:id="1" w:name="page2"/>
    <w:bookmarkEnd w:id="1"/>
    <w:p>
      <w:pPr>
        <w:jc w:val="both"/>
        <w:spacing w:after="0" w:line="2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5416550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GARTNER,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4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gridSpan w:val="2"/>
          </w:tcPr>
          <w:p>
            <w:pPr>
              <w:spacing w:after="0"/>
              <w:rPr>
                <w:sz w:val="18"/>
                <w:szCs w:val="18"/>
                <w:color w:val="auto"/>
              </w:rPr>
            </w:pPr>
          </w:p>
        </w:tc>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500" w:type="dxa"/>
            <w:vAlign w:val="bottom"/>
            <w:gridSpan w:val="30"/>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9"/>
        </w:trPr>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1B.</w:t>
            </w:r>
          </w:p>
        </w:tc>
        <w:tc>
          <w:tcPr>
            <w:tcW w:w="440" w:type="dxa"/>
            <w:vAlign w:val="bottom"/>
            <w:gridSpan w:val="3"/>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1C.</w:t>
            </w:r>
          </w:p>
        </w:tc>
        <w:tc>
          <w:tcPr>
            <w:tcW w:w="20" w:type="dxa"/>
            <w:vAlign w:val="bottom"/>
            <w:tcBorders>
              <w:top w:val="single" w:sz="8" w:color="0000FF"/>
            </w:tcBorders>
          </w:tcPr>
          <w:p>
            <w:pPr>
              <w:spacing w:after="0"/>
              <w:rPr>
                <w:sz w:val="18"/>
                <w:szCs w:val="18"/>
                <w:color w:val="auto"/>
              </w:rPr>
            </w:pPr>
          </w:p>
        </w:tc>
        <w:tc>
          <w:tcPr>
            <w:tcW w:w="440" w:type="dxa"/>
            <w:vAlign w:val="bottom"/>
            <w:gridSpan w:val="3"/>
          </w:tcPr>
          <w:p>
            <w:pPr>
              <w:spacing w:after="0"/>
              <w:rPr>
                <w:sz w:val="18"/>
                <w:szCs w:val="18"/>
                <w:color w:val="auto"/>
              </w:rPr>
            </w:pPr>
          </w:p>
        </w:tc>
        <w:tc>
          <w:tcPr>
            <w:tcW w:w="28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20"/>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gridSpan w:val="4"/>
          </w:tcPr>
          <w:p>
            <w:pPr>
              <w:spacing w:after="0"/>
              <w:rPr>
                <w:sz w:val="18"/>
                <w:szCs w:val="18"/>
                <w:color w:val="auto"/>
              </w:rPr>
            </w:pPr>
          </w:p>
        </w:tc>
        <w:tc>
          <w:tcPr>
            <w:tcW w:w="1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80" w:type="dxa"/>
            <w:vAlign w:val="bottom"/>
            <w:gridSpan w:val="29"/>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3.</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4.</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MINE SAFETY DISCLOSURES (not applicable)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580" w:type="dxa"/>
            <w:vAlign w:val="bottom"/>
            <w:gridSpan w:val="9"/>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163"/>
        </w:trPr>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040" w:type="dxa"/>
            <w:vAlign w:val="bottom"/>
            <w:tcBorders>
              <w:top w:val="single" w:sz="8" w:color="0000FF"/>
            </w:tcBorders>
            <w:gridSpan w:val="15"/>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540" w:type="dxa"/>
            <w:vAlign w:val="bottom"/>
            <w:gridSpan w:val="8"/>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540" w:type="dxa"/>
            <w:vAlign w:val="bottom"/>
            <w:gridSpan w:val="8"/>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7A.</w:t>
            </w:r>
          </w:p>
        </w:tc>
        <w:tc>
          <w:tcPr>
            <w:tcW w:w="420" w:type="dxa"/>
            <w:vAlign w:val="bottom"/>
            <w:gridSpan w:val="2"/>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10"/>
        </w:trPr>
        <w:tc>
          <w:tcPr>
            <w:tcW w:w="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8.</w:t>
            </w:r>
          </w:p>
        </w:tc>
        <w:tc>
          <w:tcPr>
            <w:tcW w:w="420" w:type="dxa"/>
            <w:vAlign w:val="bottom"/>
            <w:gridSpan w:val="2"/>
          </w:tcPr>
          <w:p>
            <w:pPr>
              <w:spacing w:after="0"/>
              <w:rPr>
                <w:sz w:val="18"/>
                <w:szCs w:val="18"/>
                <w:color w:val="auto"/>
              </w:rPr>
            </w:pPr>
          </w:p>
        </w:tc>
        <w:tc>
          <w:tcPr>
            <w:tcW w:w="61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620" w:type="dxa"/>
            <w:vAlign w:val="bottom"/>
            <w:gridSpan w:val="7"/>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9.</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9A.</w:t>
            </w:r>
          </w:p>
        </w:tc>
        <w:tc>
          <w:tcPr>
            <w:tcW w:w="420" w:type="dxa"/>
            <w:vAlign w:val="bottom"/>
            <w:gridSpan w:val="2"/>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9"/>
        </w:trPr>
        <w:tc>
          <w:tcPr>
            <w:tcW w:w="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Borders>
              <w:top w:val="single" w:sz="8" w:color="0000FF"/>
            </w:tcBorders>
          </w:tcPr>
          <w:p>
            <w:pPr>
              <w:spacing w:after="0"/>
              <w:rPr>
                <w:sz w:val="18"/>
                <w:szCs w:val="18"/>
                <w:color w:val="auto"/>
              </w:rPr>
            </w:pPr>
          </w:p>
        </w:tc>
        <w:tc>
          <w:tcPr>
            <w:tcW w:w="420" w:type="dxa"/>
            <w:vAlign w:val="bottom"/>
            <w:gridSpan w:val="2"/>
          </w:tcPr>
          <w:p>
            <w:pPr>
              <w:spacing w:after="0"/>
              <w:rPr>
                <w:sz w:val="18"/>
                <w:szCs w:val="18"/>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00" w:type="dxa"/>
            <w:vAlign w:val="bottom"/>
            <w:tcBorders>
              <w:top w:val="single" w:sz="8" w:color="0000FF"/>
            </w:tcBorders>
            <w:gridSpan w:val="3"/>
          </w:tcPr>
          <w:p>
            <w:pPr>
              <w:spacing w:after="0"/>
              <w:rPr>
                <w:sz w:val="18"/>
                <w:szCs w:val="18"/>
                <w:color w:val="auto"/>
              </w:rPr>
            </w:pPr>
          </w:p>
        </w:tc>
        <w:tc>
          <w:tcPr>
            <w:tcW w:w="7160" w:type="dxa"/>
            <w:vAlign w:val="bottom"/>
            <w:gridSpan w:val="2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10"/>
        </w:trPr>
        <w:tc>
          <w:tcPr>
            <w:tcW w:w="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460" w:type="dxa"/>
            <w:vAlign w:val="bottom"/>
            <w:gridSpan w:val="4"/>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439"/>
        </w:trPr>
        <w:tc>
          <w:tcPr>
            <w:tcW w:w="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20" w:type="dxa"/>
            <w:vAlign w:val="bottom"/>
            <w:tcBorders>
              <w:top w:val="single" w:sz="8" w:color="0000FF"/>
            </w:tcBorders>
          </w:tcPr>
          <w:p>
            <w:pPr>
              <w:spacing w:after="0"/>
              <w:rPr>
                <w:sz w:val="24"/>
                <w:szCs w:val="24"/>
                <w:color w:val="auto"/>
              </w:rPr>
            </w:pPr>
          </w:p>
        </w:tc>
        <w:tc>
          <w:tcPr>
            <w:tcW w:w="460" w:type="dxa"/>
            <w:vAlign w:val="bottom"/>
            <w:gridSpan w:val="4"/>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10.</w:t>
            </w:r>
          </w:p>
        </w:tc>
        <w:tc>
          <w:tcPr>
            <w:tcW w:w="520" w:type="dxa"/>
            <w:vAlign w:val="bottom"/>
            <w:gridSpan w:val="7"/>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9"/>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11.</w:t>
            </w:r>
          </w:p>
        </w:tc>
        <w:tc>
          <w:tcPr>
            <w:tcW w:w="520" w:type="dxa"/>
            <w:vAlign w:val="bottom"/>
            <w:gridSpan w:val="7"/>
          </w:tcPr>
          <w:p>
            <w:pPr>
              <w:spacing w:after="0"/>
              <w:rPr>
                <w:sz w:val="18"/>
                <w:szCs w:val="18"/>
                <w:color w:val="auto"/>
              </w:rPr>
            </w:pPr>
          </w:p>
        </w:tc>
        <w:tc>
          <w:tcPr>
            <w:tcW w:w="58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6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12.</w:t>
            </w: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163"/>
        </w:trPr>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5280" w:type="dxa"/>
            <w:vAlign w:val="bottom"/>
            <w:tcBorders>
              <w:top w:val="single" w:sz="8" w:color="0000FF"/>
            </w:tcBorders>
            <w:gridSpan w:val="18"/>
          </w:tcPr>
          <w:p>
            <w:pPr>
              <w:spacing w:after="0"/>
              <w:rPr>
                <w:sz w:val="14"/>
                <w:szCs w:val="14"/>
                <w:color w:val="auto"/>
              </w:rPr>
            </w:pPr>
          </w:p>
        </w:tc>
        <w:tc>
          <w:tcPr>
            <w:tcW w:w="1740" w:type="dxa"/>
            <w:vAlign w:val="bottom"/>
            <w:gridSpan w:val="4"/>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520" w:type="dxa"/>
            <w:vAlign w:val="bottom"/>
            <w:gridSpan w:val="7"/>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520" w:type="dxa"/>
            <w:vAlign w:val="bottom"/>
            <w:gridSpan w:val="7"/>
          </w:tcPr>
          <w:p>
            <w:pPr>
              <w:spacing w:after="0"/>
              <w:rPr>
                <w:sz w:val="18"/>
                <w:szCs w:val="18"/>
                <w:color w:val="auto"/>
              </w:rPr>
            </w:pPr>
          </w:p>
        </w:tc>
        <w:tc>
          <w:tcPr>
            <w:tcW w:w="39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PRINCIPAL ACCOUNTANT FEES AND SERVICES</w:t>
            </w:r>
          </w:p>
        </w:tc>
        <w:tc>
          <w:tcPr>
            <w:tcW w:w="3680" w:type="dxa"/>
            <w:vAlign w:val="bottom"/>
            <w:tcBorders>
              <w:top w:val="single" w:sz="8" w:color="0000FF"/>
            </w:tcBorders>
            <w:gridSpan w:val="8"/>
          </w:tcPr>
          <w:p>
            <w:pPr>
              <w:spacing w:after="0"/>
              <w:rPr>
                <w:sz w:val="18"/>
                <w:szCs w:val="18"/>
                <w:color w:val="auto"/>
              </w:rPr>
            </w:pPr>
          </w:p>
        </w:tc>
        <w:tc>
          <w:tcPr>
            <w:tcW w:w="210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520" w:type="dxa"/>
            <w:vAlign w:val="bottom"/>
            <w:gridSpan w:val="7"/>
          </w:tcPr>
          <w:p>
            <w:pPr>
              <w:spacing w:after="0"/>
              <w:rPr>
                <w:sz w:val="18"/>
                <w:szCs w:val="18"/>
                <w:color w:val="auto"/>
              </w:rPr>
            </w:pPr>
          </w:p>
        </w:tc>
        <w:tc>
          <w:tcPr>
            <w:tcW w:w="97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720" w:type="dxa"/>
            <w:vAlign w:val="bottom"/>
            <w:gridSpan w:val="5"/>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6540" w:type="dxa"/>
            <w:vAlign w:val="bottom"/>
            <w:gridSpan w:val="18"/>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18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9"/>
        </w:trPr>
        <w:tc>
          <w:tcPr>
            <w:tcW w:w="110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10"/>
        </w:trPr>
        <w:tc>
          <w:tcPr>
            <w:tcW w:w="29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2820" w:type="dxa"/>
            <w:vAlign w:val="bottom"/>
            <w:tcBorders>
              <w:top w:val="single" w:sz="8" w:color="0000FF"/>
            </w:tcBorders>
            <w:gridSpan w:val="17"/>
          </w:tcPr>
          <w:p>
            <w:pPr>
              <w:spacing w:after="0"/>
              <w:rPr>
                <w:sz w:val="18"/>
                <w:szCs w:val="18"/>
                <w:color w:val="auto"/>
              </w:rPr>
            </w:pPr>
          </w:p>
        </w:tc>
        <w:tc>
          <w:tcPr>
            <w:tcW w:w="5200" w:type="dxa"/>
            <w:vAlign w:val="bottom"/>
            <w:gridSpan w:val="11"/>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7020" w:type="dxa"/>
            <w:vAlign w:val="bottom"/>
            <w:gridSpan w:val="2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w:t>
            </w:r>
          </w:p>
        </w:tc>
        <w:tc>
          <w:tcPr>
            <w:tcW w:w="58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9"/>
        </w:trPr>
        <w:tc>
          <w:tcPr>
            <w:tcW w:w="110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10"/>
        </w:trPr>
        <w:tc>
          <w:tcPr>
            <w:tcW w:w="402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1040" w:type="dxa"/>
            <w:vAlign w:val="bottom"/>
            <w:tcBorders>
              <w:top w:val="single" w:sz="8" w:color="0000FF"/>
            </w:tcBorders>
            <w:gridSpan w:val="6"/>
          </w:tcPr>
          <w:p>
            <w:pPr>
              <w:spacing w:after="0"/>
              <w:rPr>
                <w:sz w:val="18"/>
                <w:szCs w:val="18"/>
                <w:color w:val="auto"/>
              </w:rPr>
            </w:pPr>
          </w:p>
        </w:tc>
        <w:tc>
          <w:tcPr>
            <w:tcW w:w="5940" w:type="dxa"/>
            <w:vAlign w:val="bottom"/>
            <w:gridSpan w:val="1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6520" w:type="dxa"/>
            <w:vAlign w:val="bottom"/>
            <w:gridSpan w:val="1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63"/>
        </w:trPr>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16.</w:t>
            </w:r>
          </w:p>
        </w:tc>
        <w:tc>
          <w:tcPr>
            <w:tcW w:w="520" w:type="dxa"/>
            <w:vAlign w:val="bottom"/>
            <w:gridSpan w:val="7"/>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7860" w:type="dxa"/>
            <w:vAlign w:val="bottom"/>
            <w:gridSpan w:val="2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264"/>
        </w:trPr>
        <w:tc>
          <w:tcPr>
            <w:tcW w:w="1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 mission-critical priorities.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close to 14,000 enterprises in approximately 90 countries and territories— across all major functions, in every industry and enterprise size.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4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All references to 2024, 2023 and 2022 herein refer to the fiscal year unless otherwise indicated. When used in this Annual Report on Form 10-K, the terms “Gartner,” the “Company,” “we,” “us” or “our” refer to Gartner, Inc. and its consolidated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Enterprise leaders face enormous pressure to stay ahead and grow profitably amidst constant change. Whether it is a digital transformation, cybersecurity risk mitigation, supply chain disruptions, large-scale regulatory changes, or other unique challenges, business leaders today are facing significant disruptive changes. We believe that enterprises cannot be operationally effective unless they incorporate the right strategy, management and technology decisions into every part of their business. This requirement affects all executives in every major function, enterprise size, geography, industry and market sector. Executives and their teams turn to Gartner for actionable, objective insight that drives smarter decisions and stronger performance on their mission-critical priorities.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combination of expert-led, practitioner-sourced and data-driven research steers clients toward the right decisions and actions on the issues that matter most. Organizations are overrun with data and information. Gartner helps eliminate this information chaos and provides clarity with actionable, objective insight. We employ a diversified business model that utilizes and leverages the breadth and depth of our differentiated intellectual capital. The foundation of our business model is our ability to create and distribute our proprietary research content as broadly as possible via published reports, interactive tools, facilitated peer networking, briefings and direct communications with executives and their teams; our conferences, including the Gartner Symposium/Xpo series; and consulting and advisory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diversified business model provides multiple entry points and sources of value for our clients that lead to increased client spending on our research and advisory services, conferences and consulting services. A critical part of our long-term strategy is to increase business volume and penetration with our most valuable clients, identifying relationships with the greatest sales potential and expanding those relationships by offering strategically relevant research and insight. We also seek to extend the Gartner brand name to develop new client relationships, augment our sales capacity and expand into new markets around the world. These initiatives have created additional revenue streams through more effective packaging, campaigning and cross-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selling of our products and services. In addition, we seek to increase our revenue and operating cash flow through more effective pricing of our products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products and services are delivered through our three business segments, as described below.</w:t>
      </w:r>
    </w:p>
    <w:p>
      <w:pPr>
        <w:spacing w:after="0" w:line="248"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Gartner delivers independent, objective insight to leaders across an enterprise through subscription services that include on-demand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published research content, data and benchmarks, and direct access to a network of more than 2,500 research experts located around the globe. Gartner research is the fundamental building block for all Gartner products and services. We combine our proprietary research methodologies with extensive industry and academic relationships to create Gartner products and services that address each role across an enterprise. Within the Research segment, Global Technology Sales (“GTS”) sells products and services to users and providers of technology, while Global Business Sales (“GBS”) sells products and services to all other functional leaders, such as human resources, supply chain, finance, and marketing.</w:t>
      </w:r>
    </w:p>
    <w:p>
      <w:pPr>
        <w:spacing w:after="0" w:line="213"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agenda is defined by clients’ needs, focusing on the critical issues, opportunities and challenges they face every day. We are in steady contact with close to 14,000 distinct client enterprises worldwide. We publish tens of thousands of pages of original research annually, and our research experts had more than 505,000 direct client interactions in 2024. Our size and scale enable us to commit vast resources toward broader and deeper research coverage and to deliver insight to our clients based on what they need and where they are. The ongoing interaction of our research experts with our clients enables us to identify the most pertinent topics to them and develop relevant product and service enhancements to meet the evolving needs of users of our research. Our proprietary research content, presented in the form of reports, briefings, updates and related tools, is delivered directly to the client’s computer or mobile device via our website and/or product-specific portals.</w:t>
      </w:r>
    </w:p>
    <w:p>
      <w:pPr>
        <w:spacing w:after="0" w:line="21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Clients normally sign subscription contracts that provide access to our research content and advisory services for individual users over a defined period. We typically have a minimum contract period of twelve months for our research and advisory subscription contracts and, at December 31, 2024, nearly 75% of our contracts were multi-year.</w:t>
      </w:r>
    </w:p>
    <w:p>
      <w:pPr>
        <w:spacing w:after="0" w:line="207"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CONFERENCES. </w:t>
      </w:r>
      <w:r>
        <w:rPr>
          <w:rFonts w:ascii="Times New Roman" w:cs="Times New Roman" w:eastAsia="Times New Roman" w:hAnsi="Times New Roman"/>
          <w:sz w:val="18"/>
          <w:szCs w:val="18"/>
          <w:color w:val="auto"/>
        </w:rPr>
        <w:t>Gartner conferences are designed for information technology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IT”) and business executives as well as other decision makers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looking to adapt and evolve their organizations through disruption and uncertainty, navigate risks and prioritize investments. Attendees experience sessions led by Gartner research experts, and the sessions include cutting-edge technology solutions, peer exchange workshops, one-on-one analyst and advisor meetings, consulting diagnostic workshops, keynotes and more. Our conferences also provide attendees with an opportunity to interact with IT and business executives from the world’s leading companies. In addition to role-specific summits and workshop-style seminars, Gartner hosts the Gartner Symposium/Xpo series, including its unique, flagship IT Symposium/Xpo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held at several locations worldwide annually. During 2024, Gartner successfully held 51 in-person conferences with more than 86,000 attendees, including nine Symposiums/Xpos. In addition, during 2024 we hosted 200+ peer networking meetings and 400+ exclusive local C-level meetings with more than 200 in-person.</w:t>
      </w:r>
    </w:p>
    <w:p>
      <w:pPr>
        <w:spacing w:after="0" w:line="21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CONSULTING. </w:t>
      </w:r>
      <w:r>
        <w:rPr>
          <w:rFonts w:ascii="Times New Roman" w:cs="Times New Roman" w:eastAsia="Times New Roman" w:hAnsi="Times New Roman"/>
          <w:sz w:val="18"/>
          <w:szCs w:val="18"/>
          <w:color w:val="auto"/>
        </w:rPr>
        <w:t>Through its experienced consultants, Gartner Consulting serves chief information officers and other senior executives who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driving technology-related strategic initiatives to optimize technology investments and drive business impact. Gartner Consulting combines the power of Gartner’s market-leading research with custom analysis and on-the-ground support to help clients to turn insight and advice into action and impact.</w:t>
      </w:r>
    </w:p>
    <w:p>
      <w:pPr>
        <w:spacing w:after="0" w:line="20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solutions capitalize on Gartner assets that are invaluable to IT decision-making, including: (1) our extensive research, which ensures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 Additionally, we provide actionable solutions for a range of IT-related priorities, including IT cost optimization, digital transformation and IT sourcing optimization.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principal factors that differentiate us from our competitors are as follows:</w:t>
      </w:r>
    </w:p>
    <w:p>
      <w:pPr>
        <w:spacing w:after="0" w:line="252" w:lineRule="exact"/>
        <w:rPr>
          <w:sz w:val="20"/>
          <w:szCs w:val="20"/>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research content - We believe that we create the broadest, highest-quality and most relevant research coverage across all major functional roles in an enterprise. Our independent operating model and research analysis generates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color w:val="auto"/>
        </w:rPr>
        <w:t>unbiased insight that we believe is timely, thought-provoking and comprehensive, and that is known for its high quality, independence and objectivity.</w:t>
      </w:r>
    </w:p>
    <w:p>
      <w:pPr>
        <w:spacing w:after="0" w:line="25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leading brand name - We have provided critical, trusted insight under the Gartner name for more than 40 years.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footprint and established customer base - We have a global presence with clients in approximately 90 countries and territories on six continents. A substantial portion of our revenue is derived from sales outside of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 that creates connections - Our global community of experts, analysts and peers help provide the deep relationships that help clients stay ahead of the curve.</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 Our management team is comprised of research veterans and experienced industry executives with long tenure at Gartner.</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operating leverage in our business model - We can distribute our intellectual property and expertise across multiple platforms, including research and advisory subscription and membership programs, conferences and consulting engagements, to derive incremental revenue and profitability.</w:t>
      </w:r>
    </w:p>
    <w:p>
      <w:pPr>
        <w:spacing w:after="0" w:line="202"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Vast network of research experts and consultants - As of December 31, 2024, we had more than 2,500 research experts and 960 experienced consultants located around the world. Our research experts are located in more than 30 countries and territories, enabling us to cover vast aspects of business and technology on a global basis.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these differentiating factors, we face competition from a significant number of independent providers of information products and services. We compete indirectly with consulting firms and other data and information providers, including electronic and print media companies. These indirect competitors could choose to compete directly with us in the future. In addition, we face competition from free sources of information that are available to our clients through the internet. We anticipate encountering more competition with increased adoption of AI services in the markets in which we compete. Limited barriers to entry exist in the markets in which we do business. As a result, new competitors may emerge and existing competitors may start to provide additional or complementary services. While we believe the breadth and depth of our research positions us well versus our competition, increased competition could result in loss of market share, diminished value in our products and services, reduced pricing, and increased sales and marketing expenditures.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quote permission, and the use and protection of Gartner’s intellectual property. We also enter into agreements with our employees and third parties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 and we assert our rights in trademark and copyright law worldwide to protect our public content.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people are our most valuable asset, enabling our sustained track record of growth. From attracting top talent through our recruitment process, to cultivating that talent with learning and development opportunities and rewards for strong performers, to supporting overall wellness with meaningful benefits and engagement, we strive to put our people first. At December 31, 2024, we had 21,044 employees globally, 10,141 of which were outside of the U.S., and the overwhelming majority of our employees were full time.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Gartner is committed to providing equal employment opportunities to all applicants and employees without regard to any legally protected status. This commitment is formalized in our global and U.S. equal employment opportunity policies. Our human capital management strategies are developed by executive management and overseen by the Compensation Committee of our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of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committed to operating with the highest ethical standards and fostering an environment that encourages open discussions and ensures our associates and clients are treated fairly and with respect. Our vision is to build a high-performing organization with a culture of inclusion, enabling Gartner to guide the leaders who shape the world.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36% of our Board of Directors is female, and 27% of our Board of Directors identifies as racially or ethnically diverse. As of December 31, 2024, 21% of our executive management team is female, approximately 48% of our employees worldwide are female and 25% of employees in the U.S. identified as racially or ethnically diverse. Our employees work in 39 different countries and territories.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work to integrate best-in-class inclusive approaches into all our talent processes and practices and prioritize efforts that support our world-class talent and their unique needs. Gartner’s dedication to inclusion is driven by our passionate leaders and associates around the world.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eight associate-driven Employee Resource Groups (ERGs) are open to all and help foster an inclusive and supportive workplace. ERGs play an important role in enabling associate success, cultivating a culture of inclusion and creating a sense of belonging for all our associates by supporting development, recognizing life stages, inspiring associates through storytelling and driving engagement through a sense of belonging. In 2024, over 6,500 Gartner associates were members of at least one ERG.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invest in meaningful, innovative and inclusive compensation and benefit programs that support physical, financial and emotional well-being of our employees. In addition to salaries, these programs (which vary by country/region) include annual bonuses, stock awards, an employee stock purchase plan, 401(k) matching, healthcare and insurance benefits, and tax savings programs, such as health and dependent care flexible spending accounts, health savings account and pretax commuter benefits. We also offer generous paid time off, paid parental leave, life and disability insurance, business travel accident insurance, charity matching, tuition assistance and on-site amenities, such as fitness centers, among others.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provide a number of free mental and behavioral health resources for employees and their dependents, globally. In 2024, we introduced an enhanced offering with proven on-demand self-care resources, as well as easy access to quality mental health coaches and therapists. We believe our total rewards programs facilitate associate retention and also encourage high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 Retention and Training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Gartner aims to foster a culture of lifelong learning, getting feedback and evolving. In addition to helping employees unlock their full potential through mechanisms like continuous feedback and performance appraisals, we have dedicated programs designed to develop effective leaders. We also offer rotational programs and an online learning experience platform for employees called GartnerYou. In 2024, GartnerYou offered approximately 26,000 learning resources, with over 410,000 completions globally. Since our Sales and Research &amp; Advisory teams make up approximately 45% of total employees worldwide, we also have formal, dedicated programs to help train and onboard new hires as well as more experienced managers and leaders within Sales and Research &amp; Advisory. Through these programs, we believe our teams develop role-specific knowledge and skills, increase productivity and improve performance.</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strive to develop an inclusive and engaging environment that makes Gartner a vibrant, exciting place to work. We believe the greatest catalyst to engagement comes from leadership — particularly their efforts to set direction, allocate resources, and build individual and organizational capability. We embed our associate survey efforts across the enterprise so that the insight we glean can help leaders at various levels understand the opportunities for effecting organizational growth. Survey results are used for a number of enterprise-wide and business-unit-specific initiatives targeting key areas of engagement and retention, such as leadership effectiveness, career development, business process improvement, and more. While associate turnover increased slightly in 2024 as compared with the prior year, average tenure increased slightly from approximately 5.0 years in 2023 to 5.3 years in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Communities and the Environment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associates have a long history of individual and team volunteering. Gartner facilitates a charity match program. In 2024, over 20% of associates supported approximately 4,500 causes through charitable donations or volunteering. In total, more than $7.6 million was donated by Gartner and its associates and close to 19,600 hours were volunteered. We continue to embed sustainability in our operations in alignment with our near-term targets, which have been approved by the Science-Based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Targets Initiative. We also provide associates with learning opportunities, including a sustainability training module. Additionally, in 2024, over 1,000 associates were engaged in the Gartner Green Team, a voluntary, associate-driven group that enables associates to connect, learn, and drive change towards net-zero greenhouse gas emissions.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encourage you to review our Corporate Responsibility Report located on our website at https://www.gartner.com/en/about/corporate-responsibility for more information. Nothing on our website, including our Corporate Responsibility Report or sections thereof, shall be deemed incorporated by reference into this Annual Report, or any other filing we make with the SEC.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 government contracts are subject to the approval of appropriations by the U.S. Congress to fund the agencies contracting for our products and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gartner.com</w:t>
      </w:r>
      <w:r>
        <w:rPr>
          <w:rFonts w:ascii="Times New Roman" w:cs="Times New Roman" w:eastAsia="Times New Roman" w:hAnsi="Times New Roman"/>
          <w:sz w:val="18"/>
          <w:szCs w:val="18"/>
          <w:color w:val="auto"/>
        </w:rPr>
        <w:t xml:space="preserve"> and the Investor Relations section of our website is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Unless expressly noted, the information on our website or any other website is not incorporated by reference in this Form 10-K and should not be considered part of this Form 10-K or any other filing we make with the SEC.</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Also available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under the “Governance” link, are printable and current copies of our: (i) CEO and CFO Code of Ethics, which applies to our Chief Executive Officer, Chief Financial Officer, Controller and other financial managers; (ii) Global Code of Conduct, which applies to all Gartner officers, directors and employees, wherever located; (iii) Principles and Practices of the Board of Directors of Gartner, Inc., the corporate governance principles that have been adopted by our Board; and (iv) charters for each of the Board’s standing committees: Audit, Compensation and</w:t>
      </w:r>
    </w:p>
    <w:p>
      <w:pPr>
        <w:spacing w:after="0" w:line="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Governance/Nominating. We will disclose any waiver we grant to an executive officer or director under our Code of Ethics, or certain amendments to the Code of Ethics, on our website at </w:t>
      </w:r>
      <w:r>
        <w:rPr>
          <w:rFonts w:ascii="Times New Roman" w:cs="Times New Roman" w:eastAsia="Times New Roman" w:hAnsi="Times New Roman"/>
          <w:sz w:val="18"/>
          <w:szCs w:val="18"/>
          <w:i w:val="1"/>
          <w:iCs w:val="1"/>
          <w:color w:val="auto"/>
        </w:rPr>
        <w:t>investor.gartner.com</w:t>
      </w:r>
      <w:r>
        <w:rPr>
          <w:rFonts w:ascii="Times New Roman" w:cs="Times New Roman" w:eastAsia="Times New Roman" w:hAnsi="Times New Roman"/>
          <w:sz w:val="18"/>
          <w:szCs w:val="18"/>
          <w:color w:val="auto"/>
        </w:rPr>
        <w:t>, under the “Governance” link.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We operate in a highly competitive and rapidly changing environment that involves numerous risks and uncertainties, some of which are beyond our control. In addition, we and our clients are affected by global economic conditions and trends. The following sections address significant factors, events and uncertainties that make an investment in our securities risky. 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there could be a material adverse impact on our business, prospects, results of operations, financial condition, and cash flows, and therefore have a potential negative effect on the trading price of our common stock. Additional risks not currently known to us or that we now deem immaterial may also harm us and negatively affect your investment. In addition to the effects of the global economic and geopolitical climate on our business and operations (including as a result of U.S. tariffs, trade barriers and restrictions) discussed in Item 7 of this Form 10-K and in the risk factors below, additional or unforeseen effects from the global economic and geopolitical climate may give rise to or amplify many of these risks discussed below. Risks in this section are grouped in the following categories: (1) strategic and operational risks; (2) macroeconomic and industry risks; and (3) legal and regulatory risks. Many risks affect more than one category, and the risks are not in order of significance or probability of occurrence because they have been grouped by categories.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and Operational Risks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maintain the quality of our existing products and services. </w:t>
      </w:r>
      <w:r>
        <w:rPr>
          <w:rFonts w:ascii="Times New Roman" w:cs="Times New Roman" w:eastAsia="Times New Roman" w:hAnsi="Times New Roman"/>
          <w:sz w:val="18"/>
          <w:szCs w:val="18"/>
          <w:color w:val="auto"/>
        </w:rPr>
        <w:t>We operate in a rapidly evolving market, and our success depends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deliver high quality and timely research and analysis to our clients. Any failure to continue to provide credible and reliable information and insight that is useful to our clients could have a material adverse effect on future business and operating results. Further, if our published data, opinions or viewpoints are considered to be wrong, lack independence, or are not substantiated by appropriate research, our reputation will suffer and demand for our products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services may decline. In addition, we must continue to improve our methods for delivering our products and services in a cost-effective manner via the internet and mobile applications in an inflationary economic environment. Failure to maintain state of the art electronic delivery capabilities could materially adversely affect our future business and operating results.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enhance and develop our existing products and services or introduce the new products and services that are needed to remain competitive. </w:t>
      </w:r>
      <w:r>
        <w:rPr>
          <w:rFonts w:ascii="Times New Roman" w:cs="Times New Roman" w:eastAsia="Times New Roman" w:hAnsi="Times New Roman"/>
          <w:sz w:val="18"/>
          <w:szCs w:val="18"/>
          <w:color w:val="auto"/>
        </w:rPr>
        <w:t>The market for our products and services is characterized by rapidly changing needs for information and analysis. The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is a complex and time-consuming process. Nonetheless, to maintain our competitive position, we must continue to anticipate the needs of our clients, develop, enhance, protect, and improve our existing products,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delays in new product or service releases or significant problems in creating new products or services could materially adversely affect our business, results of operations and financial position.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is rapidly evolving, and if we do not continue to develop new product and service offerings in response to these changes, our business could suffer. </w:t>
      </w:r>
      <w:r>
        <w:rPr>
          <w:rFonts w:ascii="Times New Roman" w:cs="Times New Roman" w:eastAsia="Times New Roman" w:hAnsi="Times New Roman"/>
          <w:sz w:val="18"/>
          <w:szCs w:val="18"/>
          <w:color w:val="auto"/>
        </w:rPr>
        <w:t>Disruptive technologies, including in areas of artificial intelligence (“AI”) and machine learning, are rapidly changing the environment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clients, and our competitors operate and could affect the nature of how we generate revenue. We anticipate encountering more competition with increased adoption of AI services in the markets in which we compete. We will need to continue to respond to and anticipate these changes by enhancing our product and service offerings to maintain our competitive position. However, we may not be successful in responding to these forces and enhancing our product and service offerings on a timely basis or in a cost-efficient manner, and any enhancements we develop may not adequately address the changing needs of our clients. Our future success will depend upon our ability to develop and introduce in a timely manner new or enhance existing offerings that address the changing needs of this constantly evolving marketplace. Failure to develop products that meet the needs of our clients in a timely manner could have a material adverse effect on our business, results of operations, and financial position.</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some of our content is exposed to Internet search engines, which help generate website traffic. Search engines often update their proprietary algorithms, which affects the placement of links to our websites. Some search engines also provide substantive content in search results, which, if expanded to the areas in which we operate, could reduce the need to enter our websites. When a major search engine changes its algorithms in a manner that negatively affects our placement in search results or makes it less likely for our target audience to enter our websites, our business, results of operations and financial position may be harmed. Similarly, some of our content is exposed to the datasets leveraged by AI chatbots, and these chatbots may provide substantive content, either with or without contribution, in query responses to users which could reduce the need to enter our websites.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Uncertainty in the development, deployment, and use of AI in our platform and products and by our customers and competitors may result in harm to our business and reputation. </w:t>
      </w:r>
      <w:r>
        <w:rPr>
          <w:rFonts w:ascii="Times New Roman" w:cs="Times New Roman" w:eastAsia="Times New Roman" w:hAnsi="Times New Roman"/>
          <w:sz w:val="18"/>
          <w:szCs w:val="18"/>
          <w:color w:val="auto"/>
        </w:rPr>
        <w:t>We use, and may expand our use of, machine learning and AI technologies in some of our products, services, and processes.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testing, and deploying AI systems will require additional investment and increase our costs. Our competitors or other third parties may also incorporate AI into their offerings more effectively and/or quickly than we do, which could impair our ability to compete effectively and adversely affect our business and financial results. If we fail to keep pace with rapidly evolving AI technological developments, our competitive position and business results may be negatively impacted. Moreover, the development, adoption, and use of generative AI technologies are still in their early stages, and ineffective or inadequate AI development or deployment practices by Gartner or third-party developers or vendors could result in unintended consequences. For example, AI algorithms that we use may be flawed or may be based on datasets that are biased or insufficient. Third parties may also be able to use AI to create technology that could reduce demand for our products. Although prohibited, clients or others may load our proprietary information into large language models, which could reduce the value of our offerings. In addition, the introduction of AI technologies, particularly generative AI, into new or existing offerings may result in new or expanded risks and liabilities, due to enhanced governmental or regulatory scrutiny, litigation, compliance issues, ethical concerns, confidentiality, data privacy or security risks, as well as other factors that could adversely affect our business, reputation, and financial results. Because AI systems are highly complex and rapidly developing, it is not possible to predict all the legal, regulatory, operational or technological risks that may arise relating to our use of AI.</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Our Research business depends on renewals of subscription-based services and sales of new subscription-based services for a significant portion of our revenue, and our failure to renew at historical rates or generate new sales of such services will lead to a decrease in our revenues. </w:t>
      </w:r>
      <w:r>
        <w:rPr>
          <w:rFonts w:ascii="Times New Roman" w:cs="Times New Roman" w:eastAsia="Times New Roman" w:hAnsi="Times New Roman"/>
          <w:sz w:val="18"/>
          <w:szCs w:val="18"/>
          <w:color w:val="auto"/>
        </w:rPr>
        <w:t>A large portion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 depends on our ability to generate renewals of our subscription-based research products and services and new sales of such products and services, both to new clients and existing clients. These products and services constituted approximately 77% and 76% of total revenues from our operations for 2024 and 2023,</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respectively. Generating new sales of our subscription-based products and services, both to new and existing clients, is a challenging, costly, and often time-consuming process. If we are unable to generate new sales, due to competition or other factors, our revenues will be adversely affected.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research subscription contracts are typically for twelve months or longer. Our ability to maintain contract renewals is subject to numerous factors, including the following:</w:t>
      </w:r>
    </w:p>
    <w:p>
      <w:pPr>
        <w:spacing w:after="0" w:line="18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high-quality and timely analysis and insight to our clients;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anticipating market trends and the changing needs of our clients;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products and services of the quality and timeliness necessary to withstand competition.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we continue to adjust our products and service offerings to meet our clients’ continuing needs, we may shift the type and pricing of our products which may impact client renewal rates. While our Research client retention rate was 84% for both 2024 and 2023, there can be no guarantee that we will continue to maintain this rate of client renewals.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profitability and success of our conferences and other meetings are subject to external factors beyond our control. </w:t>
      </w:r>
      <w:r>
        <w:rPr>
          <w:rFonts w:ascii="Times New Roman" w:cs="Times New Roman" w:eastAsia="Times New Roman" w:hAnsi="Times New Roman"/>
          <w:sz w:val="18"/>
          <w:szCs w:val="18"/>
          <w:color w:val="auto"/>
        </w:rPr>
        <w:t>The market for desirable dates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for our activities has historically been highly competitive. If we cannot secure desirable dates and suitable venues for our conferences the profitability for these conferences will suffer, and our financial position and results of operations may be adversely affected. In addition, because our conferences are scheduled in advance and held at specific locations, the success of these activities can be affected by circumstances outside of our control, such as the occurrence of or concerns related to communicable diseases (such as COVID-19), labor strikes, transportation shutdowns and travel restrictions, economic slowdowns, reductions in government spending, geopolitical crises, terrorist attacks, war, weather, natural disasters, and other occurrences impacting the global, regional, or national economies, the occurrence of any of which could negatively impact the success of the conference or meeting. Our insurance coverage for 2024 (and likely beyond) excludes coverage for cancellations due to communicable diseases. We also face the challenge of procuring venues that are sizeable enough at a reasonable cost to accommodate some of our major activities.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Consulting business depends on non-recurring engagements and our failure to secure new engagements could lead to a decrease in our revenues. </w:t>
      </w:r>
      <w:r>
        <w:rPr>
          <w:rFonts w:ascii="Times New Roman" w:cs="Times New Roman" w:eastAsia="Times New Roman" w:hAnsi="Times New Roman"/>
          <w:sz w:val="18"/>
          <w:szCs w:val="18"/>
          <w:color w:val="auto"/>
        </w:rPr>
        <w:t>Consulting segment revenues constituted approximately 9% of total revenues from our on-going operations in both 2024 and 2023. Consulting engagements typically are project-based and non-recurring. In addition, revenue from our contract optimization business can fluctuate significantly from period to period and is not predictable. Our ability to replace consulting engagements is subject to numerous factors, including the following:</w:t>
      </w:r>
    </w:p>
    <w:p>
      <w:pPr>
        <w:spacing w:after="0" w:line="20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consistent, high-quality consulting services to our clients;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tailoring our consulting services to the changing needs of our clients;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match the skills and competencies of our consulting staff to the skills required for the fulfillment of existing or potential consulting engagements.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decline in our ability to replace consulting engagements will have an adverse impact on our revenues and our financial condition.</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attract and retain qualified personnel which could jeopardize the quality of our products and services and our future growth plans. </w:t>
      </w:r>
      <w:r>
        <w:rPr>
          <w:rFonts w:ascii="Times New Roman" w:cs="Times New Roman" w:eastAsia="Times New Roman" w:hAnsi="Times New Roman"/>
          <w:sz w:val="18"/>
          <w:szCs w:val="18"/>
          <w:color w:val="auto"/>
        </w:rPr>
        <w:t>Our success is based on attracting and retaining talented employees and we depend heavily upon the quality of our senior management, research analysts, consultants, sales and other key personnel. The market for highly skilled workers and leaders in our industry is extremely competitive. We face competition for qualified professionals from, among others, technology companies, market research firms, consulting firms, financial services companies and electronic and print media companies, some of which have significant financial resources and a willingness to deploy those resources to attract and compensate these professionals. Moreover, increasing wage inflation may affect our profit margin as we strive to provide compensation packages that are competitive. We face risks related to global and industry-specific labor shortages, and competitive markets can increase attrition throughout our sector. Additionally, some of the personnel that we attempt to hire are subject to non-compete agreements that could impede our short-term recruitment efforts. Our employee hiring and retention also depend on our brand and reputation as well as our ability to build and maintain an inclusive workplace culture that enables our employees to thrive. We may also be limited in our ability to recruit internationally by restrictive domestic immigration laws, and changes to policies that restrain the flow of technical and professional talent could inhibit our ability to adequately staff our research and development and other efforts.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An inability to retain key personnel or to hire and train additional qualified personnel could materially adversely affect the quality of our products and services, as well as our future business and operating results. In addition, effective succession planning is important to our long-term success, and failure to ensure effective transfer of knowledge and smooth transitions involving key employees could hinder our strategic planning and execution.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If we are unable to enforce and protect our intellectual property rights, our competitive position may be harmed. </w:t>
      </w:r>
      <w:r>
        <w:rPr>
          <w:rFonts w:ascii="Times New Roman" w:cs="Times New Roman" w:eastAsia="Times New Roman" w:hAnsi="Times New Roman"/>
          <w:sz w:val="18"/>
          <w:szCs w:val="18"/>
          <w:color w:val="auto"/>
        </w:rPr>
        <w:t>We rely on a combination of copyright,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 trade secret, patent, confidentiality, non-compete and other contractual provisions to protect our intellectual property rights. Despite our efforts to protect our intellectual property rights, third parties may obtain unauthorized access to our intellectual property, technology or other information that we regard as proprietary. Our intellectual property rights may not survive a legal challenge to their validity or provide significant protection for us. Additionally, the laws and enforcement mechanisms to protect our intellectual property from unauthorized use in new technologies like AI and machine learning are evolving and may be inadequate. Further, the laws and enforcement mechanisms of certain countries, particularly in emerging markets, do not protect our proprietary rights to the same extent as the laws of the United States. Conducting business in certain foreign jurisdictions may require accepting compromised protections or yielding of rights to technology, data or intellectual property in order to access those markets. Accordingly, we may not be able to protect our intellectual property against unauthorized or undesired third-party copying or use, which could adversely affect our competitive position.</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third parties have asserted, and may continue to assert, intellectual property claims that our products infringe the rights of others. Such claims can be expensive and time-consuming to defend, regardless of their merit. The inability to obtain rights to use third-party intellectual property on commercially reasonable terms could also have an adverse impact on our business. We may face claims based on the theft or unauthorized use or disclosure of third-party trade secrets and other confidential business information. Any such incidents and claims could harm our business and reputation, cause us to incur significant expenses, and prevent us from selling certain products, all of which could negatively impact our business and results of operations.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employees are subject to restrictive covenant agreements (which include provisions related to employees’ ability to compete and solicit customers and employees) and assignment of invention agreements, to the extent permitted under applicable law. When the period expires relating to their particular restrictions, former employees may compete against us. If a former employee violates the provisions of the restrictive covenant agreement, we seek to enforce the restrictions but there is no assurance that we will be successful in our efforts, and enforceability of certain restrictive covenants may decrease significantly due to recent regulatory scrutiny in the U.S. If the laws change to provide greater rights to employees, that could further reduce the effectiveness and enforceability of our restrictive covenant agreements.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Privacy concerns could damage our reputation and deter current and potential clients from using our products and services. </w:t>
      </w:r>
      <w:r>
        <w:rPr>
          <w:rFonts w:ascii="Times New Roman" w:cs="Times New Roman" w:eastAsia="Times New Roman" w:hAnsi="Times New Roman"/>
          <w:sz w:val="18"/>
          <w:szCs w:val="18"/>
          <w:color w:val="auto"/>
        </w:rPr>
        <w:t>Concerns relating to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privacy have the potential to damage our reputation and deter current and prospective clients from using our products and services or attending our conferences. In the ordinary course of our business and in accordance with applicable laws, we collect personal information (i) from our employees, (ii) from the users of our products and services, including conference attendees, and (iii) from prospective clients. We collect only basic personal information from our clients and prospects. While we believe our overall data privacy procedures are adequate, the theft or loss of such data, or concerns about our practices, even if unfounded, with regard to the collection, use, disclosure, or security of this personal information or other data protection related matters could damage our reputation and materially adversely affect our operating results. Any system or process failure, or compromise of our security that results in the disclosure of our users’ personal data, could seriously limit the consumption of our products and services and the attendance at our conferences, as well as harm our reputation and brand and, therefore, our business.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are exposed to risks related to cybersecurity. </w:t>
      </w:r>
      <w:r>
        <w:rPr>
          <w:rFonts w:ascii="Times New Roman" w:cs="Times New Roman" w:eastAsia="Times New Roman" w:hAnsi="Times New Roman"/>
          <w:sz w:val="18"/>
          <w:szCs w:val="18"/>
          <w:color w:val="auto"/>
        </w:rPr>
        <w:t>A significant portion of our business is conducted over the internet and we rely on the secure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storage and transmission of confidential, sensitive, proprietary and other types of information relating to our business operations and confidential and sensitive information about our customers and employees in our computer systems and networks, and in those of our third-party vendors. Actions by individuals, groups, and state-sponsored organizations pose threats to our operations, our computer systems, our employees, and our customers. The cybersecurity risks we face range from cyber attacks common to most industries, such as the development and deployment of malicious software to gain access to our networks and attempt to steal confidential information, launch distributed denial of service attacks, or attempt other coordinated disruptions, to more advanced threats that target us because of our prominence in the global research and advisory field.</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 many multinational corporations, we, and some third parties upon which we rely, have experienced cyber attacks on our computer systems and networks in the past and may experience them in the future, likely with more frequency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sophistication, and involving a broader range of devices and modes of attack, all of which will increase the difficulty of detecting and successfully defending against them. To date, none have resulted in any material adverse impact to our business, operations, products, services or customers. We have implemented various security controls to meet our security obligations, while also defending against constantly evolving security threats. Our security controls help to secure our information systems, including our computer systems, intranet, proprietary websites, email and other telecommunications and data networks, and we scrutinize the security of outsourced website and service providers prior to retaining their services. However, the security measures implemented by us or by our outside service providers may not be effective and our systems (and those of our outside service providers) are vulnerable to theft, loss, damage and interruption from a number of potential sources and events, including unauthorized access or security breaches, cyber attacks, computer viruses, power loss, or other disruptive events. In some cases, vulnerabilities may not be immediately detected, which could exacerbate the risk of a security incident and the effects on our business.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maintain cybersecurity insurance, our insurance may not be sufficient to cover all liabilities described herein. Moreover, as a result of operating in a hybrid work environment, many of our employees are working virtually for a period of time, which magnifies the importance of the integrity of our remote access security measures.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 criminals use artificial intelligence tools to increase the effectiveness, speed and complexity of attacks, requiring increased vigilance and threat defense. Additionally, the security compliance landscape continues to evolve, requiring us to stay apprised of changes in cybersecurity and data privacy laws, regulations, and security requirements required by our clients, such as the European Union General Data Protection Regulation (GDPR), the California Consumer Privacy Act (CCPA) and California Privacy Rights Act (CPRA), the Brazilian General Data Protection Law (LGPD), the Chinese Cybersecurity, Data Security and Personal Information Protection laws (and other new and proposed data protection laws), International Organization for Standardization (ISO), and National Institute of Standards and Technology (NIST). Recent well-publicized security breaches at other companies have led to enhanced government and regulatory scrutiny of the measures taken by companies to protect against cyber attacks, and may in the future result in heightened cybersecurity requirements, including additional regulatory expectations for oversight of vendors and service providers.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cyber attack, widespread internet failure or internet access limitations, or disruption of our critical information technology systems through denial of service, viruses, or other events could cause delays in initiating or completing sales, impede delivery of our products and services to our clients, disrupt other critical client-facing or business processes or dislocate our critical internal functions. Additionally, any material breaches of cybersecurity or other technology-related catastrophe, or media reports of perceived security vulnerabilities to our systems or those of our third parties, even if no breach has been attempted or occurred,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may have a material adverse effect on our business, operating results and financial condition.</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experience outages and disruptions of our online services and information systems if we fail to maintain an adequate operations infrastructure. </w:t>
      </w:r>
      <w:r>
        <w:rPr>
          <w:rFonts w:ascii="Times New Roman" w:cs="Times New Roman" w:eastAsia="Times New Roman" w:hAnsi="Times New Roman"/>
          <w:sz w:val="18"/>
          <w:szCs w:val="18"/>
          <w:color w:val="auto"/>
        </w:rPr>
        <w:t>Our increasing user traffic and complexity of our products and services demand more computing power. We have invested substantial amounts and expect to continue investing (as necessary) in access to data centers and equipment and in moving more of our workload into cloud services, upgrading our technology and network infrastructure to handle increased traffic on our websites, and delivering our products and services through emerging channels, such as mobile applications. However, any inefficiencies, or operational failures or significant disruptions at our suppliers could diminish the quality of our products, services, and user experience, resulting in damage to our reputation and loss of current and potential users, subscribers, and advertisers, potentially harming our financial condition and operating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acquisitions, dispositions, and strategic investments, involve substantial risks. </w:t>
      </w:r>
      <w:r>
        <w:rPr>
          <w:rFonts w:ascii="Times New Roman" w:cs="Times New Roman" w:eastAsia="Times New Roman" w:hAnsi="Times New Roman"/>
          <w:sz w:val="18"/>
          <w:szCs w:val="18"/>
          <w:color w:val="auto"/>
        </w:rPr>
        <w:t>We have made and may continue to make acquisitions of, or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businesses that offer complementary products and services or otherwise support our growth objectives. The risks involved in each acquisition or investment include the possibility of paying more than the 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complete the transaction due to regulatory review, the inability to integrate the business of the acquired company, increase revenue or fully realize anticipated synergies, the time to train the sales force to market and sell the products of the acquired business, the potential disruption of our ongoing business and the distraction of management from our day to day business. Additionally, we face competition in identifying acquisition targets and consummating acquisitions. Our dispositions involve additional risks and uncertainties, such as ability to sell such businesses on satisfactory price and terms and in a timely manner, or at all, disruption to other parts of the businesses and distraction of management, allocation of internal resources that would otherwise be devoted to completing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strategic acquisitions, loss of key employees or customers, and exposure to unanticipated liabilities or ongoing obligations to support the businesses following such dispositions, and other adverse financial impacts. The realization of any of these risks could adversely affect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 face risks related to leased office space. </w:t>
      </w:r>
      <w:r>
        <w:rPr>
          <w:rFonts w:ascii="Times New Roman" w:cs="Times New Roman" w:eastAsia="Times New Roman" w:hAnsi="Times New Roman"/>
          <w:sz w:val="18"/>
          <w:szCs w:val="18"/>
          <w:color w:val="auto"/>
        </w:rPr>
        <w:t>We lease all the properties used for our ongoing business operations. In several locations, we have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and sublet substantially all the excess space. Through our real estate consolidations and other related activities, we seek to secure quality subtenants with appropriate sublease terms. However, if we fail to secure quality subtenants, or subtenants default on their sublease obligations with us or otherwise terminate their subleases with us, we may experience a loss of planned sublease rental income, which could result in a material charge against our operating results.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accommodate our growth going forward, we have moved to a global hoteling model to better manage our footprint and reduce operating expenses, and will secure new space when the opportunities and needs arise. If the new spaces are not completed on schedule, or if the landlord defaults on its commitments and obligations pursuant to the new leases, we may incur additional expenses. In addition, unanticipated difficulties in initiating operations in a new space, including construction delays, natural disasters, IT system interruptions, or other infrastructure support problems, could result in a delay in moving into the new space, resulting in a potential loss of employee and operational productivity and a loss of revenue and/or additional expenses, which could also have an adverse, material impact on our operating results.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sales to governments are subject to appropriations, complex compliance requirements and some may be terminated early. </w:t>
      </w:r>
      <w:r>
        <w:rPr>
          <w:rFonts w:ascii="Times New Roman" w:cs="Times New Roman" w:eastAsia="Times New Roman" w:hAnsi="Times New Roman"/>
          <w:sz w:val="18"/>
          <w:szCs w:val="18"/>
          <w:color w:val="auto"/>
        </w:rPr>
        <w:t>We derive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research and consulting contracts with the United States government and its respective agencies, numerous state and local governments and their respective agencies, and foreign governments and their agencies. At December 31, 2024 and 2023, approximately $1.2 billion and $1.0 billion, respectively, of our outstanding revenue contracts were attributable to government entities.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 (“termination for convenience”). In addition, contracts with U.S. federal, state and local, and foreign governments and their respective agencies are subject to increasingly complex bidding procedures, compliance requirements, and efficiency considerations, as well as intense competition. Failure to adequately abide by these procedures and compliance requirements could result in an inability to contract with governments or their agencies, termination of existing contracts, penalties or fees with respect to existing contracts, or even suspension and debarment from doing future business with a government or agency, which would adversely impact our future business and operating results. Moreover, while terminations by governments for lack of funding have not been significant historically, should appropriations for the various governments and agencies that contract with us be curtailed, or should our government contracts be terminated for convenience, we may experience a significant loss of revenues.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maintain the equity in our brand name. </w:t>
      </w:r>
      <w:r>
        <w:rPr>
          <w:rFonts w:ascii="Times New Roman" w:cs="Times New Roman" w:eastAsia="Times New Roman" w:hAnsi="Times New Roman"/>
          <w:sz w:val="18"/>
          <w:szCs w:val="18"/>
          <w:color w:val="auto"/>
        </w:rPr>
        <w:t>We believe that our “Gartner” brand, in particular our independence, is critical to our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attract and retain clients and top talent, and that the importance of brand recognition will increase as competition increases. We may also discover that our brand, though recognized, is not perceived to be relevant by new market segments we have targeted. We may expand our marketing activities to promote and strengthen the Gartner brand and may need to increase our marketing budget, hire additional marketing and public relations personnel, and expend additional sums to protect our brand and otherwise increase expenditures to create and maintain client brand loyalty. If we fail to effectively promote, maintain, and protect the Gartner brand, or incur excessive expenses in doing so, our future business and operating results could be materially adversely impacted.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Our outstanding debt obligations could negatively impact our financial condition and future operating results. </w:t>
      </w:r>
      <w:r>
        <w:rPr>
          <w:rFonts w:ascii="Times New Roman" w:cs="Times New Roman" w:eastAsia="Times New Roman" w:hAnsi="Times New Roman"/>
          <w:sz w:val="18"/>
          <w:szCs w:val="18"/>
          <w:color w:val="auto"/>
        </w:rPr>
        <w:t>As of December 31, 2024, the Company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debt of $274 million under its 2024 revolving credit facility (the “2024 Credit Agreement”), $800 million of Senior Notes due 2028 (the “2028 Notes”), $600 million of Senior Notes due 2029 (the “2029 Notes”) and $800 million of Senior Notes due 2030 (the “2030 Notes”). Additional information regarding the 2024 Credit Agreement, the 2028 Notes, the 2029 Notes and the 2030 Notes is included in Note 6 — Debt in the Notes to Consolidated Financial Statements.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service requirements of these borrowings could impair our future financial condition and operating results. In addition, the affirmative, negative and financial covenants of the 2024 Credit Agreement, as well as the covenants related to the Senior Notes, could limit our future financial flexibility. A failure to comply with these covenants could result in acceleration of all amounts outstanding, which could materially impact our financial condition unless accommodations could be negotiated with our lenders and noteholders. No assurance can be given that we would be successful in doing so, or that any accommodations that we were able to negotiate would be on terms as favorable as those currently in place. The outstanding debt may limit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may require additional cash resources which may not be available on favorable terms or at all. </w:t>
      </w:r>
      <w:r>
        <w:rPr>
          <w:rFonts w:ascii="Times New Roman" w:cs="Times New Roman" w:eastAsia="Times New Roman" w:hAnsi="Times New Roman"/>
          <w:sz w:val="18"/>
          <w:szCs w:val="18"/>
          <w:color w:val="auto"/>
        </w:rPr>
        <w:t>We may require additional cash resources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 indebtedness would result in increased debt service obligations and could require us to agree to operating and financial covenants that would further restrict our operations.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Natural disasters, pandemics, terrorist acts, war, actions by governments, and other geopolitical activities could disrupt our operations. </w:t>
      </w:r>
      <w:r>
        <w:rPr>
          <w:rFonts w:ascii="Times New Roman" w:cs="Times New Roman" w:eastAsia="Times New Roman" w:hAnsi="Times New Roman"/>
          <w:sz w:val="18"/>
          <w:szCs w:val="18"/>
          <w:color w:val="auto"/>
        </w:rPr>
        <w:t>We 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numerous U.S. and international locations, and we have offices in a number of major cities across the globe. The occurrence of, or concerns related to, a major weather event, earthquake, hurricane, flood, drought, volcanic activity, disease or pandemic, or other natural disaster could significantly disrupt our operations. In addition, acts of civil unrest, failure of critical infrastructure, terrorism, war and armed conflict (including the ongoing conflicts in the Middle East, Ukraine and Russia), and abrupt political change, as well as responses by various governments and the international community to such acts, can have a negative effect on our business. Such events could cause delays in initiating or completing sales, impede delivery of our products and services to our clients, disrupt or shut down the internet or other critical client-facing and business processes, impede the travel of our personnel and clients, dislocate our critical internal functions and personnel, and in general harm our ability to conduct normal business operations, any of which can negatively impact our financial condition and operating results. Such events could also impact the timing and budget decisions of our clients, which could materially adversely affect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and Industry Risks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are subject to risks from operating globally. </w:t>
      </w:r>
      <w:r>
        <w:rPr>
          <w:rFonts w:ascii="Times New Roman" w:cs="Times New Roman" w:eastAsia="Times New Roman" w:hAnsi="Times New Roman"/>
          <w:sz w:val="18"/>
          <w:szCs w:val="18"/>
          <w:color w:val="auto"/>
        </w:rPr>
        <w:t>We have clients in approximately 90 countries and territories and a substantial amount of our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outside of the United States. Our operating results are subject to all of the risks typically inherent in international business activities, including general political and economic conditions in each country, challenges in staffing and managing foreign operations, changes in regulatory requirements, compliance with numerous and complex foreign laws and regulations, currency restrictions and fluctuations, the difficulty of enforcing client agreements, collecting accounts receivable and protecting intellectual property rights including against economic espionage in international jurisdictions. Further,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 Additionally, tariffs, trade barriers and restrictions, and other acts by governments to protect domestic markets or to retaliate against the trade tariffs and restrictions of other nations could negatively affect our business operations.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operating results could be negatively impacted by global economic conditions. </w:t>
      </w:r>
      <w:r>
        <w:rPr>
          <w:rFonts w:ascii="Times New Roman" w:cs="Times New Roman" w:eastAsia="Times New Roman" w:hAnsi="Times New Roman"/>
          <w:sz w:val="18"/>
          <w:szCs w:val="18"/>
          <w:color w:val="auto"/>
        </w:rPr>
        <w:t>Our business is impacted by general economic conditions and trends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abroad, including without limitation inflation, slowing growth, rising interest rates and recession. In its recent report, Global Economics Prospects, January 2025, the World Bank reported that global growth is projected to hold steady at 2.7% in 2025-26. The report notes global growth is stabilizing as inflation returns closer to targets and monetary easing supports activity in both advanced economies and emerging market and developing economies. However, the World Bank concludes the global economy appears to be settling at a low growth rate that will be insufficient to foster sustained economic development—with the possibility of further headwinds from heightened policy uncertainty and adverse trade policy shifts, geopolitical tensions, persistent inflation, and climate-related natural disasters. A downturn in growth could negatively and materially affect future demand for our products and services in general, in certain geographic regions, in particular countries, or industry sectors, or could reduce demand for our in-person conferences. In addition, U.S. federal, state and local government spending limits may reduce demand for our products and services from those governmental agencies as well as organizations that receive funding from those agencies and could negatively affect macroeconomic conditions in the United States, which could further reduce demand for our products and services. Such difficulties could negatively impact our ability to maintain or improve the various business measurements we utilize (which are defined in this Annual Report), such as contract value and consulting backlog growth, client retention, wallet retention, consulting utilization rates, and the number of attendees and exhibitors at our conferences and other meetings. Failure to achieve acceptable levels of these indicators or improve them will negatively impact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significant competition and our failure to compete successfully could materially adversely affect our results of operations, financial condition, and cash flows. </w:t>
      </w:r>
      <w:r>
        <w:rPr>
          <w:rFonts w:ascii="Times New Roman" w:cs="Times New Roman" w:eastAsia="Times New Roman" w:hAnsi="Times New Roman"/>
          <w:sz w:val="18"/>
          <w:szCs w:val="18"/>
          <w:color w:val="auto"/>
        </w:rPr>
        <w:t>The markets for our products and services are characterized by intense competition and we face direct competition from a significant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providers of information products and services, including information available on the internet free of charge. We also compete indirectly against consulting firms and other information providers, including electronic and print media companies, some of which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compete against current and future competitors and our failure to do so will result in loss of market share, diminished value in our products and services, reduced pricing and increased marketing expenditures. Furthermore, we will not be successful if we cannot compete effectively on quality of research and analysis, timely delivery of information, customer service, the ability to offer products to meet changing market needs for information and analysis, or price.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 are exposed to volatility in foreign currency exchange rates from our international operations. </w:t>
      </w:r>
      <w:r>
        <w:rPr>
          <w:rFonts w:ascii="Times New Roman" w:cs="Times New Roman" w:eastAsia="Times New Roman" w:hAnsi="Times New Roman"/>
          <w:sz w:val="18"/>
          <w:szCs w:val="18"/>
          <w:color w:val="auto"/>
        </w:rPr>
        <w:t>A significant portion of our revenues are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from sales outside of the United States. Revenues earned outside the United States are typically transacted in local currencies, which may fluctuate significantly against the U.S. dollar. While we use forward exchange contracts to a limited extent to seek to mitigate foreign currency risk, our revenues and results of operations could be adversely affected by unfavorable foreign currency fluctuations.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could be negatively impacted by climate change</w:t>
      </w:r>
      <w:r>
        <w:rPr>
          <w:rFonts w:ascii="Times New Roman" w:cs="Times New Roman" w:eastAsia="Times New Roman" w:hAnsi="Times New Roman"/>
          <w:sz w:val="18"/>
          <w:szCs w:val="18"/>
          <w:color w:val="auto"/>
        </w:rPr>
        <w:t>. While we seek to mitigate the business risks associated with climate change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there are inherent climate-related risks wherever business is conducted. Access to clean water and reliable energy in the communities where we conduct our business, whether for our offices, clients, vendors or other stakeholders is a priority. We have large offices in Connecticut, Florida, India, the United Kingdom, Spain and Australia, and other locations that are vulnerable to climate change effects. Additionally, green energy costs may increase our operational costs, and clients may be less likely to travel to our Conferences due to climate considerations. Changing market dynamics, global policy developments, and the increasing frequency and impact of extreme weather events on critical infrastructure in the U.S. and elsewhere have the potential to disrupt our business, the business of our vendors, and the business clients, and may cause us to experience higher attrition, losses and additional costs to maintain or resume operations.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Sustainability commitments, regulatory requirements or failure to meet stakeholder expectations in ESG could harm our reputation</w:t>
      </w:r>
      <w:r>
        <w:rPr>
          <w:rFonts w:ascii="Times New Roman" w:cs="Times New Roman" w:eastAsia="Times New Roman" w:hAnsi="Times New Roman"/>
          <w:sz w:val="18"/>
          <w:szCs w:val="18"/>
          <w:color w:val="auto"/>
        </w:rPr>
        <w:t>. We have committed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net-zero greenhouse gas emissions by 2035 in accordance with the SBTi's Net-Zero Standard. The SBTi has approved Gartner’s near-term science-based emissions reductions targets. Our ability to achieve these goals is subject to numerous risks outside of our control. In addition, standards and processes for measuring and reporting carbon emissions and other sustainability metrics may change over time, and may result in inconsistent data, or could result in significant revisions to our strategies and targets, or our ability to achieve them. Our failure or perceived failure to achieve them or continue practices that meet evolving, and sometimes conflicting, stakeholder expectations in ESG could harm our reputation, adversely affect our ability to attract and retain employees or clients and expose us to increased scrutiny from investors and regulatory authorities.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also subject to evolving sustainability regulatory requirements relating to environmental, social, and governance matters that are being developed and formalized in Europe, the U.S., and elsewhere, which may include specific, target-driven frameworks and disclosure requirements. We cannot determine what final regulations will be enacted, modified, or reversed or what their ultimate impact on our business will be. Failure to comply with these requirements could result in claims and lawsuits, regulatory actions, or damage to our reputation, each of which may adversely affect our business, operations, financial condition, and results of operations. At the same time, we may also face negative commercial or reputational impacts from consumers who do not support sustainability-related initiatives or concerns.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failure to comply with complex U.S. and foreign laws and regulations could have a material adverse effect on our operations or financial condition. </w:t>
      </w:r>
      <w:r>
        <w:rPr>
          <w:rFonts w:ascii="Times New Roman" w:cs="Times New Roman" w:eastAsia="Times New Roman" w:hAnsi="Times New Roman"/>
          <w:sz w:val="18"/>
          <w:szCs w:val="18"/>
          <w:color w:val="auto"/>
        </w:rPr>
        <w:t>Our business and operations may be conducted in countries where corruption has historically penetrated the economy. It is our policy to comply, and to require our local partners, distributors, agents, and those with whom we do business to comply, with all applicable anti-bribery and anti-corruption laws, such as the U.S. Foreign Corrupt Practices Act, the UK Bribery Act, regulations established by the Office of Foreign Assets Control (OFAC) and with applicable local laws of the foreign countries in which we operate. There can be no assurance that all of our employees, contractors and agents will comply with the Company’s policies that mandate compliance with these laws. Any determination or allegations, even if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unfounded, that we have violated or are responsible for violations of these laws, even if inadvertent, could be costly and disrupt our business, which could have a material adverse effect on our business, results of operations, financial condition, liquidity and cash flows, as well as on our reputation.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continuously evolving data protection laws and regulations, such as the European Union General Data Protection Regulation (GDPR), the California Consumer Privacy Act (CCPA) and California Privacy Rights Act (CPRA), the Brazilian General Data Protection Law (LGPD), the Chinese Cybersecurity, Data Security and Personal Information laws and other new and proposed data protection laws, pose increasingly complex compliance challenges. We have implemented GDPR, CCPA, CPRA and LGPD compliance programs, as well as policies and processes to comply with the applicable Chinese data protection laws. In the meantime, Gartner will continue to maintain and rely upon our comprehensive global data protection compliance program, which includes administrative, technical, and physical controls to safeguard our associates’ and clients’ personal data. The interpretation and application of these laws in the United States, the EU, China and elsewhere are often uncertain, inconsistent and ever changing. Complying with these various laws could cause us to incur substantial costs or require us to change our business practices in a manner adverse to our business.</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risks related to the regulation of AI and other evolving technologies. </w:t>
      </w:r>
      <w:r>
        <w:rPr>
          <w:rFonts w:ascii="Times New Roman" w:cs="Times New Roman" w:eastAsia="Times New Roman" w:hAnsi="Times New Roman"/>
          <w:sz w:val="18"/>
          <w:szCs w:val="18"/>
          <w:color w:val="auto"/>
        </w:rPr>
        <w:t>The growing use of AI tools has led to the introduction of new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 some of the areas where we operate. These laws and regulations vary between jurisdictions and are subject to change and evolving interpretations. As we expand our products and services and develop our business models, we have faced, and may continue to face, shifting regulations. Our ability to adopt new technologies, including AI, and to innovate for our customers and manage our business could be adversely impacted by the evolving regulatory environment. For instance, the EU Artificial Intelligence Act ("EU AI Act") entered into force on August 1, 2024 and will govern AI systems that impact individuals in the EU. Complying with the EU AI Act and similar emerging laws may impose significant costs on our business and may necessitate changes to certain business practices to ensure compliance.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face risks related to litigation. </w:t>
      </w:r>
      <w:r>
        <w:rPr>
          <w:rFonts w:ascii="Times New Roman" w:cs="Times New Roman" w:eastAsia="Times New Roman" w:hAnsi="Times New Roman"/>
          <w:sz w:val="18"/>
          <w:szCs w:val="18"/>
          <w:color w:val="auto"/>
        </w:rPr>
        <w:t>We are, and in the future may be, subject to a variety of legal actions, such as employment, breach of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of any claim and despite vigorous efforts to defend any such claim, claims can affect our reputation, and responding to any such claim could be time consuming, result in costly litigation and require us to enter into settlements, royalty and licensing agreements which may not be offered or available on reasonable terms. If a claim is made against us that we cannot defend or resolve on reasonable terms, our business, brand, and financial results could be materially adversely affected.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We face risks related to taxation</w:t>
      </w:r>
      <w:r>
        <w:rPr>
          <w:rFonts w:ascii="Times New Roman" w:cs="Times New Roman" w:eastAsia="Times New Roman" w:hAnsi="Times New Roman"/>
          <w:sz w:val="18"/>
          <w:szCs w:val="18"/>
          <w:color w:val="auto"/>
        </w:rPr>
        <w:t>. We are a global company and a substantial amount of our earnings is generated outside of the United States and taxed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other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 Corporate tax reform, base-erosion efforts and tax transparency continue to be high priorities in many countries. The Organization for Economic Co-operation and Development (“the OECD”) has issued various tax proposals that include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w:t>
      </w:r>
    </w:p>
    <w:p>
      <w:pPr>
        <w:spacing w:after="0" w:line="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impact on the Company’s effective tax rate for the current period. Significant details around the provisions are still uncertain as the OECD and participating countries continue to work on defining the underlying rules and administrative procedures. Enactment of this and similar legislation could significantly increase our tax obligations in countries where we do business. These actual, potential, and other changes, both individually and collectively, could materially increase our effective tax rate and negatively impact our financial position, results of operations, and cash flows. We will continue to monitor and reflect the impact of such legislative changes in future financial statements as appropriate.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tax filings for various years are subject to examination by domestic and international taxing authorities and, during the ordinary course of business, we are under audit by various tax authorities. Recent and future actions on the part of the OECD and various governments have increased scrutiny of our tax filings.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Our corporate compliance program cannot guarantee that we are in compliance with all applicable laws and regulations. </w:t>
      </w:r>
      <w:r>
        <w:rPr>
          <w:rFonts w:ascii="Times New Roman" w:cs="Times New Roman" w:eastAsia="Times New Roman" w:hAnsi="Times New Roman"/>
          <w:sz w:val="17"/>
          <w:szCs w:val="17"/>
          <w:color w:val="auto"/>
        </w:rPr>
        <w:t>We operate in a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countries, including emerging markets, and as a result we are required to comply with numerous, and in many cases, changing international and U.S. federal, state and local laws and regulations, including regulations relating to the ongoing Russia-Ukraine war. Accordingly, we have a corporate compliance program that includes the creation of appropriate policies defining employee behavior that mandate adherence to laws, employee training, annual affirmations, monitoring and enforcement. However, failure of any employee to comply with any of these laws, regulations or our policies, could result in a range of liabilities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implemented a layered cybersecurity program to assess, identify, and manage risks from cybersecurity threats that may result in material adverse</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effects on the confidentiality, integrity, and availability of our information systems, networks, and data systems. Our cybersecurity program is generally aligned with the National Institute of Standards and Technology (NIST) Cybersecurity Framework.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Team and Governance.</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the primary responsibility of assisting our Board of Directors in overseeing risk related to cybersecurity matters. The Board and/or the Audit Committee receive quarterly cybersecurity-related reports from our Chief Information Officer (CIO), which may address a wide range of topics, such as: cybersecurity strategy, the threat environment, the status of ongoing information security program initiatives, and information security program metrics. Additionally, we have documented protocols by which certain cybersecurity incidents that meet established reporting thresholds are escalated within the Company and, where appropriate, reported to the Board and/or the Audit Committee.</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At the management level, our CIO, who reports directly to the CEO, has over 20 years of experience serving in IT management, software development, and technology-based roles across a variety of industries, including publishing, media and entertainment, and financial and insurance services. Our Chief Information Security Officer (CISO), who reports directly to the CIO, has extensive cybersecurity knowledge and skills gained from over 15 years of work experience serving in security roles for the Company and a variety of financial service firms. Our CISO is responsible for understanding, managing, and communicating cybersecurity risk internally to our management, and works closely with Legal to oversee compliance with legal, regulatory, and contractual security requirements.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CISO heads the Information Security Team, which is responsible for implementing, monitoring, and maintaining cybersecurity and data protection practices across our business. The Information Security Team covers a wide range of cyber and information security responsibilities. Our CISO also receives reports on cybersecurity threats on an ongoing basis and regularly reviews risk management measures implemented by the Company to identify and mitigate cybersecurity risks. In addition to our internal capabilities, we also engage external consultants, legal counsel, or other third-party advisors to assist with assessing, identifying, and managing cybersecurity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Cybersecurity risk management, which involves resource commitments and management attention,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program uses a layered strategy, relying on technology and human processes to safeguard our client’s data at all layers. We embed controls within our business processes and technology development, starting with design and engineering and extending to operations. Our defense-in-depth strategy utilizes numerous layers of security controls, processes, and procedures across our information systems and networks, including but not limited to, vulnerability management, multi-factor authentication (MFA), identity access management (IAM), endpoint security, mobile security, application security, encryption,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network security, web security, and event monitoring and logging. Aspects of our program undergo several independent third-party audits and reviews on a regular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written Information Security Policy, which establishes the foundational components of our cybersecurity program and our high-level security responsibilities over all technologies, facilities and data. When engaging service providers and third-party vendors, we perform due diligence to assess whether these providers have appropriate privacy and security controls, and we generally require these providers to implement appropriate protective measures, and to use confidential information solely for the purposes of performing their services.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have adopted a documented Incident Response Plan that applies in the event of a cybersecurity incident to provide a standardized framework for response. In general, our incident response process follows the NIST 800-61 framework and focuses on four phases: preparation; detection and analysis; containment, eradication and recovery; and post-incident remediation.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implemented a security training and awareness program for all Gartner employees and third-party contractors. Employees receive security training in connection with onboarding as well as annual awareness and training activities throughout their employment. Further, Gartner carries cybersecurity insurance covering the company and its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Cybersecurity Risks, Threats &amp; Incidents.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While we have not experienced any material cybersecurity threats or incidents, there can be no guarantee that we will not be the subject of future successful attacks, threats or incidents. Additional information on cybersecurity risks we face can be found in Part I, Item 1A “Risk Factors” of this Report under the heading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Strategic and Operational Risks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We are exposed to risks related to cybersecurity,</w:t>
      </w:r>
      <w:r>
        <w:rPr>
          <w:rFonts w:ascii="Times New Roman" w:cs="Times New Roman" w:eastAsia="Times New Roman" w:hAnsi="Times New Roman"/>
          <w:sz w:val="18"/>
          <w:szCs w:val="18"/>
          <w:color w:val="auto"/>
        </w:rPr>
        <w:t>” which should be read in conjunction with the foregoing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leased approximately 15 domestic and 70 international office properties for our ongoing business operations. These offices, which exclude certain properties that we sublease to others, support our executive and administrative activities, research and consulting, sales, systems support, operations, and other functions. Our corporate office is based in Stamford, Connecticut. We also maintain an important presence in: Fort Myers, Florida; London, the United Kingdom; Gurgaon, India; Irving, Texas; and Barcelona, Spain. The Company does not own any real property.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Stamford corporate headquarters is comprised of leased office space in two buildings located on the same campus. Our lease for the Stamford headquarters facility expires in 2027 and contains three five-year renewal options at fair value.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early 2022, we began to operate under a hybrid working environment, meaning that most of our employees have the option to work remotely at least some of the time for the foreseeable future. As a result, we believe our current real estate footprint is sufficient to support future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“IT”. As of February 7, 2025, there were 856 holders of record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equity compensation plan information set forth in Part III, Item 12 of this Annual Report on Form 10-K is hereby incorporated by reference into this Part II, Item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2015, our Board of Directors (the “Board”) authorized a share repurchase program to repurchase up to $1.2 billion of our common stock. The Board authorized incremental share repurchases of up to an aggregate additional $4.1 billion of the Company’s common stock from February 2021 to July 2024. The Company adopted its share repurchase plan with the goal of returning excess capital to shareholders in accordance with its capital allocation policy.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December 31, 2024 pursuant to our share repurchase program and the settlement of stock-based compensation awards.</w:t>
      </w:r>
    </w:p>
    <w:tbl>
      <w:tblPr>
        <w:tblLayout w:type="fixed"/>
        <w:tblInd w:w="0" w:type="dxa"/>
        <w:tblCellMar>
          <w:top w:w="0" w:type="dxa"/>
          <w:left w:w="0" w:type="dxa"/>
          <w:bottom w:w="0" w:type="dxa"/>
          <w:right w:w="0" w:type="dxa"/>
        </w:tblCellMar>
      </w:tblPr>
      <w:tr>
        <w:trPr>
          <w:trHeight w:val="199"/>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center"/>
              <w:ind w:right="30"/>
              <w:spacing w:after="0" w:line="199" w:lineRule="exact"/>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Dollar Value of Shares That</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Under Announced</w:t>
            </w:r>
          </w:p>
        </w:tc>
        <w:tc>
          <w:tcPr>
            <w:tcW w:w="120" w:type="dxa"/>
            <w:vAlign w:val="bottom"/>
          </w:tcPr>
          <w:p>
            <w:pPr>
              <w:spacing w:after="0"/>
              <w:rPr>
                <w:sz w:val="16"/>
                <w:szCs w:val="16"/>
                <w:color w:val="auto"/>
              </w:rPr>
            </w:pPr>
          </w:p>
        </w:tc>
        <w:tc>
          <w:tcPr>
            <w:tcW w:w="23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May Yet Be Purchased Under</w:t>
            </w:r>
          </w:p>
        </w:tc>
        <w:tc>
          <w:tcPr>
            <w:tcW w:w="0" w:type="dxa"/>
            <w:vAlign w:val="bottom"/>
          </w:tcPr>
          <w:p>
            <w:pPr>
              <w:spacing w:after="0"/>
              <w:rPr>
                <w:sz w:val="1"/>
                <w:szCs w:val="1"/>
                <w:color w:val="auto"/>
              </w:rPr>
            </w:pPr>
          </w:p>
        </w:tc>
      </w:tr>
      <w:tr>
        <w:trPr>
          <w:trHeight w:val="175"/>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34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0" w:type="dxa"/>
            <w:vAlign w:val="bottom"/>
          </w:tcPr>
          <w:p>
            <w:pPr>
              <w:spacing w:after="0"/>
              <w:rPr>
                <w:sz w:val="1"/>
                <w:szCs w:val="1"/>
                <w:color w:val="auto"/>
              </w:rPr>
            </w:pPr>
          </w:p>
        </w:tc>
      </w:tr>
      <w:tr>
        <w:trPr>
          <w:trHeight w:val="243"/>
        </w:trPr>
        <w:tc>
          <w:tcPr>
            <w:tcW w:w="4160" w:type="dxa"/>
            <w:vAlign w:val="bottom"/>
            <w:gridSpan w:val="2"/>
            <w:vMerge w:val="continue"/>
          </w:tcPr>
          <w:p>
            <w:pPr>
              <w:spacing w:after="0"/>
              <w:rPr>
                <w:sz w:val="21"/>
                <w:szCs w:val="21"/>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to October 31, 2024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1,049,480</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to November 30, 2024</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1,049,480</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to December 31, 2024</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953,843</w:t>
            </w:r>
          </w:p>
        </w:tc>
        <w:tc>
          <w:tcPr>
            <w:tcW w:w="0" w:type="dxa"/>
            <w:vAlign w:val="bottom"/>
          </w:tcPr>
          <w:p>
            <w:pPr>
              <w:spacing w:after="0"/>
              <w:rPr>
                <w:sz w:val="1"/>
                <w:szCs w:val="1"/>
                <w:color w:val="auto"/>
              </w:rPr>
            </w:pPr>
          </w:p>
        </w:tc>
      </w:tr>
      <w:tr>
        <w:trPr>
          <w:trHeight w:val="223"/>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for the quarter (1)</w:t>
            </w:r>
          </w:p>
        </w:tc>
        <w:tc>
          <w:tcPr>
            <w:tcW w:w="14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219,253</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493.53</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195,954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December 31, 2024 included purchases for both the settlement of stock-based compensation awards and open market purchases. All amounts presented are exclusive of the excise tax accrual.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operating results, financial condition and cash flows of Gartner, Inc. Additionally, the MD&amp;A conveys our expectations of the potential impact of known trends, events or uncertainties that may impact future results. You should read this discussion in conjunction with our consolidated financial statements and related notes included in this Annual Report on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MD&amp;A provides an analysis of our consolidated financial results, segment results and cash flows for 2024 and 2023 under the headings “Results of Operations,” “Segment Results” and “Liquidity and Capital Resources.” For a similar detailed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discussion comparing 2023 and 2022, refer to those headings under Item 7, “Management’s Discussion and Analysis of Financial Condition and Results of Operations,” in our Annual Report on Form 10-K for the year ended December 31,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on economic activity and our operations; changes in macroeconomic and market conditions and market volatility, including interest rates and the effect on the credit markets and access to capital; the impact of global economic and geopolitical conditions, including inflation, and recession; our ability to carry out our strategic initiatives and manage associated costs;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our ability to keep pace with technological developments in artificial intelligence (“AI”) and comply with evolving AI regulations; additional risks associated with international operations, including foreign currency fluctuations; the impact on our business resulting from changes in international conditions, including those resulting from the conflict in the Middle East, the war in Ukraine and current and future sanctions imposed by governments or other authorities; the impact of restructuring and other charges on our businesses and operations; cybersecurity incidents or other disruptions to our information systems; risks associated with the creditworthiness, budget cuts, and shutdown of governments and agencies; our ability to meet sustainability commitments and comply with applicable regulatory requirements;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this Annual Report on Form 10-K, which is incorporated herein by reference.</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this Annual Report on Form 10-K. In addition, historical, current and forward-looking sustainability-related statements may be based on standards for measuring progress that are still developing, internal controls and processes that continue to evolve, and assumptions that are subject to change in the future. Readers should not place undue reliance on these forward-looking statements, which reflect management’s opinion only as of the date on which they were made. Forward-looking statements in this Annual Report on Form 10-K speak only as of the date hereof, and forward-looking statements in documents attached that are incorporated by reference speak only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those documents. Except as required by law, we disclaim any obligation to review or update these forward-looking statements to reflect events or circumstances as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 mission-critical priorities.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close to 14,000 enterprises in approximately 90 countries and territories — across all major functions, in every industry and enterprise size.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28" w:val="left"/>
        </w:tabs>
        <w:numPr>
          <w:ilvl w:val="0"/>
          <w:numId w:val="9"/>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b w:val="1"/>
          <w:bCs w:val="1"/>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25, 2024 the Company entered into a settlement agreement to resolve litigation concerning the Company's event cancellation insurance for 2020 and 2021. The settlement resolved all remaining 2020 and 2021 event cancellation insurance claims for $300.0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business segments: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 contract.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primarily includes Research deliverables for which revenue is recognized on a ratable basis, as well as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deliverables (primarily Conferences tickets) for which revenue is recognized when the deliverable is utilized.</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Comparing contract value year-over-year not only measures the short-term growth of our business, but also signals</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long-term health of our Research subscription business since it measures revenue that is highly likely to recur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includes</w:t>
            </w:r>
          </w:p>
        </w:tc>
        <w:tc>
          <w:tcPr>
            <w:tcW w:w="0" w:type="dxa"/>
            <w:vAlign w:val="bottom"/>
          </w:tcPr>
          <w:p>
            <w:pPr>
              <w:spacing w:after="0"/>
              <w:rPr>
                <w:sz w:val="1"/>
                <w:szCs w:val="1"/>
                <w:color w:val="auto"/>
              </w:rPr>
            </w:pPr>
          </w:p>
        </w:tc>
      </w:tr>
      <w:tr>
        <w:trPr>
          <w:trHeight w:val="220"/>
        </w:trPr>
        <w:tc>
          <w:tcPr>
            <w:tcW w:w="2660" w:type="dxa"/>
            <w:vAlign w:val="bottom"/>
          </w:tcPr>
          <w:p>
            <w:pPr>
              <w:spacing w:after="0"/>
              <w:rPr>
                <w:sz w:val="19"/>
                <w:szCs w:val="19"/>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includes sales to all</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functional leaders.</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 represents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single company or customer.</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twelve-month period. Wallet retention is calculated on a percentage basis by dividing the contract value of our current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who were also clients a year ago, by the contract value from a year ago, excluding the impact of foreign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exchange. When wallet retention exceeds client retention, it is an indication of retention of higher-spending</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or increased spending by retained clients, or both. Wallet retention is calculated at an enterprise level, which</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41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in-person conferences completed during</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period. Single day, local meetings are excluded.</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in-person</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conferences. Single day, local meetings are excluded.</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8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vMerge w:val="continue"/>
          </w:tcPr>
          <w:p>
            <w:pPr>
              <w:spacing w:after="0"/>
              <w:rPr>
                <w:sz w:val="18"/>
                <w:szCs w:val="18"/>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14"/>
        </w:trPr>
        <w:tc>
          <w:tcPr>
            <w:tcW w:w="26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insights for executive leaders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total revenues of $6.3 billion in 2024, an increase of 6% compared to 2023 on both a reported basis and excluding the foreign currency impact. Net income increased to $1.3 billion in 2024 from $882.5 million in 2023 and diluted earnings per share was $16.00 in 2024 compared to $11.08 in 2023.</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revenues increased to $5.1 billion in 2024, an increase of 5% compared to 2023 on both a reported basis and excluding the foreign currency impact. The Research gross contribution margin was 74% in both 2024 and 2023. Contract value was $5.3 billion at December 31, 2024, an increase of 8% compared to December 31, 2023 on a foreign currency neutral basis.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Conferences revenues increased to $583.2 million in 2024, an increase of 15% compared to 2023 on both a reported basis and excluding the foreign currency impact. The Conferences gross contribution margin was 48% and 50% in 2024 and 2023, respectively. We held 51 and 47 in-person conferences in 2024 in 2023,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Consulting revenues increased to $558.5 million in 2024, an increase of 9% compared to 2023 on both a reported basis and excluding the foreign currency impact. The Consulting gross contribution margin was 36% and 35% in 2024 and 2023, respectively. Backlog was $191.5 million at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$1.5 billion and $1.2 billion during 2024 and 2023, respectively. As of December 31, 2024, we had $1.9 billion of cash and cash equivalents and approximately $0.7 billion of available borrowing capacity on our revolving credit facility. During 2024, we repurchased 1.6 million shares of the Company’s common stock for an aggregate purchase price of approximately $0.7 billion.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the application of appropriate accounting policies and the use of estimates. Our significant accounting policies are described in Note 1 — Business and Significant Accounting Policies in the Notes to Consolidated Financial Statements. Management considers the policies discussed below to be critical to an understanding of our consolidated financial statements because their application requires complex and subjective management judgments and estimates. Specific risks for these critical accounting policies are also described below.</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they may ultimately differ materially from actual results. Ongoing changes in our estimates could be material and would be reflected in the Company’s consolidated financial statements in future periods.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are described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Our revenue by significant source is accounted for as follows:</w:t>
      </w:r>
    </w:p>
    <w:p>
      <w:pPr>
        <w:spacing w:after="0" w:line="256" w:lineRule="exact"/>
        <w:rPr>
          <w:sz w:val="20"/>
          <w:szCs w:val="20"/>
          <w:color w:val="auto"/>
        </w:rPr>
      </w:pP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Conferences revenues are deferred and recognized upon the completion of the related conference or meeting.</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revenues are principally generated from fixed fee or time and materials engagements. Revenues from fixed fee contracts are recognized as we work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Research contracts are billable upon signing, absent special terms granted on a limited basis from time to time. Research contracts are generally non-cancelable and non-refundable, except for government contracts that may have cancellation or fiscal funding clauses. Generally, it is our policy to record the amount of a subscription contract that is billable as a fee receivable at the time the contract is signed with a corresponding amount as deferred revenue because the contract represents a legally enforceable claim.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1 — Business and Significant Accounting Policies and Note 9 — Revenue and Related Matters in the Notes to Consolidated Financial Statements provide additional information regarding our revenues.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Accounting for income taxes </w:t>
      </w:r>
      <w:r>
        <w:rPr>
          <w:rFonts w:ascii="Times New Roman" w:cs="Times New Roman" w:eastAsia="Times New Roman" w:hAnsi="Times New Roman"/>
          <w:sz w:val="18"/>
          <w:szCs w:val="18"/>
          <w:color w:val="auto"/>
        </w:rPr>
        <w:t>— We use the asset and liability method of accounting for income taxes. We estimate our income taxes in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where we operate.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We use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In December 2024, we completed an intercompany transfer of certain intellectual property (IP). As a result, we recorded a deferred tax asset of approximately $163.2 million, based on the fair value of the IP rights transferred. The deferred tax asset represents the value of future tax deductions for amortization of the assets in the acquiring jurisdiction. The fair value of the intellectual property was determined using an income approach based on unobservable inputs and involves significant judgments such as, but not limited to, future cash flows and discount rates. Management’s estimates of fair value are based upon assumptions believed to be reasonable, but which are inherently uncertain and unpredictable and, as a result, actual results may differ from estimates.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for stock-based compensation </w:t>
      </w:r>
      <w:r>
        <w:rPr>
          <w:rFonts w:ascii="Times New Roman" w:cs="Times New Roman" w:eastAsia="Times New Roman" w:hAnsi="Times New Roman"/>
          <w:sz w:val="18"/>
          <w:szCs w:val="18"/>
          <w:color w:val="auto"/>
        </w:rPr>
        <w:t>— We account for stock-based compensation awards in accordance with FASB ASC Topics 505 and 718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Staff Accounting Bulletins No. 107 and No. 110. We recognize stock-based compensation expense, which is based on the fair value of the award on the date of grant, over the related service period. Note 10 — Stock-Based Compensation in the Notes to Consolidated Financial Statements provides additional information regarding stock-based compensation. Determining the appropriate fair value model and calculating the fair value of stock-based compensation awards requires the use of certain subjective assumptions, including the expected life of a stock-based compensation award and our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we deem it necessary in the future to modify the assumptions we made or to use different assumptions, or if the quantity and nature of our stock-based compensation awards changes, then the amount of expense may need to be adjusted and future stock-based compensation expense could be materially different from what has been recorded in the current period.</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we recognize incremental compensation cost in the period the modification occurs. For unvested awards, we recognize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we recognize is the cost of the original award.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year-over-year changes in our Consolidated Statements of Operations for the years indicated (in thousands).</w:t>
      </w: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20" w:type="dxa"/>
            <w:vAlign w:val="bottom"/>
          </w:tcPr>
          <w:p>
            <w:pPr>
              <w:spacing w:after="0"/>
              <w:rPr>
                <w:sz w:val="16"/>
                <w:szCs w:val="16"/>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6"/>
                <w:szCs w:val="16"/>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6,267,411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360,455</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119,782</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183,272</w:t>
            </w:r>
          </w:p>
        </w:tc>
        <w:tc>
          <w:tcPr>
            <w:tcW w:w="1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1,156,287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1,236,894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(80,607)</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(24,758)</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296,923</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371,249</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for 2024 were $6.3 billion, an increase of $360.5 million compared to 2023, or 6% on both a reported basis and excluding the foreign currency impact. The tables below present (i) revenues by geographic region (based on where the sale is fulfilled) and (ii) revenues by segment for the years indicated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43"/>
        </w:trPr>
        <w:tc>
          <w:tcPr>
            <w:tcW w:w="4780" w:type="dxa"/>
            <w:vAlign w:val="bottom"/>
            <w:gridSpan w:val="2"/>
            <w:vMerge w:val="continue"/>
          </w:tcPr>
          <w:p>
            <w:pPr>
              <w:spacing w:after="0"/>
              <w:rPr>
                <w:sz w:val="21"/>
                <w:szCs w:val="21"/>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4,017,730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3,911,042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185,745</w:t>
            </w:r>
          </w:p>
        </w:tc>
        <w:tc>
          <w:tcPr>
            <w:tcW w:w="1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731,866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6,267,411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360,455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Pr>
          <w:p>
            <w:pPr>
              <w:spacing w:after="0"/>
              <w:rPr>
                <w:sz w:val="18"/>
                <w:szCs w:val="18"/>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8"/>
        </w:trPr>
        <w:tc>
          <w:tcPr>
            <w:tcW w:w="4780" w:type="dxa"/>
            <w:vAlign w:val="bottom"/>
            <w:gridSpan w:val="3"/>
            <w:vMerge w:val="continue"/>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5,125,650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1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558,537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6,267,411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360,455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section of this MD&amp;A below entitled “Segment Results” for a discussion of revenues and results by segment.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services and product development was $2.0 billion in 2024, an increase of $119.8 million compared to 2023, or 6% on both a reported basis and excluding the foreign currency impact. The increase in Cost of services and product development was primarily due to a $82.8 million increase in personnel expenses associated with headcount and merit increases as well a $37.0 million increase in conference expenses due to an increase in the number of conferences. Cost of services and product development as a percent of revenues was 32% for both 2024 and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was $2.9 billion in 2024, an increase of $183.3 million compared to 2023, or 7% on both a reported basis and excluding the foreign currency impact. The increase in SG&amp;A during the year ended December 31, 2024, as compared to the prior fiscal year, was primarily a result of a $165.4 million increase in personnel expenses due to increased headcount and merit increases.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quota-bearing sales associates in Global Technology Sales increased by 4% to 3,804 and in Global Business Sales increased by 9% to 1,298, compared to December 31, 2023. On a combined basis, the total number of quota-bearing sales associates increased by 6% when compared to December 31, 2023. SG&amp;A expense as a percent of revenues was 46% during both 2024 and 2023.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increased by 14% during 2024 compared to 2023. The increase for the year ended December 31, 2024 was primarily due to increased software additions during the last twelve months.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 decreased by 2% during 2024 compared to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integration charges decreased by $8.6 million during the year ended December 31, 2024, compared to the same period in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from sale of divested operation during the prior year was attributable to the sale of our TalentNeuron business in February 2023. We recognized a pre-tax gain of $135.4 million during the year ended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was $1.16 billion and $1.24 billion during 2024 and 2023, respectively. The 7% decrease in operating income was primarily due to the gain from sale of divested operation recognized during the prior year period, and increases in cost of services and product development and selling, general and administrative expenses, partially offset by increased revenue.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decreased by $24.8 million during 2024 compared to 2023. The decrease in interest expense, net was due to increased interest income, primarily as a result of higher cash balances than the prior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 on event cancellation insurance claims of $300.0 million during the year ended December 31, 2024 reflected proceeds from a settlement agreement to resolve litigation concerning the Company's event cancellation insurance for 2020 and 2021. The settlement resolved all remaining 2020 and 2021 event cancellation insurance claims. Gain on event cancellation insurance claims of $3.1 million during the year ended December 31, 2023 reflected proceeds related to 2020 conference cancellation insurance claims.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years presented herein included the net impact of foreign currency gains and losses from our hedging activities, as well as sales of certain state tax credits and the recognition of other tax incentives. During both 2024 and 2023, Other income, net included a $3.9 million gain on de-designated interest rate swaps.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Provision for income taxes was $133.7 million and $264.7 million during 2024 and 2023, respectively, with an effective income tax rate of 9.6% and 23.1% for 2024 and 2023, respectively. The decrease in the effective income tax rate in 2024 was primarily the result of net tax benefits of approximately $161.9 million recognized as a result of an intercompany transfer of certain intellectual property in December 2024. Note 12 — Income Taxes in the Notes to Consolidated Financial Statements provides additional information regarding the Company’s income taxes.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was $1.3 billion and $882.5 million during 2024 and 2023, respectively. Additionally, our diluted net income per share increased by $4.92 in 2024 compared to 2023. The increase in net income during 2024 was primarily due to the gain on event cancellation insurance claims, as well as an increase in revenue and lower provision for income taxes and interest expense, net, partially offset by the gain from sale of divested operation recognized during the year ended December 31, 2023 and increased operating expenses.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and Acquisition and integration charges. Gross contribution margin is defined as gross contribution as a percent of revenues.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business segments – Research, Conferences and Consulting, as described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300" w:type="dxa"/>
            <w:vAlign w:val="bottom"/>
          </w:tcPr>
          <w:p>
            <w:pPr>
              <w:spacing w:after="0"/>
              <w:rPr>
                <w:sz w:val="17"/>
                <w:szCs w:val="17"/>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5,125,650</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4,887,046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238,604</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3,792,843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3,600,143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192,700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point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3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5,262,000</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4,880,000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382,000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Technology Sales (2):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4,029,000</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3,779,000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retention</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point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Wallet retention</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point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Business Sales (2):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value (1), (3)</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1,233,000</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1,101,000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132,000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retention</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point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Wallet retention</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point</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exchange neutral basis. Contract values as of December 31, 2023 have been calculated using the same foreign currency rates as 2024.</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revenues increased by $238.6 million during 2024 compared to 2023, or 5% on both a reported basis excluding the foreign currency impact. The increase in revenues during 2024 was primarily due to Research contract value growth in 2023. The gross contribution margin was 74% in both 2024 and 2023, as the increase in revenue and decreased research program expenses were offset by an increase in personnel expenses to support future growth.</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value increased to $5.3 billion at December 31, 2024, or 8% compared to December 31, 2023 on a foreign currency neutral basis. All industry sectors grew at mid single-digit rates or faster, other than media. The fastest growth was in the manufacturing, healthcare and public sectors. Global Technology Sales (“GTS”) contract value increased by 7% at December 31, 2024 when compared to December 31, 2023. The increase in GTS contract value was primarily due to new business from existing clients. GTS contract value increased by at least mid single-digits for nearly all enterprise sizes and sectors. Global Business Sales (“GBS”) contract value increased by 12% year-over-year, also primarily driven by new business from existing clients. The majority of our GBS practices achieved double-digit growth rates, with all enterprise sizes and the majority of sectors also growing double-digits year-over-year.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GTS client retention was 84% and 83% as of December 31, 2024 and 2023, respectively, while wallet retention was 102% and 101%, as of December 31, 2024 and 2023, respectively. GBS client retention was 87% as of both December 31, 2024 and 2023, while wallet retention was 106% and 107%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Conferences</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17"/>
                <w:szCs w:val="17"/>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17"/>
                <w:szCs w:val="17"/>
                <w:color w:val="auto"/>
              </w:rPr>
            </w:pPr>
          </w:p>
        </w:tc>
        <w:tc>
          <w:tcPr>
            <w:tcW w:w="16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583,224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505,164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78,060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281,409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 points</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destination conferences (2)</w:t>
            </w:r>
          </w:p>
        </w:tc>
        <w:tc>
          <w:tcPr>
            <w:tcW w:w="1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destination conferences attendees (2)</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86,625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11,056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Dollars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Single day, local meetings are excluded.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Conferences revenues increased by $78.1 million during 2024 compared to 2023, or 15% on both a reported basis and excluding the foreign currency impact. We held 51 in-person destination conferences during the year ended December 31, 2024. We held 47 in-person conferences during the year ended December 31, 2023. The increase in revenues for the year ended December 31, 2024 was due to an increase of 15% in both exhibitor revenue and attendee revenue compared to the same period in 2023. The segment gross contribution margin was 48% and 50% in 2024 and 2023, respectively. The lower gross contribution margin during 2024 was primarily the result of an increase in conference-related expenses and increased headcount partially offset by the increase in revenue.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Consulting</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w:t>
            </w:r>
          </w:p>
        </w:tc>
        <w:tc>
          <w:tcPr>
            <w:tcW w:w="12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w:t>
            </w:r>
          </w:p>
        </w:tc>
        <w:tc>
          <w:tcPr>
            <w:tcW w:w="28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18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Year Ended December</w:t>
            </w:r>
          </w:p>
        </w:tc>
        <w:tc>
          <w:tcPr>
            <w:tcW w:w="18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Year Ended December</w:t>
            </w: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Measurements: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(1)</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558,537</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514,746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contribution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21,791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 margin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point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Measurements:</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 (1), (2)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191,500</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billable headcount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utilization</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point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4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currency neutral basis. Backlog as of December 31, 2023 has been calculated using the same foreign currency rates as 2024.</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Consulting revenues increased 9% during 2024 compared to 2023 on both a reported basis and excluding the foreign currency impact. The increase in revenues on a reported basis was due to a 5% increase in labor-based consulting, and a 21% increase in contract optimization. Contract optimization revenue may vary significantly and, as such, 2024 revenues may not be indicative of future results. The segment gross contribution margin was 36% and 35% in 2024 and 2023, respectively. The increase in gross contribution margin during 2024 was primarily due to the increase in revenue.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by $28.5 million, or 17%, from December 31, 2023 to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borrowings. Note 6 — Debt in the Notes to Consolidated Financial Statements provides additional information regarding the Company’s outstanding debt obligations. At December 31, 2024, we had $1.9 billion of cash and cash equivalents and approximately $0.7 billion of available borrowing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capacity on the revolving credit facility under our 2024 Credit Agreement. We believe that the Company has adequate liquidity and access to capital markets to meet its currently anticipated needs for both the next twelve months and the foreseeable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entered into an amended lease agreement to significantly reduce the square footage and reduce future lease payments at one of our leased locations. We made an installment payment of $24.0 million during the fourth quarter of 2024, and will make an equal installment payment during the second quarter of 2025 in consideration for the lease amendment.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43% held overseas at December 31, 2024. We intend to distribute a portion of the accumulated undistributed earnings of non-U.S. subsidiaries as of December 31, 2024 in conjunction with global restructuring activity. We continue to assert our intention to reinvest substantially all remaining accumulated undistributed foreign earnings, except in instances where repatriation would result in minimal additional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the Company’s cash balances for the years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37"/>
        </w:trPr>
        <w:tc>
          <w:tcPr>
            <w:tcW w:w="43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329,185</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(157,894)</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(121,262)</w:t>
            </w: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50,029</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(57,481)</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and restricted cash</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621,000</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613,548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$1.5 billion and $1.2 billion in 2024 and 2023, respectively. The year-over-year increase was primarily due to the $300.0 million of insurance proceeds received during 2024 as well as reduced net cash interest expense and increased operating income, excluding the 2023 gain from sale of divested operation.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investing activities was $(103.7) million and $54.2 million in 2024 and 2023, respectively. The decrease from 2023 to 2024 was primarily the result of the $161.1 million in proceeds received from the sale of our TalentNeuron business in February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$0.7 billion and $0.6 billion in 2024 and 2023, respectively. During the 2024 period, we used $0.7 billion of cash for share repurchases. In March 2024, we borrowed $274.4 million under the 2024 Credit Agreement. The initial borrowing was used to repay the outstanding amounts under the 2020 Credit Agreement. During the 2023 period, we used $0.6 billion for share repurchases and paid a net $7.8 million in debt principal repayments.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$2.5 billion of principal amount of debt outstanding. Note 6 — Debt in the Notes to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December 31, 2024, the Company has not entered into any material off-balance sheet arrangements or transactions with unconsolidated entities or other persons.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future contractual cash commitments as of December 31, 2024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Due In Less</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Due In 2-3</w:t>
            </w: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Due In 4-5</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Due In More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 Description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Than</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Than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principal, interest, and commitment fees (1)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105,055</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213,326</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2,975,531</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(2)</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535,634</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arrangements (3)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(4)</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52,748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117,091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446,193</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4,105,922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55"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the Company’s debt obligations were classified in the above table based on the contractual repayment dates. Interest payments were based on the effective interest rates as of December 31, 2024. Commitment fees were based on unused balances and commitment rates as of December 31, 2024. Note 6 — Debt in the Notes to Consolidated Financial Statements provides information regarding the Company’s debt obligations and interest rate swap contracts.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various facilities, automobiles, computer equipment and other assets under non-cancelable operating lease agreements expiring between 2025 and 2038. The total commitment excludes approximately $145.5 million of estimated future cash receipts from the Company’s subleasing arrangements. Note 1 — Business and Significant Accounting Policies and Note 7 — Leases in the Notes to Consolidated Financial Statements provide additional information regarding the Company’s leases.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supplemental deferred compensation arrangements with certain of its employees. Amounts payable with known payment dates have been classified in the above table based on those scheduled payment dates. Amounts payable whose payment dates are unknown have been included in the Due In More Than 5 Years category because the Company cannot determine when the amounts will be paid. Note 15 — Employee Benefits in the Notes to Consolidated Financial Statements provides additional information regarding the Company’s supplemental deferred compensation arrangements.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contractual commitments (a) for software, telecom and other services and (b) to secure sites for our Conferences business; and (ii) projected cash contributions to the Company’s defined benefit pension plans. Note 15 — Employee Benefits in the Notes to Consolidated Financial Statements provides additional information regarding the Company’s defined benefit pension plans.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contractual cash commitments included in the above table, the Company has other payables and liabilities that may be legally enforceable but are not considered contractual commitments. Information regarding the Company’s payables and liabilities is included in Note 5 — Accounts Payable and Accrued and Other Liabilities and Note 12 — Income Taxes in the 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FASB has issued accounting standards that had not yet become effective as of December 31, 2024 and may impact the Company’s consolidated financial statements or its disclosures in future periods. Note 1 — Business and Significant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Accounting Policies in the Notes to Consolidated Financial Statements provides information regarding those accounting standards.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$2.5 billion in total debt principal outstanding. Note 6 — Debt in the Notes to Consolidated Financial Statements provides additional information regarding the Company’s outstanding debt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$274.0 million of the Company’s total debt outstanding as of December 31, 2024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December 31, 2024, we had $1.9 billion of cash and cash equivalents, with a substantial portion denominated in foreign currencies. If the exchange rates of the foreign currencies we hold all changed in comparison to the U.S. dollar by 10%, the amount of cash and cash equivalents we would have reported on December 31, 2024 could have increased or decreased by approximately $78.6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December 31, 2024 had an immaterial net unrealized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for 2024, 2023 and 2022, together with the reports of KPMG LLP, our independent registered public accounting firm, are included herein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Management conducted an evaluation, as of December 31, 2024, of the effectiveness of the design and operation of our disclosure controls and procedures, as such term is defined in Rules 13a-15(e) and 15d-15(e) under the Exchange Act, under the supervision and with the participation of our chief executive officer and chief financial officer. Based upon that evaluation, our chief executive officer and chief financial officer have concluded that, as of December 31, 2024, the Company’s disclosure controls and procedures were effective..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2024. In making this assessment, management used the criteria set forth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 Management’s assessment was reviewed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of the Board of Directors.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its assessment of internal control over financial reporting, management has concluded that, as of December 31, 2024, Gartner’s internal control over financial reporting was effective. The effectiveness of management’s internal control over financial reporting as of December 31, 2024 has been audited by KPMG LLP, an independent registered public accounting firm, as stated in their report, which is included in this Annual Report on Form 10-K in Part IV, Item 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December 31, 2024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director or Section 16 officer adopted or terminated a trading arrangement intended to satisfy the affirmative defense conditions of Rule 10b5-1(c) or a non-Rule 10b5–1 trading arrangement during the three months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“The Board of Directors,” “Proposal One: Election of Directors,” “Executive Officers,” “Corporate Governance,” “Delinquent Section 16(a) Reports” (if necessary) and “Proxy and Voting Information — Available Information” in the Company’s 2025 Proxy Statement. See also Item 1. Business — Available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“Compensation Discussion &amp; Analysis,” “Compensation Tables and Narrative Disclosures,” “Compensation Committee Report,” “The Board of Directors - Compensation of Directors,” “The Board of Directors - Director Compensation Table,” “Corporate Governance - Risk Oversight - Risk Assessment of Compensation Policies and Practices,” and “Corporate Governance - Compensation Committee” in the Company’s 2025 Proxy Statement.</w:t>
      </w:r>
    </w:p>
    <w:p>
      <w:pPr>
        <w:spacing w:after="0" w:line="20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“Compensation Tables and Narrative Disclosures — Equity Compensation Plan Information” and “Security Ownership of Certain Beneficial Owners and Management” in the Company’s 2025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captions “Transactions With Related Persons” and “Corporate Governance — Director Independence” in the Company’s 2025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is incorporated by reference from the information set forth under the caption “Proposal Three: Ratification of Appointment of Independent Registered Public Accounting Firm” in the Company’s 2025 Proxy Statement.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w:t>
      </w:r>
      <w:r>
        <w:rPr>
          <w:rFonts w:ascii="Times New Roman" w:cs="Times New Roman" w:eastAsia="Times New Roman" w:hAnsi="Times New Roman"/>
          <w:sz w:val="18"/>
          <w:szCs w:val="18"/>
          <w:b w:val="1"/>
          <w:bCs w:val="1"/>
          <w:color w:val="auto"/>
        </w:rPr>
        <w:t>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 Financial Statements and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reports of our independent registered public accounting firm and financial statements listed in the Index to Consolidated Financial Statements herein are filed as part of this report.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3. Exhibits</w:t>
            </w:r>
          </w:p>
        </w:tc>
        <w:tc>
          <w:tcPr>
            <w:tcW w:w="9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2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82"/>
        </w:trPr>
        <w:tc>
          <w:tcPr>
            <w:tcW w:w="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43">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1(1)</w:t>
              </w:r>
            </w:hyperlink>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Restated Certificate of Incorporation of the Company.</w:t>
            </w:r>
          </w:p>
        </w:tc>
        <w:tc>
          <w:tcPr>
            <w:tcW w:w="20" w:type="dxa"/>
            <w:vAlign w:val="bottom"/>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5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44">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2(16)</w:t>
              </w:r>
            </w:hyperlink>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By-laws of Gartner, Inc. (as amended and restated through October 31, 2024).</w:t>
            </w:r>
          </w:p>
        </w:tc>
      </w:tr>
      <w:tr>
        <w:trPr>
          <w:trHeight w:val="26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5">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1(3)</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June 22, 2020, among Gartner, Inc., the guarantors named therein and U.S.</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National Association, as a trustee, relating to the $800,000,000 aggregate principal amount of 4.500% Senior Notes due</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0"/>
                <w:szCs w:val="20"/>
                <w:color w:val="auto"/>
              </w:rPr>
            </w:pPr>
          </w:p>
        </w:tc>
      </w:tr>
      <w:tr>
        <w:trPr>
          <w:trHeight w:val="24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6">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2(4)</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September 28, 2020, among Gartner, Inc., the guarantors named therein and</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U.S. Bank National Association, as a trustee, relating to the $800,000,000 aggregate principal amount of 3.750% Senior</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due 2030.</w:t>
            </w:r>
          </w:p>
        </w:tc>
      </w:tr>
      <w:tr>
        <w:trPr>
          <w:trHeight w:val="243"/>
        </w:trPr>
        <w:tc>
          <w:tcPr>
            <w:tcW w:w="460" w:type="dxa"/>
            <w:vAlign w:val="bottom"/>
            <w:gridSpan w:val="2"/>
          </w:tcPr>
          <w:p>
            <w:pPr>
              <w:ind w:left="20"/>
              <w:spacing w:after="0"/>
              <w:rPr>
                <w:rFonts w:ascii="Times New Roman" w:cs="Times New Roman" w:eastAsia="Times New Roman" w:hAnsi="Times New Roman"/>
                <w:sz w:val="18"/>
                <w:szCs w:val="18"/>
                <w:color w:val="0000FF"/>
                <w:w w:val="96"/>
              </w:rPr>
            </w:pPr>
            <w:hyperlink r:id="rId47">
              <w:r>
                <w:rPr>
                  <w:rFonts w:ascii="Times New Roman" w:cs="Times New Roman" w:eastAsia="Times New Roman" w:hAnsi="Times New Roman"/>
                  <w:sz w:val="18"/>
                  <w:szCs w:val="18"/>
                  <w:color w:val="0000FF"/>
                  <w:w w:val="96"/>
                </w:rPr>
                <w:t>4.</w:t>
              </w:r>
              <w:r>
                <w:rPr>
                  <w:rFonts w:ascii="Times New Roman" w:cs="Times New Roman" w:eastAsia="Times New Roman" w:hAnsi="Times New Roman"/>
                  <w:sz w:val="18"/>
                  <w:szCs w:val="18"/>
                  <w:u w:val="single" w:color="auto"/>
                  <w:color w:val="0000FF"/>
                  <w:w w:val="96"/>
                </w:rPr>
                <w:t>3(5)</w:t>
              </w:r>
            </w:hyperlink>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(including form of Notes), dated as of June 18, 2021, among Gartner, Inc., the guarantors named therein and U.S.</w:t>
            </w:r>
          </w:p>
        </w:tc>
      </w:tr>
      <w:tr>
        <w:trPr>
          <w:trHeight w:val="151"/>
        </w:trPr>
        <w:tc>
          <w:tcPr>
            <w:tcW w:w="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1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National Association, as a trustee, relating to the $600,000,000 aggregate principal amount of 3.625% Senior Notes due</w:t>
            </w: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20"/>
                <w:szCs w:val="20"/>
                <w:color w:val="auto"/>
              </w:rPr>
            </w:pPr>
          </w:p>
        </w:tc>
      </w:tr>
      <w:tr>
        <w:trPr>
          <w:trHeight w:val="243"/>
        </w:trPr>
        <w:tc>
          <w:tcPr>
            <w:tcW w:w="620" w:type="dxa"/>
            <w:vAlign w:val="bottom"/>
            <w:gridSpan w:val="4"/>
          </w:tcPr>
          <w:p>
            <w:pPr>
              <w:ind w:left="2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4(6)+</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Gartner, Inc.’s Common Stock.</w:t>
            </w:r>
          </w:p>
        </w:tc>
      </w:tr>
      <w:tr>
        <w:trPr>
          <w:trHeight w:val="250"/>
        </w:trPr>
        <w:tc>
          <w:tcPr>
            <w:tcW w:w="20" w:type="dxa"/>
            <w:vAlign w:val="bottom"/>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Amendment, dated as of March 26, 2024, among Gartner, Inc., the lender party thereto and JPMorgan Chase Bank,</w:t>
            </w:r>
          </w:p>
        </w:tc>
      </w:tr>
      <w:tr>
        <w:trPr>
          <w:trHeight w:val="203"/>
        </w:trPr>
        <w:tc>
          <w:tcPr>
            <w:tcW w:w="20" w:type="dxa"/>
            <w:vAlign w:val="bottom"/>
          </w:tcPr>
          <w:p>
            <w:pPr>
              <w:spacing w:after="0"/>
              <w:rPr>
                <w:sz w:val="17"/>
                <w:szCs w:val="17"/>
                <w:color w:val="auto"/>
              </w:rPr>
            </w:pPr>
          </w:p>
        </w:tc>
        <w:tc>
          <w:tcPr>
            <w:tcW w:w="620" w:type="dxa"/>
            <w:vAlign w:val="bottom"/>
            <w:tcBorders>
              <w:bottom w:val="single" w:sz="8" w:color="0000FF"/>
            </w:tcBorders>
            <w:gridSpan w:val="4"/>
          </w:tcPr>
          <w:p>
            <w:pPr>
              <w:spacing w:after="0" w:line="202" w:lineRule="exact"/>
              <w:rPr>
                <w:rFonts w:ascii="Times New Roman" w:cs="Times New Roman" w:eastAsia="Times New Roman" w:hAnsi="Times New Roman"/>
                <w:sz w:val="18"/>
                <w:szCs w:val="18"/>
                <w:color w:val="0000FF"/>
                <w:w w:val="97"/>
              </w:rPr>
            </w:pPr>
            <w:hyperlink r:id="rId49">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1(13)</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N.A., as administrative agent.</w:t>
            </w:r>
          </w:p>
        </w:tc>
      </w:tr>
      <w:tr>
        <w:trPr>
          <w:trHeight w:val="263"/>
        </w:trPr>
        <w:tc>
          <w:tcPr>
            <w:tcW w:w="20" w:type="dxa"/>
            <w:vAlign w:val="bottom"/>
          </w:tcPr>
          <w:p>
            <w:pPr>
              <w:spacing w:after="0"/>
              <w:rPr>
                <w:sz w:val="22"/>
                <w:szCs w:val="22"/>
                <w:color w:val="auto"/>
              </w:rPr>
            </w:pPr>
          </w:p>
        </w:tc>
        <w:tc>
          <w:tcPr>
            <w:tcW w:w="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r:id="rId50">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2(12)</w:t>
              </w:r>
            </w:hyperlink>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Performance Bonus Plan, effective January 1, 2024.</w:t>
            </w:r>
          </w:p>
        </w:tc>
      </w:tr>
      <w:tr>
        <w:trPr>
          <w:trHeight w:val="264"/>
        </w:trPr>
        <w:tc>
          <w:tcPr>
            <w:tcW w:w="20" w:type="dxa"/>
            <w:vAlign w:val="bottom"/>
          </w:tcPr>
          <w:p>
            <w:pPr>
              <w:spacing w:after="0"/>
              <w:rPr>
                <w:sz w:val="22"/>
                <w:szCs w:val="22"/>
                <w:color w:val="auto"/>
              </w:rPr>
            </w:pPr>
          </w:p>
        </w:tc>
        <w:tc>
          <w:tcPr>
            <w:tcW w:w="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51">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3(14)+</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2011 Employee Stock Purchase Plan, as amended and restated, as of May 1, 2024.</w:t>
            </w:r>
          </w:p>
        </w:tc>
      </w:tr>
      <w:tr>
        <w:trPr>
          <w:trHeight w:val="263"/>
        </w:trPr>
        <w:tc>
          <w:tcPr>
            <w:tcW w:w="20" w:type="dxa"/>
            <w:vAlign w:val="bottom"/>
          </w:tcPr>
          <w:p>
            <w:pPr>
              <w:spacing w:after="0"/>
              <w:rPr>
                <w:sz w:val="22"/>
                <w:szCs w:val="22"/>
                <w:color w:val="auto"/>
              </w:rPr>
            </w:pPr>
          </w:p>
        </w:tc>
        <w:tc>
          <w:tcPr>
            <w:tcW w:w="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52">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4(10)+</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Incentive Plan, June 1, 2023 Amendment and Restatement.</w:t>
            </w:r>
          </w:p>
        </w:tc>
      </w:tr>
      <w:tr>
        <w:trPr>
          <w:trHeight w:val="263"/>
        </w:trPr>
        <w:tc>
          <w:tcPr>
            <w:tcW w:w="660" w:type="dxa"/>
            <w:vAlign w:val="bottom"/>
            <w:gridSpan w:val="6"/>
          </w:tcPr>
          <w:p>
            <w:pPr>
              <w:ind w:left="20"/>
              <w:spacing w:after="0"/>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5(7)+</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Amended and Restated Employment Agreement between Eugene A. Hall and the Company dated as of February 14,</w:t>
            </w:r>
          </w:p>
        </w:tc>
      </w:tr>
      <w:tr>
        <w:trPr>
          <w:trHeight w:val="214"/>
        </w:trPr>
        <w:tc>
          <w:tcPr>
            <w:tcW w:w="20" w:type="dxa"/>
            <w:vAlign w:val="bottom"/>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6(2)+</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to Employment Agreement between Eugene A. Hall and the Company dated as of April 29, 2021.</w:t>
            </w:r>
          </w:p>
        </w:tc>
      </w:tr>
      <w:tr>
        <w:trPr>
          <w:trHeight w:val="264"/>
        </w:trPr>
        <w:tc>
          <w:tcPr>
            <w:tcW w:w="20" w:type="dxa"/>
            <w:vAlign w:val="bottom"/>
          </w:tcPr>
          <w:p>
            <w:pPr>
              <w:spacing w:after="0"/>
              <w:rPr>
                <w:sz w:val="22"/>
                <w:szCs w:val="22"/>
                <w:color w:val="auto"/>
              </w:rPr>
            </w:pPr>
          </w:p>
        </w:tc>
        <w:tc>
          <w:tcPr>
            <w:tcW w:w="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55">
              <w:r>
                <w:rPr>
                  <w:rFonts w:ascii="Times New Roman" w:cs="Times New Roman" w:eastAsia="Times New Roman" w:hAnsi="Times New Roman"/>
                  <w:sz w:val="18"/>
                  <w:szCs w:val="18"/>
                  <w:color w:val="0000FF"/>
                  <w:w w:val="97"/>
                </w:rPr>
                <w:t>10.</w:t>
              </w:r>
            </w:hyperlink>
            <w:r>
              <w:rPr>
                <w:rFonts w:ascii="Times New Roman" w:cs="Times New Roman" w:eastAsia="Times New Roman" w:hAnsi="Times New Roman"/>
                <w:sz w:val="18"/>
                <w:szCs w:val="18"/>
                <w:u w:val="single" w:color="auto"/>
                <w:color w:val="0000FF"/>
                <w:w w:val="97"/>
              </w:rPr>
              <w:t>7(17)+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Amendment to Employment Agreement between Eugene A. Hall and the Corporation effective as of July 1, 2024.</w:t>
            </w:r>
          </w:p>
        </w:tc>
      </w:tr>
      <w:tr>
        <w:trPr>
          <w:trHeight w:val="506"/>
        </w:trPr>
        <w:tc>
          <w:tcPr>
            <w:tcW w:w="20" w:type="dxa"/>
            <w:vAlign w:val="bottom"/>
          </w:tcPr>
          <w:p>
            <w:pPr>
              <w:spacing w:after="0"/>
              <w:rPr>
                <w:sz w:val="24"/>
                <w:szCs w:val="24"/>
                <w:color w:val="auto"/>
              </w:rPr>
            </w:pPr>
          </w:p>
        </w:tc>
        <w:tc>
          <w:tcPr>
            <w:tcW w:w="6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5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8(8)+</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Deferred Compensation Plan, effective January 1, 2009.</w:t>
            </w:r>
          </w:p>
        </w:tc>
      </w:tr>
      <w:tr>
        <w:trPr>
          <w:trHeight w:val="263"/>
        </w:trPr>
        <w:tc>
          <w:tcPr>
            <w:tcW w:w="20" w:type="dxa"/>
            <w:vAlign w:val="bottom"/>
          </w:tcPr>
          <w:p>
            <w:pPr>
              <w:spacing w:after="0"/>
              <w:rPr>
                <w:sz w:val="22"/>
                <w:szCs w:val="22"/>
                <w:color w:val="auto"/>
              </w:rPr>
            </w:pPr>
          </w:p>
        </w:tc>
        <w:tc>
          <w:tcPr>
            <w:tcW w:w="6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9(6)+</w:t>
              </w:r>
            </w:hyperlink>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2022 Stock Appreciation Right Agreement for executive officers.</w:t>
            </w:r>
          </w:p>
        </w:tc>
      </w:tr>
      <w:tr>
        <w:trPr>
          <w:trHeight w:val="264"/>
        </w:trPr>
        <w:tc>
          <w:tcPr>
            <w:tcW w:w="20" w:type="dxa"/>
            <w:vAlign w:val="bottom"/>
          </w:tcPr>
          <w:p>
            <w:pPr>
              <w:spacing w:after="0"/>
              <w:rPr>
                <w:sz w:val="22"/>
                <w:szCs w:val="22"/>
                <w:color w:val="auto"/>
              </w:rPr>
            </w:pPr>
          </w:p>
        </w:tc>
        <w:tc>
          <w:tcPr>
            <w:tcW w:w="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10(6)+</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2022 Performance Stock Unit Agreement for executive officers.</w:t>
            </w:r>
          </w:p>
        </w:tc>
      </w:tr>
      <w:tr>
        <w:trPr>
          <w:trHeight w:val="263"/>
        </w:trPr>
        <w:tc>
          <w:tcPr>
            <w:tcW w:w="20" w:type="dxa"/>
            <w:vAlign w:val="bottom"/>
          </w:tcPr>
          <w:p>
            <w:pPr>
              <w:spacing w:after="0"/>
              <w:rPr>
                <w:sz w:val="22"/>
                <w:szCs w:val="22"/>
                <w:color w:val="auto"/>
              </w:rPr>
            </w:pPr>
          </w:p>
        </w:tc>
        <w:tc>
          <w:tcPr>
            <w:tcW w:w="8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6"/>
              </w:rPr>
            </w:pPr>
            <w:hyperlink r:id="rId59">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11(11)+</w:t>
              </w:r>
            </w:hyperlink>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2023 Stock Appreciation Right Agreement for executive officers.</w:t>
            </w:r>
          </w:p>
        </w:tc>
      </w:tr>
      <w:tr>
        <w:trPr>
          <w:trHeight w:val="264"/>
        </w:trPr>
        <w:tc>
          <w:tcPr>
            <w:tcW w:w="20" w:type="dxa"/>
            <w:vAlign w:val="bottom"/>
          </w:tcPr>
          <w:p>
            <w:pPr>
              <w:spacing w:after="0"/>
              <w:rPr>
                <w:sz w:val="22"/>
                <w:szCs w:val="22"/>
                <w:color w:val="auto"/>
              </w:rPr>
            </w:pPr>
          </w:p>
        </w:tc>
        <w:tc>
          <w:tcPr>
            <w:tcW w:w="8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6"/>
              </w:rPr>
            </w:pPr>
            <w:hyperlink r:id="rId60">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12(11)+</w:t>
              </w:r>
            </w:hyperlink>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2023 Performance Stock Unit Agreement for executive officers.</w:t>
            </w:r>
          </w:p>
        </w:tc>
      </w:tr>
      <w:tr>
        <w:trPr>
          <w:trHeight w:val="263"/>
        </w:trPr>
        <w:tc>
          <w:tcPr>
            <w:tcW w:w="20" w:type="dxa"/>
            <w:vAlign w:val="bottom"/>
          </w:tcPr>
          <w:p>
            <w:pPr>
              <w:spacing w:after="0"/>
              <w:rPr>
                <w:sz w:val="22"/>
                <w:szCs w:val="22"/>
                <w:color w:val="auto"/>
              </w:rPr>
            </w:pPr>
          </w:p>
        </w:tc>
        <w:tc>
          <w:tcPr>
            <w:tcW w:w="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13(15)+</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2024 Stock Appreciation Right Agreement for executive officers.</w:t>
            </w:r>
          </w:p>
        </w:tc>
      </w:tr>
      <w:tr>
        <w:trPr>
          <w:trHeight w:val="263"/>
        </w:trPr>
        <w:tc>
          <w:tcPr>
            <w:tcW w:w="20" w:type="dxa"/>
            <w:vAlign w:val="bottom"/>
          </w:tcPr>
          <w:p>
            <w:pPr>
              <w:spacing w:after="0"/>
              <w:rPr>
                <w:sz w:val="22"/>
                <w:szCs w:val="22"/>
                <w:color w:val="auto"/>
              </w:rPr>
            </w:pPr>
          </w:p>
        </w:tc>
        <w:tc>
          <w:tcPr>
            <w:tcW w:w="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14(15)+</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2024 Performance Stock Unit Agreement for executive officers.</w:t>
            </w:r>
          </w:p>
        </w:tc>
      </w:tr>
      <w:tr>
        <w:trPr>
          <w:trHeight w:val="264"/>
        </w:trPr>
        <w:tc>
          <w:tcPr>
            <w:tcW w:w="20" w:type="dxa"/>
            <w:vAlign w:val="bottom"/>
          </w:tcPr>
          <w:p>
            <w:pPr>
              <w:spacing w:after="0"/>
              <w:rPr>
                <w:sz w:val="22"/>
                <w:szCs w:val="22"/>
                <w:color w:val="auto"/>
              </w:rPr>
            </w:pPr>
          </w:p>
        </w:tc>
        <w:tc>
          <w:tcPr>
            <w:tcW w:w="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15(15)+</w:t>
              </w:r>
            </w:hyperlink>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executive officers.</w:t>
            </w:r>
          </w:p>
        </w:tc>
      </w:tr>
      <w:tr>
        <w:trPr>
          <w:trHeight w:val="263"/>
        </w:trPr>
        <w:tc>
          <w:tcPr>
            <w:tcW w:w="20" w:type="dxa"/>
            <w:vAlign w:val="bottom"/>
          </w:tcPr>
          <w:p>
            <w:pPr>
              <w:spacing w:after="0"/>
              <w:rPr>
                <w:sz w:val="22"/>
                <w:szCs w:val="22"/>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2025 Stock Appreciation Right Agreement for executive officers.</w:t>
            </w:r>
          </w:p>
        </w:tc>
      </w:tr>
      <w:tr>
        <w:trPr>
          <w:trHeight w:val="264"/>
        </w:trPr>
        <w:tc>
          <w:tcPr>
            <w:tcW w:w="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2025 Performance Stock Unit Agreement for executive officers.</w:t>
            </w:r>
          </w:p>
        </w:tc>
      </w:tr>
      <w:tr>
        <w:trPr>
          <w:trHeight w:val="938"/>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7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18(9)+</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Restricted Stock Unit Agreement for non-employee directors.</w:t>
            </w:r>
          </w:p>
        </w:tc>
      </w:tr>
      <w:tr>
        <w:trPr>
          <w:trHeight w:val="264"/>
        </w:trPr>
        <w:tc>
          <w:tcPr>
            <w:tcW w:w="1460" w:type="dxa"/>
            <w:vAlign w:val="bottom"/>
            <w:gridSpan w:val="6"/>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19(15)+</w:t>
              </w:r>
            </w:hyperlink>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Enhanced Executive Rewards Policy.</w:t>
            </w:r>
          </w:p>
        </w:tc>
      </w:tr>
      <w:tr>
        <w:trPr>
          <w:trHeight w:val="263"/>
        </w:trPr>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19.</w:t>
            </w:r>
            <w:r>
              <w:rPr>
                <w:rFonts w:ascii="Times New Roman" w:cs="Times New Roman" w:eastAsia="Times New Roman" w:hAnsi="Times New Roman"/>
                <w:sz w:val="18"/>
                <w:szCs w:val="18"/>
                <w:u w:val="single" w:color="auto"/>
                <w:color w:val="0000FF"/>
                <w:w w:val="98"/>
              </w:rPr>
              <w:t>1*</w:t>
            </w: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Insider Trading Policy.</w:t>
            </w:r>
          </w:p>
        </w:tc>
      </w:tr>
      <w:tr>
        <w:trPr>
          <w:trHeight w:val="26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26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264"/>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24.</w:t>
            </w:r>
            <w:r>
              <w:rPr>
                <w:rFonts w:ascii="Times New Roman" w:cs="Times New Roman" w:eastAsia="Times New Roman" w:hAnsi="Times New Roman"/>
                <w:sz w:val="18"/>
                <w:szCs w:val="18"/>
                <w:u w:val="single" w:color="auto"/>
                <w:color w:val="0000FF"/>
                <w:w w:val="98"/>
              </w:rPr>
              <w:t>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Power of Attorney (see Signature Page).</w:t>
            </w:r>
          </w:p>
        </w:tc>
      </w:tr>
      <w:tr>
        <w:trPr>
          <w:trHeight w:val="26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Certification of chief executive officer under Section 302 of the Sarbanes-Oxley Act of 2002.</w:t>
            </w:r>
          </w:p>
        </w:tc>
      </w:tr>
      <w:tr>
        <w:trPr>
          <w:trHeight w:val="263"/>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Certification of chief financial officer under Section 302 of the Sarbanes-Oxley Act of 2002.</w:t>
            </w:r>
          </w:p>
        </w:tc>
      </w:tr>
      <w:tr>
        <w:trPr>
          <w:trHeight w:val="263"/>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32*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Certification under Section 906 of the Sarbanes-Oxley Act of 2002.</w:t>
            </w:r>
          </w:p>
        </w:tc>
      </w:tr>
      <w:tr>
        <w:trPr>
          <w:trHeight w:val="263"/>
        </w:trPr>
        <w:tc>
          <w:tcPr>
            <w:tcW w:w="5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68">
              <w:r>
                <w:rPr>
                  <w:rFonts w:ascii="Times New Roman" w:cs="Times New Roman" w:eastAsia="Times New Roman" w:hAnsi="Times New Roman"/>
                  <w:sz w:val="18"/>
                  <w:szCs w:val="18"/>
                  <w:color w:val="0000FF"/>
                  <w:w w:val="96"/>
                </w:rPr>
                <w:t>97(15)+</w:t>
              </w:r>
            </w:hyperlink>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Gartner, Inc. Compensation Recoupment (Clawback) Policy.</w:t>
            </w:r>
          </w:p>
        </w:tc>
      </w:tr>
      <w:tr>
        <w:trPr>
          <w:trHeight w:val="250"/>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4"/>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(included as Exhibit 101).</w:t>
            </w:r>
          </w:p>
        </w:tc>
      </w:tr>
    </w:tbl>
    <w:p>
      <w:pPr>
        <w:spacing w:after="0" w:line="333" w:lineRule="exact"/>
        <w:rPr>
          <w:sz w:val="20"/>
          <w:szCs w:val="20"/>
          <w:color w:val="auto"/>
        </w:rPr>
      </w:pPr>
    </w:p>
    <w:p>
      <w:pPr>
        <w:ind w:left="500" w:hanging="494"/>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document.</w:t>
      </w:r>
    </w:p>
    <w:p>
      <w:pPr>
        <w:spacing w:after="0" w:line="27" w:lineRule="exact"/>
        <w:rPr>
          <w:sz w:val="20"/>
          <w:szCs w:val="20"/>
          <w:color w:val="auto"/>
        </w:rPr>
      </w:pPr>
    </w:p>
    <w:p>
      <w:pPr>
        <w:ind w:left="500" w:hanging="494"/>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compensation plan or arrangement.</w:t>
      </w:r>
    </w:p>
    <w:p>
      <w:pPr>
        <w:spacing w:after="0" w:line="23" w:lineRule="exact"/>
        <w:rPr>
          <w:sz w:val="20"/>
          <w:szCs w:val="20"/>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6, 2005.</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May 5, 2021.</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June 23, 2020.</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September 28, 2020.</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June 21, 2021.</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23, 2022.</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22, 2019.</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20, 2009.</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August 1, 2018.</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Proxy Statement (Schedule 14A) filed on April 17, 2023.</w:t>
      </w:r>
    </w:p>
    <w:p>
      <w:pPr>
        <w:spacing w:after="0" w:line="22"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16, 2023.</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August 1, 2023.</w:t>
      </w:r>
    </w:p>
    <w:p>
      <w:pPr>
        <w:spacing w:after="0" w:line="27"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April 1, 2024.</w:t>
      </w:r>
    </w:p>
    <w:p>
      <w:pPr>
        <w:spacing w:after="0" w:line="44"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April 30, 2024.</w:t>
      </w:r>
    </w:p>
    <w:p>
      <w:pPr>
        <w:spacing w:after="0" w:line="49"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Annual Report on Form 10-K filed on February 15, 2024.</w:t>
      </w:r>
    </w:p>
    <w:p>
      <w:pPr>
        <w:spacing w:after="0" w:line="49"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November 5, 2024.</w:t>
      </w:r>
    </w:p>
    <w:p>
      <w:pPr>
        <w:spacing w:after="0" w:line="49" w:lineRule="exact"/>
        <w:rPr>
          <w:rFonts w:ascii="Times New Roman" w:cs="Times New Roman" w:eastAsia="Times New Roman" w:hAnsi="Times New Roman"/>
          <w:sz w:val="18"/>
          <w:szCs w:val="18"/>
          <w:color w:val="auto"/>
        </w:rPr>
      </w:pPr>
    </w:p>
    <w:p>
      <w:pPr>
        <w:ind w:left="500" w:hanging="494"/>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918"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New York, NY, Auditor Firm ID: 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634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6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Three-Year Period Ended December 31, 2024</w:t>
            </w:r>
          </w:p>
        </w:tc>
        <w:tc>
          <w:tcPr>
            <w:tcW w:w="432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9"/>
        </w:trPr>
        <w:tc>
          <w:tcPr>
            <w:tcW w:w="7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Three-Year Period Ended December 31, 2024</w:t>
            </w:r>
          </w:p>
        </w:tc>
        <w:tc>
          <w:tcPr>
            <w:tcW w:w="34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11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Three-Year Period Ended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7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Three-Year Period Ended December 31, 2024</w:t>
            </w:r>
          </w:p>
        </w:tc>
        <w:tc>
          <w:tcPr>
            <w:tcW w:w="36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10"/>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60" w:type="dxa"/>
            <w:vAlign w:val="bottom"/>
            <w:tcBorders>
              <w:top w:val="single" w:sz="8" w:color="0000FF"/>
            </w:tcBorders>
            <w:gridSpan w:val="4"/>
          </w:tcPr>
          <w:p>
            <w:pPr>
              <w:spacing w:after="0"/>
              <w:rPr>
                <w:sz w:val="18"/>
                <w:szCs w:val="18"/>
                <w:color w:val="auto"/>
              </w:rPr>
            </w:pPr>
          </w:p>
        </w:tc>
        <w:tc>
          <w:tcPr>
            <w:tcW w:w="428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 information required is not applicable or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Gartner, Inc. and subsidiaries (the Company) as of December 31, 2024 and 2023, the related consolidated statements of operations,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13, 2025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tax benefits on intercompany transfer of intellectual property</w:t>
      </w:r>
    </w:p>
    <w:p>
      <w:pPr>
        <w:spacing w:after="0" w:line="241" w:lineRule="exact"/>
        <w:rPr>
          <w:sz w:val="20"/>
          <w:szCs w:val="20"/>
          <w:color w:val="auto"/>
        </w:rPr>
      </w:pPr>
    </w:p>
    <w:p>
      <w:pPr>
        <w:jc w:val="both"/>
        <w:ind w:left="340"/>
        <w:spacing w:after="0" w:line="24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percent likelihood of being realized. As discussed in Note 12, in December 2024, the Company completed an intercompany transfer of certain intellectual property. As a result, the Company recorded a deferred tax asset of approximately $163.2 million. The deferred tax asset represents the value of future tax deductions for amortization of the assets in the acquiring jurisdiction. These amounts have been reduced for associated unrecognized tax benefits.</w:t>
      </w:r>
    </w:p>
    <w:p>
      <w:pPr>
        <w:spacing w:after="0" w:line="22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tax benefits related to the December 2024 intercompany transfer of intellectual property as a critical audit matter. Subjective and complex auditor judgment was required in evaluating the tax position in accordance with tax laws and the valuation and measurement of the uncertain tax position based on the tax benefits more likely than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not to be realized. The future revenue forecasts and the discount rate used by the Company to estimate the fair value of the intellectual property and to measure the uncertain tax position involved significant judgments that could have a material effect on the value of the deferred tax asset recognized. Specialized skills and knowledge were required to evaluate the tax position in accordance with tax laws, as well as the reasonableness of the discount rate and measurement of the uncertain tax position.</w:t>
      </w:r>
    </w:p>
    <w:p>
      <w:pPr>
        <w:spacing w:after="0" w:line="20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process for recognizing tax benefits. This included controls related to the evaluation of the tax position in accordance with tax laws, and the selection of the future revenue forecasts and the discount rate used in the valuation and measurement of the uncertain tax position. We evaluated the Company’s future revenue forecast assumptions by comparing the assumptions to the entity’s historical revenue growth rates, to third-party analyst projections for the Company, and to third-party projected industry-wide revenue growth rates. We compared the Company’s historical revenue forecasts to actual results to assess the Company’s ability to accurately forecast. We involved tax and transfer pricing professionals with specialized skills and knowledge, who assisted in evaluating the tax position in accordance with tax laws and the measurement of the uncertain tax position by evaluating the Company’s assessment of the technical tax merits applicable to the transaction, the more-likely-than-not recognition and measurement thresholds, and the Company’s application of the relevant tax laws. We involved transfer pricing and valuation professionals with specialized skills and knowledge, who assisted in evaluating the reasonableness of the discount rate, and the valuation and measurement of the uncertain tax position by:</w:t>
      </w:r>
    </w:p>
    <w:p>
      <w:pPr>
        <w:spacing w:after="0" w:line="219" w:lineRule="exact"/>
        <w:rPr>
          <w:sz w:val="20"/>
          <w:szCs w:val="20"/>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comparing the discount rate to a range of discount rates that was independently developed using publicly available market data.</w:t>
      </w:r>
    </w:p>
    <w:p>
      <w:pPr>
        <w:spacing w:after="0" w:line="251" w:lineRule="exact"/>
        <w:rPr>
          <w:rFonts w:ascii="Arial" w:cs="Arial" w:eastAsia="Arial" w:hAnsi="Arial"/>
          <w:sz w:val="18"/>
          <w:szCs w:val="18"/>
          <w:color w:val="auto"/>
        </w:rPr>
      </w:pPr>
    </w:p>
    <w:p>
      <w:pPr>
        <w:ind w:left="660" w:hanging="166"/>
        <w:spacing w:after="0" w:line="281" w:lineRule="auto"/>
        <w:tabs>
          <w:tab w:leader="none" w:pos="65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developing an independent estimate of value of the uncertain tax position using the Company’s forecasts and the independently developed range of discount rates and comparing it to the uncertain tax position recognized by the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Gartner, Inc.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stockholders’ equity, and cash flows for each of the years in the three-year period ended December 31, 2024, and the related notes (collectively, the consolidated financial statements), and our report dated February 13, 2025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 of allowances of $8,500 and $9,000, respectively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1,601,228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380,479</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3,427,886</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366,809</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2,937,260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1,206,089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1,127,604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3,969,016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3,777,719</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2,448,696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513,406</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7,175,502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7,155,285</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$0.01 par value, authorized 5,000,000 shares; none issued or outstanding</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$0.0005 par value, 250,000,000 shares authorized; 163,602,067 shares issued for both periods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5,993,007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86,222,214 and 85,264,526 common shares, respectively</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(7,042,717)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8,534,671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5,125,650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5,111,124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4,670,062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4,375,740</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78,338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79,680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807,799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gain or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787,620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 Net</w:t>
            </w:r>
          </w:p>
        </w:tc>
        <w:tc>
          <w:tcPr>
            <w:tcW w:w="1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(4,671,516)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371,058</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(1,043,742)</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(609,962)</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1,253,715</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28,284</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(746,246)</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154,784</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1,359,169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1,253,715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807,799</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191,946</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90,566</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53,970</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70,086</w:t>
            </w:r>
          </w:p>
        </w:tc>
      </w:tr>
      <w:tr>
        <w:trPr>
          <w:trHeight w:val="23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de-designated swaps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(52,308)</w:t>
            </w: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(240,696)</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297,124</w:t>
            </w:r>
          </w:p>
        </w:tc>
      </w:tr>
      <w:tr>
        <w:trPr>
          <w:trHeight w:val="230"/>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(101,912)</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1,101,422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(108,050)</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 cash paid (net of cash acquired)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divested operation</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(117,558)</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deferred financing fees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borrowings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(1,043,742)</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(1,027,442)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 and restricted cash</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year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760,602</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112,825</w:t>
            </w:r>
          </w:p>
        </w:tc>
      </w:tr>
      <w:tr>
        <w:trPr>
          <w:trHeight w:val="234"/>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 received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306,682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and Significant Accounting Policies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priorities.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trusted advisor and an objective resource for nearly 14,000 enterprises in approximately 90 countries and territories — across all major functions, in every industry and enterprise size.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Gartner delivers its products and services globally through three business segments – Research, Conferences and Consulting. Note 9 —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Matters and Note 16 — Segment Information describe the products and services offered by each of our segments and provide additional financial information for those segments.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have been prepared in accordance with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the United States of America (“U.S. GAAP”), as defined in the Financial Accounting Standards Board (“FASB”) Accounting Standards Codification (“ASC”), for financial information and with the applicable instructions of U.S. Securities and Exchange Commission (“SEC”) Regulation S-X.</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All references to 2024, 2023 and 2022 herein refer to the fiscal year unless otherwise indicated. When used in these notes, the terms “Gartner,” the “Company,” “we,” “us” or “our” refer to Gartner, Inc. and its consolidated subsidiaries.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transactions and balances have been eliminated.</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accompanying Consolidated Financial Statements requires management to make estimates and assumptions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Business acquisitions. </w:t>
      </w:r>
      <w:r>
        <w:rPr>
          <w:rFonts w:ascii="Times New Roman" w:cs="Times New Roman" w:eastAsia="Times New Roman" w:hAnsi="Times New Roman"/>
          <w:sz w:val="18"/>
          <w:szCs w:val="18"/>
          <w:color w:val="auto"/>
        </w:rPr>
        <w:t>The Company accounts for business acquisitions in accordance with the acquisition method of accounting as prescribed by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of accounting requires the Company to record the assets acquired and liabilities assumed based on their estimated fair values as of the acquisition date, with certain exceptions. Any excess of the consideration transferred over the estimated fair value of the net assets acquired, including identifiable intangible assets, is recorded as goodwill. Under the acquisition method, the operating results of acquired companies are included in the Company’s Consolidated Financial Statements beginning on the date of acquisition. The Company completed business acquisitions in 2023 and 2022. Note 2 — Acquisitions and Divestiture provides additional information regarding those business acquisitions.</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determination of the fair values of intangible and other assets acquired in an acquisition requires management judgment and the consideration of a number of factors, including the historical financial performance of acquired businesses and their projected future performance, and estimates surrounding customer turnover, as well as assumptions regarding the level of competition and the costs necessary to reproduce certain assets. Establishing the useful lives of intangible assets also requires management judgment and the evaluation of a number of factors, including the expected use of an asset, historical client retention rates, consumer awareness and trade name history, as well as any contractual provisions that could limit or extend an asset’s useful life.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Charges that are directly related to the Company’s acquisitions are expensed as incurred and classified as Acquisition and integration charges in the Consolidated Statements of Operations. Note 2 — Acquisitions and Divestiture provides additional information regarding the Company’s Acquisition and integration charges.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Company’s revenue by significant source is accounted for as follows:</w:t>
      </w:r>
    </w:p>
    <w:p>
      <w:pPr>
        <w:spacing w:after="0" w:line="254" w:lineRule="exact"/>
        <w:rPr>
          <w:sz w:val="20"/>
          <w:szCs w:val="20"/>
          <w:color w:val="auto"/>
        </w:rPr>
      </w:pPr>
    </w:p>
    <w:p>
      <w:pPr>
        <w:jc w:val="both"/>
        <w:ind w:left="34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are mainly derived from subscription contracts for research products. The related revenues are deferred and recognized ratably over the applicable contract term. Fees derived from assisting organizations in selecting the right business software for their needs are recognized when the leads are provided to vendors.</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Conferences revenues are deferred and recognized upon the completion of the related conference or meeting.</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revenues are principally generated from fixed fee or time and materials engagements. Revenues from fixed fee contracts are recognized as the Company works to satisfy its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Research contracts are billable upon signing, absent special terms granted on a limited basis from time to time. Research contracts are generally non-cancellable and non-refundable, except for government contracts that may have cancellation or fiscal funding clauses. The Company generally records the amount of a subscription contract that is billable as a fee receivable at the time the contract is signed with a corresponding amount as deferred revenue because the contract represents a legally enforceable claim. Note 9 — Revenue and Related Matters provides additional information regarding the Company’s business and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Allowance for losses. </w:t>
      </w:r>
      <w:r>
        <w:rPr>
          <w:rFonts w:ascii="Times New Roman" w:cs="Times New Roman" w:eastAsia="Times New Roman" w:hAnsi="Times New Roman"/>
          <w:sz w:val="18"/>
          <w:szCs w:val="18"/>
          <w:color w:val="auto"/>
        </w:rPr>
        <w:t>The Company estimates uncollectible amounts on its fees receivable using a historical loss rate method.</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services and product development (</w:t>
      </w:r>
      <w:r>
        <w:rPr>
          <w:rFonts w:ascii="Times New Roman" w:cs="Times New Roman" w:eastAsia="Times New Roman" w:hAnsi="Times New Roman"/>
          <w:sz w:val="18"/>
          <w:szCs w:val="18"/>
          <w:color w:val="auto"/>
        </w:rPr>
        <w:t>“COS”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 expense includes the direct costs incurred in the creation and delivery of the Company’s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These costs primarily relate to personnel.</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w:t>
      </w:r>
      <w:r>
        <w:rPr>
          <w:rFonts w:ascii="Times New Roman" w:cs="Times New Roman" w:eastAsia="Times New Roman" w:hAnsi="Times New Roman"/>
          <w:sz w:val="18"/>
          <w:szCs w:val="18"/>
          <w:color w:val="auto"/>
        </w:rPr>
        <w:t>“SG&amp;A”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SG&amp;A expense includes direct and indirect selling costs, general and administrative costs, facility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bad debt expense.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Commission expense. </w:t>
      </w:r>
      <w:r>
        <w:rPr>
          <w:rFonts w:ascii="Times New Roman" w:cs="Times New Roman" w:eastAsia="Times New Roman" w:hAnsi="Times New Roman"/>
          <w:sz w:val="18"/>
          <w:szCs w:val="18"/>
          <w:color w:val="auto"/>
        </w:rPr>
        <w:t>The Company records deferred commissions upon the recognition of commission liabilities, which is generally aligned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of a customer contract or the commencement of subsequent terms in the case of multi-year contracts. The deferred amount is amortized over a period that aligns with the transfer to the customer of the services to which the commissions relate. Note 9 — Revenue and Related Matters provides additional information regarding deferred commissions and the amortization of such costs.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The Company accounts for stock-based compensation awards in accordance with FASB ASC Topics 505 and 718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Staff Accounting Bulletins No. 107 and No. 110. Stock-based compensation expense for equity awards is based on the fair value of the award on the date of grant. The Company recognizes stock-based compensation expense over the period that the related service is performed, which is generally the same as the vesting period of the underlying award. Forfeitures are recognized as they occur. 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as measured on the modification date. For vested awards, the Company recognizes incremental compensation cost in the period the modification occurs. For unvested awards, the Company recognizes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the Company recognizes is the cost of the original award. Note 10 — Stock-Based Compensation provides additional information regarding the Company’s stock-based compensation activity.</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uses the asset and liability method of accounting for income taxes. The Company estimates its income taxes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where it operates. This process involves estimating the Company’s current tax expense or benefit together with assessing temporary differences resulting from differing treatment of items for tax and accounting purposes. These differences result in deferred tax assets and liabilities, which are included in the Consolidated Balance Sheets. When assessing the realizability of deferred tax assets, the Company considers if it is more likely than not that some or all of the deferred tax assets will not be realized. In making this assessment, the Company considers the availability of loss carryforwards, projected reversals of deferred tax liabilities, projected future taxable income, and ongoing prudent and feasible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Note 12 — Income Taxes provides additional information regarding the Company’s income taxes.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Cash and cash equivalents includes cash and all highly liquid investments with original maturities of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or less, which are considered to be cash equivalents. The carrying value of cash equivalents approximates fair value due to the short-term maturity of such instruments. Investments with maturities of more than three months are classified as marketable securities. Interest earned is recorded in Interest income in the Consolidated Statements of Operations.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requires that amounts generally described as restricted cash and restricted cash equivalents be presented with cash and cash equivalents when reconciling the beginning-of-period and end-of-period total amounts presented on an entity’s statement of cash flows. Below is a table presenting the beginning-of-period and end-of-period cash amounts from the Company’s Consolidated Balance Sheets and the total cash amounts presented in the Consolidated Statements of Cash Flows (in thousands).</w:t>
      </w: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756,493</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classified in (1):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30"/>
        </w:trPr>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02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and cash equivalents and restricted cash per the Consolidated Statements of</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760,602</w:t>
            </w:r>
          </w:p>
        </w:tc>
        <w:tc>
          <w:tcPr>
            <w:tcW w:w="0" w:type="dxa"/>
            <w:vAlign w:val="bottom"/>
          </w:tcPr>
          <w:p>
            <w:pPr>
              <w:spacing w:after="0"/>
              <w:rPr>
                <w:sz w:val="1"/>
                <w:szCs w:val="1"/>
                <w:color w:val="auto"/>
              </w:rPr>
            </w:pPr>
          </w:p>
        </w:tc>
      </w:tr>
      <w:tr>
        <w:trPr>
          <w:trHeight w:val="236"/>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8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66"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consisted of an escrow account established in connection with one of the Company’s business acquisitions. Generally, such cash is restricted to use due to provisions contained in the underlying acquisition agreement. During the year ended December 31, 2024, the Company paid $0.6 million of restricted cash for deferred consideration related to a 2022 acquisition.</w:t>
      </w: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ASC 842 requires accounting for leases under a right-of-use model whereby a lessee must record a right-of-use asset and a related lease liability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balance sheet for most of its leases. Under ASC 842, leases are classified as either operating or finance arrangements, with such classification affecting the pattern of expense recognition in an entity’s income statement. For operating leases, ASC 842 requires recognition in an entity’s income statement of a single lease cost, calculated so that the cost of the lease is allocated over the lease term, generally on a straight-line basis. During the years ended December 31, 2024, 2023 and 2022, as a result and in consideration of the changing nature of the Company’s use of office space for its workforce and the transitioning to a hybrid work environment, the Company evaluated its existing real estate lease portfolio. As a result of the evaluation, the Company recognized impairment losses of $10.9 million, $20.4 million, and $54.0 million during the years ended December 31, 2024, 2023 and 2022, respectively. Note 7 — Leases provides additional information regarding the Company’s leases.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equipment and leasehold improvements. </w:t>
      </w:r>
      <w:r>
        <w:rPr>
          <w:rFonts w:ascii="Times New Roman" w:cs="Times New Roman" w:eastAsia="Times New Roman" w:hAnsi="Times New Roman"/>
          <w:sz w:val="18"/>
          <w:szCs w:val="18"/>
          <w:color w:val="auto"/>
        </w:rPr>
        <w:t>Equipment, leasehold improvements and other fixed assets owned by the Company are recorded at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accumulated depreciation and amortization. Fixed assets, other than leasehold improvements, are depreciated using the straight-line method over the estimated useful life of the underlying asset. Leasehold improvements are amortized using the straight-line method over the shorter of the estimated useful life of the improvement or the remaining term of the related lease. Depreciation and amortization expense for fixed assets was $112.1 million, $98.6 million and $93.4 million in 2024, 2023 and 2022, respectively. Property, equipment and leasehold improvements, net are presented in the table below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320,136</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83,551</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213,205</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616,892</w:t>
            </w: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(354,174)</w:t>
            </w:r>
          </w:p>
        </w:tc>
      </w:tr>
      <w:tr>
        <w:trPr>
          <w:trHeight w:val="22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262,718</w:t>
            </w:r>
          </w:p>
        </w:tc>
      </w:tr>
      <w:tr>
        <w:trPr>
          <w:trHeight w:val="21"/>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incurs costs to develop internal-use software used in its operations. Certain of those costs that meet the criteria in FASB ASC Topic 350, </w:t>
      </w:r>
      <w:r>
        <w:rPr>
          <w:rFonts w:ascii="Times New Roman" w:cs="Times New Roman" w:eastAsia="Times New Roman" w:hAnsi="Times New Roman"/>
          <w:sz w:val="18"/>
          <w:szCs w:val="18"/>
          <w:i w:val="1"/>
          <w:iCs w:val="1"/>
          <w:color w:val="auto"/>
        </w:rPr>
        <w:t xml:space="preserve">Intangibles - Goodwill and Other </w:t>
      </w:r>
      <w:r>
        <w:rPr>
          <w:rFonts w:ascii="Times New Roman" w:cs="Times New Roman" w:eastAsia="Times New Roman" w:hAnsi="Times New Roman"/>
          <w:sz w:val="18"/>
          <w:szCs w:val="18"/>
          <w:color w:val="auto"/>
        </w:rPr>
        <w:t>are capitalized and amortized over future periods. Net capitalized internal-use software development costs were $122.0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$105.2 million at December 31, 2024 and 2023, respectively, and are included in Computer equipment and software in the table above. Amortization expense for capitalized internal-use software development costs, which is included with Depreciation in the Consolidated Statements of Operations, totaled $60.1 million, $47.8 million and $39.6 million in 2024, 2023 and 2022, respectively.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the Company performs a quantitative impairment test. Evaluating the recoverability of goodwill requires judgments and assumptions regarding future trends and events. As a result, both the precision and reliability of management estimates are subject to uncertainty.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2024 that indicated no impairment. Subsequent to completing the 2024 annual impairment test, no events or changes in circumstances were noted that required an interim goodwill impairment test. Note 3 — Goodwill and Intangible Assets provides additional information regarding the Company’s goodwill.</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The Company has finite-lived intangible assets that are amortized using the straight-line method over the expected useful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underlying asset. Note 3 — Goodwill and Intangible Assets provides additional information regarding the Company’s finite-lived intangible assets.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The Company’s long-lived assets primarily consist of intangible assets other than goodwill, right-of-use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equipment and leasehold improvements. The Company reviews its long-lived asset groups for impairment whenever events or changes in circumstances indicate that the carrying amount of an asset or an asset group may not be recoverable. Such evaluation may be based on a number of factors, including current and projected operating results and cash flows, and changes in management’s strategic direction as well as external economic and market factors. The Company evaluates the recoverability of assets and asset groups by determining whether their carrying values can be recovered through undiscounted future operating cash flows. If events or circumstances indicate that the carrying values might not be recoverable based on undiscounted future operating cash flows, an impairment loss may be recognized. The amount of impairment is measured based on the difference between the projected discounted future operating cash flows, using a discount rate reflecting the Company’s average cost of funds, and the carrying value of the asset or asset group.</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The Company presents amounts borrowed in the Consolidated Balance Sheets, net of deferred financing fees. Interest accrued on amounts borrowed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recorded as Interest expense in the Consolidated Statements of Operations. Note 6 — Debt provides additional information regarding the Company’s debt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exposure. </w:t>
      </w:r>
      <w:r>
        <w:rPr>
          <w:rFonts w:ascii="Times New Roman" w:cs="Times New Roman" w:eastAsia="Times New Roman" w:hAnsi="Times New Roman"/>
          <w:sz w:val="18"/>
          <w:szCs w:val="18"/>
          <w:color w:val="auto"/>
        </w:rPr>
        <w:t>The functional currency of the Company’s foreign subsidiaries is typically the local currency. All assets and liabilities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subsidiaries are translated into U.S. dollars at exchange rates in effect at the balance sheet date. Income and expense items are translated at average exchange rates throughout the year. The resulting translation adjustments are recorded as foreign currency translation adjustments, a component of Accumulated other comprehensive loss, net within Stockholders’ Equity on the Consolidated Balance Sheets.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Currency transaction gains or losses arising from transactions denominated in currencies other than the functional currency of a subsidiary are recognized in results of operations as part of Other income, net in the Consolidated Statements of Operations. The Company had net currency transaction (losses) / gains of $(6.9) million, $(6.0) million and $25.6 million in 2024, 2023 and 2022, respectively. The Company enters into foreign currency forward exchange contracts to mitigate the effects of adverse fluctuations in foreign currency exchange rates on certain transactions. Those contracts generally have short durations and are recorded at fair value with both realized and unrealized gains and losses recorded in Other income, net. The net gain / (loss) from foreign currency forward exchange contracts was $2.5 million, $1.9 million and $(31.9) million in 2024, 2023 and 2022, respectively. Note 13 — Derivatives and Hedging provides additional information regarding the Company’s foreign currency forward exchange contracts.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disclosures. </w:t>
      </w:r>
      <w:r>
        <w:rPr>
          <w:rFonts w:ascii="Times New Roman" w:cs="Times New Roman" w:eastAsia="Times New Roman" w:hAnsi="Times New Roman"/>
          <w:sz w:val="18"/>
          <w:szCs w:val="18"/>
          <w:color w:val="auto"/>
        </w:rPr>
        <w:t>The Company has a limited number of assets and liabilities that are adjusted to fair value at each balance sheet date.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fair value disclosures are provided at Note 14 — Fair Value Disclosures.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Assets that may subject the Company to concentration of credit risk consist primarily of short-term, highly liquid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cash equivalents, fees receivable, contract assets, interest rate swaps and a pension reinsurance asset. The majority of the Company’s cash equivalent investments and its interest rate swap contracts are with investment grade commercial banks. Fees receivable and contract asset balances deemed to be collectible from customers have limited concentration of credit risk due to the Company’s diverse customer base and geographic dispersion. The Company’s pension reinsurance asset (see Note 15 — Employee Benefits) is maintained with a large international insurance company that was rated investment grade as of December 31, 2024 and 2023.</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programs. </w:t>
      </w:r>
      <w:r>
        <w:rPr>
          <w:rFonts w:ascii="Times New Roman" w:cs="Times New Roman" w:eastAsia="Times New Roman" w:hAnsi="Times New Roman"/>
          <w:sz w:val="18"/>
          <w:szCs w:val="18"/>
          <w:color w:val="auto"/>
        </w:rPr>
        <w:t>The Company records the cost to repurchase shares of its own common stock as treasury stock. Shares repurchased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are added to treasury shares and are not retired. Note 8 — Stockholders’ Equity provides additional information regarding the Company’s common stock repurchase activity.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 on event cancellation insurance claims. </w:t>
      </w:r>
      <w:r>
        <w:rPr>
          <w:rFonts w:ascii="Times New Roman" w:cs="Times New Roman" w:eastAsia="Times New Roman" w:hAnsi="Times New Roman"/>
          <w:sz w:val="18"/>
          <w:szCs w:val="18"/>
          <w:color w:val="auto"/>
        </w:rPr>
        <w:t>During the year ended December 31, 2024, the Company received $300.0 million in proceeds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agreement to resolve litigation concerning the Company's event cancellation insurance for 2020 and 2021. The settlement resolved all remaining 2020 and 2021 event cancellation insurance claims. The Company received $3.1 million in proceeds during the year ended December 31, 2023 related to 2020 conference cancellation insurance claims. The Company does not record any gain on insurance claims in excess of expenses incurred until the receipt of the insurance proceeds is deemed to be realizable.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w:t>
      </w:r>
      <w:r>
        <w:rPr>
          <w:rFonts w:ascii="Times New Roman" w:cs="Times New Roman" w:eastAsia="Times New Roman" w:hAnsi="Times New Roman"/>
          <w:sz w:val="18"/>
          <w:szCs w:val="18"/>
          <w:color w:val="auto"/>
        </w:rPr>
        <w:t>. The Company adopted the accounting standard described below during 2024.</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Improvements in Reportable Segment Disclosures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2023-07”). The amendments in the ASU are expected to improve disclosures about a public entity’s reportable segments and addresses requests from investors and other allocators of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requires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will be required to report segment information in accordance with the new guidance starting in annual periods beginning after December 15, 2023. The Company adopted ASU 2023-07 effective with the 2024 10-K and the adoption only impacted its disclosures with no impacts to the Company's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9" w:name="page50"/>
    <w:bookmarkEnd w:id="4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issued but not yet adopted. </w:t>
      </w:r>
      <w:r>
        <w:rPr>
          <w:rFonts w:ascii="Times New Roman" w:cs="Times New Roman" w:eastAsia="Times New Roman" w:hAnsi="Times New Roman"/>
          <w:sz w:val="18"/>
          <w:szCs w:val="18"/>
          <w:color w:val="auto"/>
        </w:rPr>
        <w:t>The FASB has issued accounting standards that have not yet become effective as of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impact the Company’s Consolidated Financial Statements or related disclosures in future periods. The standards and their potential impacts are discussed below.</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No. 2023-09”). The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or financial condition.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In November 2024, the FASB issued ASU 2024-03,</w:t>
      </w:r>
      <w:r>
        <w:rPr>
          <w:rFonts w:ascii="Times New Roman" w:cs="Times New Roman" w:eastAsia="Times New Roman" w:hAnsi="Times New Roman"/>
          <w:sz w:val="18"/>
          <w:szCs w:val="18"/>
          <w:i w:val="1"/>
          <w:iCs w:val="1"/>
          <w:color w:val="auto"/>
        </w:rPr>
        <w:t xml:space="preserve"> Income Statement-Reporting Comprehensive Income- Expense Disaggregation Disclosures </w:t>
      </w:r>
      <w:r>
        <w:rPr>
          <w:rFonts w:ascii="Times New Roman" w:cs="Times New Roman" w:eastAsia="Times New Roman" w:hAnsi="Times New Roman"/>
          <w:sz w:val="18"/>
          <w:szCs w:val="18"/>
          <w:color w:val="auto"/>
        </w:rPr>
        <w:t>(“ASU No. 2024-03”). The amendments in this ASU are expected to improve the disclosures about a public business entity’s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periods with fiscal years beginning after December 15, 2026, and interim periods in fiscal years beginning after December 15, 2027. The Company expects this ASU to only impact its disclosures with no impacts to the Company's results of operations, cash flows, or financial condition.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 and Divestiture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the Company acquired 100% of a formerly independent sales agent of Gartner research products in the Czech Republic for an aggregate purchase price of $7.9 million, including cash acquired and deferred consideration. During the year ended December 31, 2024, the Company paid $2.0 million of deferred consideration.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the Company acquired 100% of the outstanding capital stock of UpCity, Inc. (“UpCity”), a privately-held company based in Chicago, Illinois, for an aggregate purchase price of $6.4 million. UpCity’s online marketplace helps small businesses by connecting them to ratings and reviews of more than 50,000 B2B service providers.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the Company completed the sale of a non-core business, TalentNeuron, for approximately $161.1 million after consideration of post-close adjustments. The Company recorded a pre-tax gain of $135.4 million on the sale of TalentNeuron, which is included in Gain from sale of divested operation in the Consolidated Statement of Operations for the year ended December 31, 2023. TalentNeuron was included in the Company’s Research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Integration Charges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$1.0 million, $9.6 million and $9.1 million of Acquisition and integration charges during 2024, 2023 and 2022, respectively. Acquisition and integration charges reflect additional costs and expenses resulting from the Company’s acquisitions and divestitures and include, among other items, professional fees and personnel related expenses.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Note 3 — Goodwill and Intangible Assets</w:t>
      </w:r>
    </w:p>
    <w:p>
      <w:pPr>
        <w:spacing w:after="0" w:line="2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table below presents changes to the carrying amount of goodwill by segment during the two-year period ended December 31, 2024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2,930,211</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2,937,260</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 (1)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2,650,981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2,930,205</w:t>
            </w:r>
          </w:p>
        </w:tc>
      </w:tr>
      <w:tr>
        <w:trPr>
          <w:trHeight w:val="20"/>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3"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accumulated goodwill impairment losses.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 were due to the acquisition of an independent sales agent in September 2023. See Note 2 — Acquisitions and Divestiture for additional information.</w:t>
      </w:r>
    </w:p>
    <w:p>
      <w:pPr>
        <w:spacing w:after="0" w:line="20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Changes in finite-lived intangible assets during the two-year period ended December 31, 2024 are presented in the tables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(in thousands).</w:t>
      </w:r>
    </w:p>
    <w:tbl>
      <w:tblPr>
        <w:tblLayout w:type="fixed"/>
        <w:tblInd w:w="0" w:type="dxa"/>
        <w:tblCellMar>
          <w:top w:w="0" w:type="dxa"/>
          <w:left w:w="0" w:type="dxa"/>
          <w:bottom w:w="0" w:type="dxa"/>
          <w:right w:w="0" w:type="dxa"/>
        </w:tblCellMar>
      </w:tblPr>
      <w:tr>
        <w:trPr>
          <w:trHeight w:val="190"/>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line="190" w:lineRule="exact"/>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6"/>
                <w:szCs w:val="16"/>
                <w:color w:val="auto"/>
              </w:rPr>
            </w:pPr>
          </w:p>
        </w:tc>
        <w:tc>
          <w:tcPr>
            <w:tcW w:w="1600" w:type="dxa"/>
            <w:vAlign w:val="bottom"/>
            <w:gridSpan w:val="3"/>
          </w:tcPr>
          <w:p>
            <w:pPr>
              <w:jc w:val="center"/>
              <w:ind w:right="430"/>
              <w:spacing w:after="0" w:line="190"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6"/>
                <w:szCs w:val="16"/>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5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0"/>
                <w:szCs w:val="20"/>
                <w:color w:val="auto"/>
              </w:rPr>
            </w:pPr>
          </w:p>
        </w:tc>
        <w:tc>
          <w:tcPr>
            <w:tcW w:w="160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10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fully amortized</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1,071,917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1,082,117</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(672,428)</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409,689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40" w:type="dxa"/>
            <w:vAlign w:val="bottom"/>
          </w:tcPr>
          <w:p>
            <w:pPr>
              <w:spacing w:after="0"/>
              <w:rPr>
                <w:sz w:val="18"/>
                <w:szCs w:val="18"/>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8"/>
                <w:szCs w:val="18"/>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1,082,177</w:t>
            </w:r>
          </w:p>
        </w:tc>
        <w:tc>
          <w:tcPr>
            <w:tcW w:w="0" w:type="dxa"/>
            <w:vAlign w:val="bottom"/>
          </w:tcPr>
          <w:p>
            <w:pPr>
              <w:spacing w:after="0"/>
              <w:rPr>
                <w:sz w:val="1"/>
                <w:szCs w:val="1"/>
                <w:color w:val="auto"/>
              </w:rPr>
            </w:pPr>
          </w:p>
        </w:tc>
      </w:tr>
      <w:tr>
        <w:trPr>
          <w:trHeight w:val="230"/>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Additions due to an acquisition (1)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fully amortized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9"/>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Accumulated amortization (2)</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(580,937)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(596,625)</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496,246</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 were due to the acquisition of an independent sales agent in September 2023. See Note 2 — Acquisitions and Divestiture for additional information.</w:t>
      </w:r>
    </w:p>
    <w:p>
      <w:pPr>
        <w:ind w:left="340" w:right="20" w:hanging="332"/>
        <w:spacing w:after="0" w:line="26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Technology-related—3 to 7 years; and Other —4 to 11 years.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finite-lived intangible assets was $90.2 million, $92.5 million and $98.5 million in 2024, 2023 and 2022, respectively. The estimated future amortization expense by year for finite-lived intangible assets is presented in the table below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assets are summarized in the table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1517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Benefit plan-related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Accounts Payable and Accrued and Other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Accounts payable and accrued liabilities are summarized in the table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1517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Payroll and employee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Bonus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Commissions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7774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liabilities are summarized in the table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1517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deferred revenues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Benefit plan-related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7774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outstanding borrowings are summarized in the table below (in thousands).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60"/>
        <w:spacing w:after="0"/>
        <w:tabs>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81,066</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78,391</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77,783</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76,311</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76,233</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19,905</w:t>
      </w:r>
    </w:p>
    <w:p>
      <w:pPr>
        <w:spacing w:after="0" w:line="31" w:lineRule="exact"/>
        <w:rPr>
          <w:sz w:val="20"/>
          <w:szCs w:val="20"/>
          <w:color w:val="auto"/>
        </w:rPr>
      </w:pPr>
    </w:p>
    <w:p>
      <w:pPr>
        <w:jc w:val="both"/>
        <w:ind w:left="1560"/>
        <w:spacing w:after="0"/>
        <w:tabs>
          <w:tab w:leader="none" w:pos="2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409,689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43180</wp:posOffset>
            </wp:positionV>
            <wp:extent cx="9086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155,998</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124,298</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144,714</w:t>
            </w:r>
          </w:p>
        </w:tc>
      </w:t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70,276</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55,793</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63,139</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243,338</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279,482</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165,898</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72,181</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60,709</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98,493</w:t>
            </w:r>
          </w:p>
        </w:tc>
      </w:t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223,405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144,364</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1,127,604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33,490</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114,467</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157,033</w:t>
            </w:r>
          </w:p>
        </w:tc>
      </w:tr>
      <w:tr>
        <w:trPr>
          <w:trHeight w:val="230"/>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86,550</w:t>
            </w:r>
          </w:p>
        </w:tc>
      </w:t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23,924</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40" w:space="500"/>
            <w:col w:w="2980"/>
          </w:cols>
          <w:pgMar w:left="320" w:top="931" w:right="35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23"/>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credit facility (1), (2)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 Agreement -Term loan facility</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credit facility</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 (“2028 Notes”)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Senior Notes due 2029 (“2029 Notes”)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3.75% Senior Notes due 2030 (“2030 Notes”)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amount outstanding (4)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fees (5)</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r>
      <w:tr>
        <w:trPr>
          <w:trHeight w:val="223"/>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2,459,915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2,458,296</w:t>
            </w:r>
          </w:p>
        </w:tc>
      </w:tr>
      <w:tr>
        <w:trPr>
          <w:trHeight w:val="20"/>
        </w:trPr>
        <w:tc>
          <w:tcPr>
            <w:tcW w:w="4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3" w:lineRule="exact"/>
        <w:rPr>
          <w:sz w:val="20"/>
          <w:szCs w:val="20"/>
          <w:color w:val="auto"/>
        </w:rPr>
      </w:pPr>
    </w:p>
    <w:p>
      <w:pPr>
        <w:jc w:val="both"/>
        <w:ind w:left="340" w:hanging="332"/>
        <w:spacing w:after="0" w:line="257"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annualized interest rate as of December 31, 2024 on the 2024 Credit Agreement was 5.73%, which consisted of Term Secured Overnight Financing Rate (“SOFR”) of 4.375% plus a margin of 1.350%. However, the Company has an interest rate swap contracts that effectively converts the floating SOFR on outstanding amounts to a fixed base 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$0.7 billion of available borrowing capacity on the 2024 Credit Agreement revolver (not including the expansion feature) as of December 31, 2024.</w:t>
      </w:r>
    </w:p>
    <w:p>
      <w:pPr>
        <w:ind w:left="340" w:hanging="332"/>
        <w:spacing w:after="0" w:line="250"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State of Connecticut economic development loan originated in 2019 with a 10-year maturity and bears interest at a fixed rate of 1.75%. This loan may be repaid at any time by the Company without penalty.</w:t>
      </w:r>
    </w:p>
    <w:p>
      <w:pPr>
        <w:ind w:left="340" w:hanging="332"/>
        <w:spacing w:after="0" w:line="250"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2024, including the effects of its interest rate swaps discussed below, was 4.97%.</w:t>
      </w: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are being amortized to Interest expense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Agreement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2024, the Company entered into a Credit Agreement (the “2024 Credit Agreement”) among the Company, as borrower, the lenders party thereto and JPMorgan Chase Bank, N.A., as administrative agent (the “Administrative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December 31, 2024, the applicable all-in margin on the revolving facility was 1.350% (including the credit spread adjustment). The commitment fee payable on the unused portion of the facility is equal to between 0.125% and 0.25% based on utilization of the facility. The Company has also agreed to pay customary letter of credit fees.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Subsidiaries of the Company are not required to guarantee obligations under the facility, unless such subsidiaries guarantee indebtedness in excess of a threshold set out in the 2024 Credit Agreement, subject to certain limitations and exceptions.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customary events of default that include, among others, non-payment of principal, interest or fees, material inaccuracy of representations and warranties, violation of covenants, cross defaults to certain other indebtedness, bankruptcy and insolvency events, ERISA defaults, material judgments, and events constituting a change of control. The occurrence of an event of default allows the lenders to terminate their obligations to lend under the 2024 Credit Agreement and could result in the acceleration of the Company’s obligations under the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 redemption prices set forth in the 2029 Note Indenture, plus accrued and unpaid interest to, but excluding, the redemption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entering into the 2024 Credit Agreement, the Company had a credit facility that provided for a $400.0 million Term loan facility and a $1.0 billion Revolving credit facility (the “2020 Credit Agreement”). The 2020 Credit Agreement contained certain customary restrictive loan covenants, including, among others, financial covenants that applied a maximum consolidated leverage ratio and a minimum consolidated interest expense coverage ratio. On March 26, 2024, concurrently with the Company’s entry into the 2024 Credit Agreement, the Company terminated the 2020 Credit Agreement and repaid all amounts outstanding.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one fixed-for-floating interest rate swap contract with a total notional value of $350.0 million that matures in 2025. Under the amended agreement, the Company pays a base fixed rate of 2.98% and in return receives a floating Term SOFR base rate on 30-day notional borrowings.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the fair value of the interest rate swaps are recorded in Other income, net. The amounts previously recorded in Accumulated other comprehensive loss are amortized into Interest expense over the terms of the hedged forecasted interest payments. As of December 31, 2024, $13.2 million is remaining in Accumulated other comprehensive loss, net. See Note 13 — Derivatives and Hedging for the amounts remaining in Accumulated other comprehensive loss, net of tax effect, at December 31, 2024 and December 31, 2023.See Note 14 — Fair Value Disclosures for the determination of the fair values of Company’s interest rate swaps.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2025 and through 2038. These facilities support the Company’s executive and administrative activities, research and consulting, sales, systems support, operations, and other functions. The Company also has leases for office equipment and other assets, which are not significant. Certain of the Company’s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2025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 under ASC 842</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842, a lease is a contract or an agreement, or a part of another arrangement, between two or more parties that, at its inception, creates enforceable rights and obligations that conveys the right to control the use of identified property, plant or equipment for a period of time in exchange for consideration.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Right-of-use assets represent a right to use an underlying asset for the lease term and the related lease liability represents an obligation to make lease payments pursuant to the contractual terms of the lease agreement. Right-of-use assets and lease liabilities are initially recognized on the lease commencement date based on the present value of the lease payments over the lease term. For all of the Company’s facilities leases, the Company accounts for both lease components and nonlease components (e.g., common area maintenance charges, etc.) as a single lease component when determining the present value of the Company’s lease payments. Variable lease payments that are not dependent on an index or a rate are excluded from the determination of right-of-use assets and lease liabilities and such payments are recognized as expense in the period when the related obligation is incurred.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 agreements do not provide implicit interest rates. Instead, the Company uses an incremental borrowing rate determined on the lease commencement date to calculate the present value of future lease payments. The incremental borrowing rate is calculated for each individual lease and represents the rate of interest that the Company would have to pay to borrow on a collateralized basis (in the currency that the lease is denominated) over a similar term an amount equal to the lease payments in a similar economic environment. Right-of-use assets also include initial direct costs incurred by the Company and lease payments made to a lessor on or before the related lease commencement date, less any lease incentives received directly from the lessor.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facility lease agreements include options to extend or terminate the lease. When it is reasonably certain that the Company will exercise a renewal or termination option, the present value of the lease payments for the affected lease is adjusted accordingly. Leases with a term of twelve months or less are accounted for in the same manner as long-term lease arrangements, including any related disclosures. Lease expense for operating leases is generally recognized on a straight-line basis over the lease term, unless the related right-of-use asset was previously impaired.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All of the Company’s existing sublease arrangements have been classified as operating leases with sublease income recognized on a straight-line basis over the term of the sublease arrangement. To measure the Company’s periodic sublease income, the Company elected to use a practical expedient under ASC 842 to aggregate nonlease components with the related lease components when (i) the timing and pattern of transfer for the nonlease components and the related lease components are the same and (ii) the lease components, if accounted for separately, would be classified as an operating lease. This practical expedient applies to all of the Company’s existing sublease arrangements.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projected lease cost for the term of a sublease exceeds the anticipated sublease income for that same period, the Company treats that circumstance as an indicator that the carrying amount of the related right-of-use asset may not be fully recoverable. In those situations, the Company performs an impairment analysis and, if indicated, the Company records a charge against earnings to reduce the right-of-use asset to the amount deemed to be recoverable in the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Consolidated Balance Sheet, right-of-use assets are classified and reported in Operating lease right-of-use assets, and the related lease liabilities are included in Accounts payable and accrued liabilities (current) and Operating lease liabilities (long-term). On the Consolidated Statement of Cash Flows, the reduction in the carrying amount of right-of-use assets is presented separately and the change in operating lease liabilities is included under Accounts payable and accrued and other liabilities in the reconciliation of net income to cash provided by operating activities.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of the Company’s leasing and subleasing activities are recognized in Selling, general and administrative expense in the Consolidated Statements of Operations. The table below presents the Company’s net lease cost and certain other information related to the Company’s leasing activities as of and for the years ended December 31, 2024, 2023 and 2022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Pr>
          <w:p>
            <w:pPr>
              <w:spacing w:after="0"/>
              <w:rPr>
                <w:sz w:val="19"/>
                <w:szCs w:val="19"/>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 (1)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112,948</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117,750</w:t>
            </w:r>
          </w:p>
        </w:tc>
      </w:tr>
      <w:tr>
        <w:trPr>
          <w:trHeight w:val="230"/>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Variable lease cost (2)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22,254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15,209</w:t>
            </w:r>
          </w:p>
        </w:tc>
      </w:tr>
      <w:tr>
        <w:trPr>
          <w:trHeight w:val="229"/>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(48,698)</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(53,377)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(46,698)</w:t>
            </w:r>
          </w:p>
        </w:tc>
      </w:tr>
      <w:tr>
        <w:trPr>
          <w:trHeight w:val="223"/>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lease cost, net (3) (4)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77,195</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81,825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86,261</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5"/>
        </w:trPr>
        <w:tc>
          <w:tcPr>
            <w:tcW w:w="6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76"/>
        </w:trPr>
        <w:tc>
          <w:tcPr>
            <w:tcW w:w="66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147,672</w:t>
            </w:r>
          </w:p>
        </w:tc>
        <w:tc>
          <w:tcPr>
            <w:tcW w:w="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145,226</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137,399</w:t>
            </w:r>
          </w:p>
        </w:tc>
      </w:tr>
      <w:tr>
        <w:trPr>
          <w:trHeight w:val="230"/>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46,245</w:t>
            </w:r>
          </w:p>
        </w:tc>
        <w:tc>
          <w:tcPr>
            <w:tcW w:w="6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51,968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46,159</w:t>
            </w:r>
          </w:p>
        </w:tc>
      </w:tr>
      <w:tr>
        <w:trPr>
          <w:trHeight w:val="229"/>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12,715</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20,597</w:t>
            </w:r>
          </w:p>
        </w:tc>
      </w:tr>
      <w:tr>
        <w:trPr>
          <w:trHeight w:val="270"/>
        </w:trPr>
        <w:tc>
          <w:tcPr>
            <w:tcW w:w="6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14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6.4 %</w:t>
            </w:r>
          </w:p>
        </w:tc>
        <w:tc>
          <w:tcPr>
            <w:tcW w:w="140" w:type="dxa"/>
            <w:vAlign w:val="bottom"/>
          </w:tcPr>
          <w:p>
            <w:pPr>
              <w:spacing w:after="0"/>
              <w:rPr>
                <w:sz w:val="20"/>
                <w:szCs w:val="20"/>
                <w:color w:val="auto"/>
              </w:rPr>
            </w:pPr>
          </w:p>
        </w:tc>
        <w:tc>
          <w:tcPr>
            <w:tcW w:w="14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6.6 %</w:t>
            </w:r>
          </w:p>
        </w:tc>
        <w:tc>
          <w:tcPr>
            <w:tcW w:w="140" w:type="dxa"/>
            <w:vAlign w:val="bottom"/>
          </w:tcPr>
          <w:p>
            <w:pPr>
              <w:spacing w:after="0"/>
              <w:rPr>
                <w:sz w:val="20"/>
                <w:szCs w:val="20"/>
                <w:color w:val="auto"/>
              </w:rPr>
            </w:pPr>
          </w:p>
        </w:tc>
        <w:tc>
          <w:tcPr>
            <w:tcW w:w="14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7774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27" w:lineRule="exact"/>
        <w:rPr>
          <w:sz w:val="20"/>
          <w:szCs w:val="20"/>
          <w:color w:val="auto"/>
        </w:rPr>
      </w:pPr>
    </w:p>
    <w:p>
      <w:pPr>
        <w:ind w:left="340" w:hanging="332"/>
        <w:spacing w:after="0" w:line="261"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$36.4 million, $43.1 million and $41.9 million of costs for subleasing activities during 2024, 2023, and 2022 respectively.</w:t>
      </w:r>
    </w:p>
    <w:p>
      <w:pPr>
        <w:ind w:left="340" w:right="2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were not fixed at the lease commencement date or are dependent on something other than an index or a rate.</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initial direct costs for operating leases during 2024, 2023, or 2022.</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impairment charges of $10.9 million, $20.4 million, and $54.0 million for the years ended December 31, 2024, 2023, and 2022 respectively, as discussed below.</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 (i) maturities of operating lease liabilities under non-cancelable arrangements and (ii) estimated future sublease cash receipts from non-cancelable arrangements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Sublease</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0" w:type="dxa"/>
            <w:vAlign w:val="bottom"/>
          </w:tcPr>
          <w:p>
            <w:pPr>
              <w:spacing w:after="0"/>
              <w:rPr>
                <w:sz w:val="1"/>
                <w:szCs w:val="1"/>
                <w:color w:val="auto"/>
              </w:rPr>
            </w:pPr>
          </w:p>
        </w:tc>
      </w:tr>
      <w:tr>
        <w:trPr>
          <w:trHeight w:val="23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ending December 31,</w:t>
            </w:r>
          </w:p>
        </w:tc>
        <w:tc>
          <w:tcPr>
            <w:tcW w:w="22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Receipts</w:t>
            </w: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45,110</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operating lease payments and estimated sublease cash receipts (1)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527,374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(87,283)</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tcBorders>
              <w:bottom w:val="single" w:sz="8" w:color="CCEEFF"/>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per the Consolidated Balance Sheet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Approximately 77% of the operating lease payments pertain to properties in the United States.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Consolidated Balance Sheet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19"/>
                <w:szCs w:val="19"/>
                <w:color w:val="auto"/>
              </w:rPr>
            </w:pPr>
          </w:p>
        </w:tc>
      </w:tr>
      <w:tr>
        <w:trPr>
          <w:trHeight w:val="23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513,406</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per the Consolidated Balance Sheet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additional operating leases for facilities that have not yet commenced. These operating leases, which aggregated $1.3 million of undiscounted lease payments, are scheduled to commence during 2025 with lease terms of up to 5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and in consideration of the changing nature of the Company’s use of office space, the Company continues to evaluate its existing real estate lease portfolio. In connection with this evaluation, the Company reviewed certain of its right-of-use assets and related other long-lived assets for impairment under ASC 360.</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evaluation, the Company recognized impairment losses of $10.9 million, $20.4 million and $54.0 million during the years ended December 31, 2024, 2023, and 2022, respectively, which are included as a component of Selling, general and administrative expenses in the accompanying Consolidated Statements of Operations. The impairment loss for the year ended December 31, 2024 includes $10.3 million related to other long-lived assets, primarily leasehold improvements, as well as $56.7 million related to right-of-use assets partially offset by a $56.1 million reduction in lease liabilities. During the fourth quarter of 2024, the Company entered into an amended lease agreement to significantly reduce the square footage and reduce future lease payments at one of its leased locations. The Company made an installment payment of $24.0 million during the fourth quarter of 2024, and will make an equal installment payment during the second quarter of 2025 in consideration for the lease amendment.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impairment loss for the year ended December 31, 2023 includes $14.7 million related to right-of-use assets and $5.7 million related to other long-lived assets, primarily leasehold improvements. The impairment loss for the year ended December 31, 2022 includes $40.7 million related to right-of-use assets and $13.3 million related to other long-lived assets, primarily leasehold improvements.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for the asset groups relating to the impaired long-lived assets were estimated primarily using discounted cash flow models (income approach) with Level 3 inputs. The significant assumptions used in estimating fair value include the expected downtime prior to the commencement of future subleases, projected sublease income over the remaining lease periods and discount rates that reflect the level of risk associated with receiving future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Holders of Gartner’s common stock, par value $0.0005 per share, are entitled to one vote per share on all matters to be voted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Company does not currently pay cash dividends on its common stock. Also, the 2024</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jc w:val="both"/>
        <w:spacing w:after="0" w:line="271" w:lineRule="auto"/>
        <w:rPr>
          <w:sz w:val="20"/>
          <w:szCs w:val="20"/>
          <w:color w:val="auto"/>
        </w:rPr>
      </w:pPr>
      <w:r>
        <w:rPr>
          <w:rFonts w:ascii="Times New Roman" w:cs="Times New Roman" w:eastAsia="Times New Roman" w:hAnsi="Times New Roman"/>
          <w:sz w:val="18"/>
          <w:szCs w:val="18"/>
          <w:color w:val="auto"/>
        </w:rPr>
        <w:t>Credit Agreement contains a negative covenant that may limit the Company’s ability to pay dividends. The table below summarizes transactions relating to the Company’s common stock for the three years ended December 31, 2024.</w:t>
      </w: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4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81,205,504</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(599,081)</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3,822,090</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84,428,513</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(975,745)</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1,811,758</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85,264,526</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(666,193)</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for treasury (1)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1,623,881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163,602,067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86,222,214</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used a total of $735.4 million, $606.2 million and $1.0 billion in cash for share repurchases during 2024, 2023 and 2022, respectively.</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repurchase authorization. </w:t>
      </w:r>
      <w:r>
        <w:rPr>
          <w:rFonts w:ascii="Times New Roman" w:cs="Times New Roman" w:eastAsia="Times New Roman" w:hAnsi="Times New Roman"/>
          <w:sz w:val="18"/>
          <w:szCs w:val="18"/>
          <w:color w:val="auto"/>
        </w:rPr>
        <w:t>In 2015, the Company’s Board of Directors (the “Board”) authorized a share repurchase program to repurchase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billion of the Company’s common stock. From February 2021 to July 2024, the Board authorized incremental share repurchases of up to an aggregate additional $4.1 billion of the Company’s common stock. $953.8 million remained available as of December 31, 2024.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net (“AOCI/L”)</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AOCI/L by component and the related amounts reclassified out of AOCI/L to income during the years indicated (net of tax, in thousands)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6"/>
                <w:szCs w:val="16"/>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(76,331)</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year:</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AOCI/L before reclassifications to income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(26,566)</w:t>
            </w:r>
          </w:p>
        </w:tc>
        <w:tc>
          <w:tcPr>
            <w:tcW w:w="0" w:type="dxa"/>
            <w:vAlign w:val="bottom"/>
          </w:tcPr>
          <w:p>
            <w:pPr>
              <w:spacing w:after="0"/>
              <w:rPr>
                <w:sz w:val="1"/>
                <w:szCs w:val="1"/>
                <w:color w:val="auto"/>
              </w:rPr>
            </w:pPr>
          </w:p>
        </w:tc>
      </w:tr>
      <w:tr>
        <w:trPr>
          <w:trHeight w:val="230"/>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Reclassifications from AOCI/L to income (2), (3)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14,564</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for the year</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(12,002)</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7"/>
              </w:rPr>
              <w:t>(88,333)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8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year:</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AOCI/L before reclassifications to income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Reclassifications from AOCI/L to income (2), (3)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for the year</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million and $20.1 million of the reclassifications related to interest rate swaps (cash flow hedges) were recorded in Interest expense for the year ended December 31, 2024 and 2023, respectively. See Note 6 — Debt and Note 13 — Derivatives and Hedging for information regarding the cash flow hedges.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primarily recorded in Selling, general and administrative expense, net of tax effect. See Note 15 — Employee Benefits for information regarding the Company’s defined benefit pension plans.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existing losses on the Company’s interest rate swaps that are reported in Accumulated other comprehensive loss, net at December 31, 2024 that is expected to be reclassified into earnings within the next 12 months is $9.8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and Related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Gartner delivers its products and services globally through three business segments – Research, Conferences and Consulting, as described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equips executives and their teams from every function and across all industries with actionable, objective insight, guidance and tools. Our experienced experts deliver all this value informed by a combination of practitioner-sourced and data-driven research to help our clients address their mission critical priorities.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revenues are mainly derived from subscription contracts for research products, representing approximately 94% of the segment’s revenue. The related revenues are deferred and recognized ratably over the applicable contract term (i.e., as services are provided over the contract period). Fees derived from assisting organizations in selecting the right business software for their needs are recognized at a point in time (i.e., when the lead is provided to the vendor).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subscription contracts for research products that generally are for twelve-month periods or longer. Approximately 80% to 85% of the Company’s annual and multi-year Research subscription contracts provide for billing of the first full service period upon signing. In subsequent years, multi-year subscription contracts are normally billed prior to the contract’s anniversary date. Other Research subscription contracts are usually invoiced in advance, commencing with the contract signing, on (i) a quarterly, monthly or other recurring basis or (ii) in accordance with a customized invoicing schedule. Research contracts are generally non-cancelable and non-refundable, except for government contracts that may have cancellation or fiscal funding clauses, which have not historically resulted in material cancellations. It is the Company’s policy to record the amount of a subscription contract that is billable as a fee receivable at the time the contract is signed with a corresponding amount as deferred revenue because the contract represents a legally enforceable claim.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Conferences 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9" w:name="page60"/>
    <w:bookmarkEnd w:id="59"/>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earns revenues from both the attendees and exhibitors at Gartner conferences and meetings. Attendees are generally invoiced for the full attendance fee upon their completion of an online registration form or their signing of a contract, while exhibitors typically make several individual payments commencing with the signing of a contract. Almost all of the invoiced amounts are collected in advance of the related activity, resulting in the recording of deferred revenue. Both the attendee and exhibitor revenues are recognized as the related performance obligations are satisfied (i.e., when the related conference is held).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defers certain costs directly related to specific conferences and meetings and expenses those costs in the period during which the related activity occurs. The Company’s policy is to defer only those costs that are incremental and directly attributable to a specific activity, primarily prepaid site and production services costs. Other costs of organizing and producing conference activities, primarily Company personnel and non-conference specific expenses, are expensed in the period incurred.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Consulting 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Consulting revenues, primarily derived from custom consulting and measurement services, are principally generated from fixed fee or time and materials engagements. Revenues from fixed fee engagements are recognized as the Company works to satisfy its performance obligations, while revenues from time and materials engagements are recognized as work is delivered and/or services are provided. In both of these circumstances, performance obligations are satisfied and control of the services is passed to customers over time (i.e., during the duration of the contract or consulting engagement). On a contract-by-contract basis, the Company typically uses actual labor hours incurred compared to total expected labor hours to measure the Company’s performance in respect of fixed fee engagements. If labor and other costs on an individual contract are expected to exceed the total contract value or the contract’s funded ceiling amount, the Company reflects an adjustment to the contract’s overall profitability in the period determined. Revenues related to contract optimization engagements are contingent in nature and are only recognized at the point in time when all of the conditions related to their payment have been satisfied.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customers are invoiced based on the specific terms and conditions in their underlying contracts. They are typically invoiced after the Company has satisfied some or all of the related performance obligations and the related revenue has been recognized. The Company records fees receivable for amounts that are billed or billable. Contract assets are also recorded representing amounts for which the Company has recognized revenue but lacks the unconditional right to payment as of the balance sheet date due to the required continued performance under the relevant contract, progress billing milestones or other billing-related restrictions.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Disaggregated revenue by reportable segment is presented in the tables below for the years indicated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By Primary Geographic Market (1)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80"/>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3,319,879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343,840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4,017,730</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1,209,660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165,306</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1,517,815</w:t>
            </w: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596,111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63,907</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731,866</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5,125,650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558,537</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6,267,411</w:t>
            </w:r>
          </w:p>
        </w:tc>
      </w:tr>
      <w:tr>
        <w:trPr>
          <w:trHeight w:val="20"/>
        </w:trPr>
        <w:tc>
          <w:tcPr>
            <w:tcW w:w="2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6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Conferences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3,275,866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3,911,042</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1,060,959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1,332,070</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550,221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663,844</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300,121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3,619,382</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1,017,860</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1,234,659</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530,835</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621,805</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auto"/>
            </w:tcBorders>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Company’s revenue by geographic location. Accordingly, revenue information presented in the above tables is based on internal allocations, which involve certain management estimates and judgments.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9"/>
              </w:rPr>
              <w:t>By Timing of Revenue Recognition</w:t>
            </w:r>
          </w:p>
        </w:tc>
        <w:tc>
          <w:tcPr>
            <w:tcW w:w="35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4,820,943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420,160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5,241,103</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304,707</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583,224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138,377</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1,026,308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5,125,650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558,537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6,267,411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4,506,621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4,906,792</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380,425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1,000,164</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0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4,560,809</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422,044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915,037</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61"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were recognized in connection with performance obligations that were satisfied over time using a time-elapsed output method to measure progress. Consulting revenues were recognized over time using labor hours as an input measurement basis.</w:t>
      </w:r>
    </w:p>
    <w:p>
      <w:pPr>
        <w:ind w:left="340" w:hanging="332"/>
        <w:spacing w:after="0" w:line="260"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were recognized in connection with performance obligations that were satisfied at the point in time that the contractual deliverables were provided to the customer.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Determining a measure of progress for performance obligations that are satisfied over time and when control transfers for performance obligations that are satisfied at a point in time requires management to make judgments that affect the timing of revenue recognition. A key factor in this determination is when the customer can direct the use of, and can obtain substantially all of the benefits from, the deliverable.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performance obligations recognized in accordance with a time-elapsed output method, the Company’s efforts are expended consistently throughout the contractual period and the Company transfers control evenly by providing stand-ready services. For performance obligations satisfied under Consulting fixed fee or time and materials engagements, the Company believes that labor hours are the best measure of depicting the Company’s progress because labor output corresponds directly to the value of the Company’s performance to date as control is transferred.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customer contracts that are greater than one year in duration, the aggregate amount of the transaction price allocated to performance obligations that are unsatisfied (or partially unsatisfied) as of December 31, 2024 was approximately $6.4 billion. The Company expects to recognize $3.7 billion, $2.1 billion and $600.0 million of this revenue (most of which pertains to Research) during the year ending December 31, 2025, the year ending December 31, 2026 and thereafter, respectively. The Company applies a practical expedient allowed in ASC 606 and, accordingly, it does not disclose such performance obligation information for customer contracts that have original durations of one year or less. The Company’s performance obligations for contracts meeting this ASC 606 disclosure exclusion primarily include: (i) stand-ready services under Research subscription contracts; (ii) holding conferences and meetings where attendees and exhibitors can participate; and (iii) providing customized Consulting solutions for clients under fixed fee or time and materials engagements. The remaining duration of these performance obligations is generally less than one year, which aligns with the period that the parties have enforceable rights and obligations under the affected contracts.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Assets and Liabilities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payment terms and conditions in the Company’s customer contracts vary. In some cases, customers prepay and, in other cases, after the Company conducts a credit evaluation, payment may be due in arrears. Because the timing of the Company’s service delivery typically differs from the timing of customer payments, the Company recognizes either a contract asset (the Company performs either fully or partially under the contract but a contingency remains) or a contract liability (upfront customer payments precede the Company’s performance, resulting in deferred revenue). Amounts recorded as contract assets are reclassified to fees receivable when all of the outstanding conditions have been resolved and the Company’s right to payment becomes unconditional. Contracts with payments due in arrears are also recognized as fees receivable. As contractual performance obligations are satisfied, the Company correspondingly relieves its contract liabilities and records the associated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certain of the Company’s balance sheet accounts that pertain to its contracts with customers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Fees receivable, gross (1)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1,704,725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1,610,228</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recorded in Prepaid expenses and other current assets (2)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(current liability) (3)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2,762,927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revenues recorded in Other liabilities (3)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2,790,316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2,674,005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of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w:t>
      </w:r>
    </w:p>
    <w:p>
      <w:pPr>
        <w:ind w:left="340" w:right="20" w:hanging="332"/>
        <w:spacing w:after="0" w:line="260"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$2.3 billion, $2.0 billion and $1.9 billion during 2024, 2023 and 2022 respectively, which was attributable to deferred revenues that were recorded at the beginning of each such year. Those amounts primarily consisted of (i) Research revenues and (ii) Conferences revenues pertaining to conferences and meetings that occurred during the reporting periods. During 2024, 2023 and 2022, the Company did not record any material impairments related to its contract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Obtaining and Fulfilling a Customer Contract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the Company concludes that a liability should be recognized for the costs of obtaining a customer contract and determines how such liability should be measured, certain commissions are capitalized as a recoverable direct incremental cost of obtaining the underlying contract. No other amounts are capitalized as a cost of obtaining or fulfilling a customer contract because no expenditures have been identified that meet the requisite capitalization criteria. For Research and Consulting, the Company amortizes deferred commissions on a systematic basis that aligns with the transfer to customers of the services to which the commissions relate. For Conferences, deferred commissions are expensed during the period when the related conference or meeting occurs.</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2024, 2023 and 2022, deferred commission amortization expense was $574.3 million, $550.5 million and $562.1 million, respectively, and was included in Selling, general and administrative expense in the Consolidated Statements of Operations. The Company classifies Deferred commissions as a current asset on the Consolidated Balance Sheets at both December 31, 2024 and 2023 because those costs were, or will be, amortized over the twelve months following the respective balance sheet 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December 31, 2024, the Company had 5.6 million shares of its common stock, par value $0.0005 per share, (the “Common Stock”) available for stock-based compensation awards under its Long-Term Incentive Plan as amended and restated in June 2023 (the “Plan”). Currently, the Company issues treasury shares upon the exercise, release or settlement of stock-based compensation awards.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stock-based compensation awards requires the use of certain subjective assumptions, including the expected life of a stock-based compensation award and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years ended December 31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jc w:val="both"/>
        <w:ind w:left="340" w:hanging="332"/>
        <w:spacing w:after="0" w:line="266"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changed its retirement eligibility provisions for certain stock-based compensation awards in 2023. Includes charges of $71.4 million, $55.5 million and $32.2 million during 2024, 2023 and 2022, respectively, for awards to retirement-eligible employees. Those awards vest on an accelerated basis.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$154.8 million of total unrecognized stock-based compensation cost, which is expected to be expensed over the remaining weighted average service period of approximately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Awards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disclosures presented below provide information regarding the Company’s stock-based compensation awards, all of which have been classified as equity awards in accordance with FASB ASC Topic 505.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Stock-settled stock appreciation rights (“SARs”) permit the holder to participate in the appreciation of the value of the Common Stock. After the applicable vesting criteria have been satisfied, SARs are settled in shares of Common Stock upon exercise by the employee. SARs vest ratably over a four-year service period and expire seven years from the date of grant. The fair value of a SARs award is recognized as compensation expense on a straight-line basis over four years. SARs have only been awarded to the Company’s executive officers.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SARs are exercised, the number of shares of Common Stock issued is calculated as follows: (1) the total proceeds from the exercise of the SARs award (calculated as the closing price of the Common Stock as reported on the New York Stock Exchange on the date of exercise less the exercise price of the SARs award, multiplied by the number of SARs exercised) is divided by (2) the closing price of the Common Stock on the date of exercise. Upon exercise, the Company withholds a portion of the shares of the Common Stock to satisfy statutory tax withholding requirements. SARs recipients do not have any stockholder rights until the shares of Common Stock are issued in respect of the award, which is subject to the prior satisfaction of the vesting and other criteria relating to such grants.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SARs outstanding during the year ended 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SARs</w:t>
            </w:r>
          </w:p>
        </w:tc>
        <w:tc>
          <w:tcPr>
            <w:tcW w:w="18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top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 (1) (2)</w:t>
            </w:r>
          </w:p>
        </w:tc>
        <w:tc>
          <w:tcPr>
            <w:tcW w:w="152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2024 (2)</w:t>
            </w:r>
          </w:p>
        </w:tc>
        <w:tc>
          <w:tcPr>
            <w:tcW w:w="152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27" w:lineRule="exact"/>
        <w:rPr>
          <w:sz w:val="20"/>
          <w:szCs w:val="20"/>
          <w:color w:val="auto"/>
        </w:rPr>
      </w:pPr>
    </w:p>
    <w:p>
      <w:pPr>
        <w:ind w:left="340" w:right="20" w:hanging="332"/>
        <w:spacing w:after="0" w:line="25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0.2 million of the total SARs outstanding were unvested. The Company expects that substantially all of those unvested awards will vest in future periods.</w:t>
      </w:r>
    </w:p>
    <w:p>
      <w:pPr>
        <w:ind w:left="340" w:hanging="332"/>
        <w:spacing w:after="0" w:line="26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total SARs outstanding had an intrinsic value of $80.1 million. On such date, SARs vested and exercisable had an intrinsic value of $48.0 million.</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fair value of a SARs award is determined on the date of grant using the Black-Scholes-Merton valuation model with the following weighted average assumptions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3"/>
          </w:tcPr>
          <w:p>
            <w:pPr>
              <w:ind w:left="70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(1)</w:t>
            </w: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 (2)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4"/>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life in years (4)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171"/>
        </w:trPr>
        <w:tc>
          <w:tcPr>
            <w:tcW w:w="43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ind w:left="340" w:right="20" w:hanging="332"/>
        <w:spacing w:after="0" w:line="261"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assumption was based on both the Company’s historical and anticipated dividend payouts. Historically, the Company has not paid cash dividends on its Common Stock.</w:t>
      </w:r>
    </w:p>
    <w:p>
      <w:pPr>
        <w:ind w:left="340" w:hanging="332"/>
        <w:spacing w:after="0" w:line="250"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expected stock price volatility was based on both historical Common Stock prices and implied volatility from publicly traded options in the Common Stock.</w:t>
      </w: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was based on the yield of a U.S. Treasury security with a maturity similar to the expected life of the award.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represents the Company’s estimate of the weighted average period of time the SARs are expected to be outstanding (that is, the period between the service inception date and the expected exercise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units (“RSUs”) give the awardee the right to receive shares of Common Stock when the vesting conditions are met and certain restrictions lapse. Each RSU that vests entitles the awardee to one share of Common Stock. RSU awardees do not have any of the rights of a Gartner stockholder, including voting rights and the right to receive dividends and distributions, until the shares are released. The fair value of an RSU award is determined on the date of grant based on the closing price of the Common Stock as reported on the New York Stock Exchange on that date. Service-based RSUs vest ratably over four years and are expensed on a straight-line basis over the vesting period. Performance-based RSUs are subject to the satisfaction of both performance and service conditions, vest ratably over four years and are expensed on an accelerated basis over the vesting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RSUs outstanding during the year ended 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jc w:val="center"/>
              <w:ind w:right="2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RSUs</w:t>
            </w:r>
          </w:p>
        </w:tc>
        <w:tc>
          <w:tcPr>
            <w:tcW w:w="360" w:type="dxa"/>
            <w:vAlign w:val="bottom"/>
          </w:tcPr>
          <w:p>
            <w:pPr>
              <w:spacing w:after="0"/>
              <w:rPr>
                <w:sz w:val="16"/>
                <w:szCs w:val="16"/>
                <w:color w:val="auto"/>
              </w:rPr>
            </w:pPr>
          </w:p>
        </w:tc>
        <w:tc>
          <w:tcPr>
            <w:tcW w:w="174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1"/>
        </w:trPr>
        <w:tc>
          <w:tcPr>
            <w:tcW w:w="4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17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5"/>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60" w:type="dxa"/>
            <w:vAlign w:val="bottom"/>
            <w:tcBorders>
              <w:top w:val="single" w:sz="8" w:color="auto"/>
            </w:tcBorders>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(1)</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452.75</w:t>
            </w:r>
          </w:p>
        </w:tc>
        <w:tc>
          <w:tcPr>
            <w:tcW w:w="0" w:type="dxa"/>
            <w:vAlign w:val="bottom"/>
          </w:tcPr>
          <w:p>
            <w:pPr>
              <w:spacing w:after="0"/>
              <w:rPr>
                <w:sz w:val="1"/>
                <w:szCs w:val="1"/>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760" w:type="dxa"/>
            <w:vAlign w:val="bottom"/>
            <w:tcBorders>
              <w:bottom w:val="single" w:sz="8" w:color="auto"/>
            </w:tcBorders>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0" w:type="dxa"/>
            <w:vAlign w:val="bottom"/>
          </w:tcPr>
          <w:p>
            <w:pPr>
              <w:spacing w:after="0"/>
              <w:rPr>
                <w:sz w:val="1"/>
                <w:szCs w:val="1"/>
                <w:color w:val="auto"/>
              </w:rPr>
            </w:pP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 (2) (3)</w:t>
            </w:r>
          </w:p>
        </w:tc>
        <w:tc>
          <w:tcPr>
            <w:tcW w:w="176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3"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0.4 million of RSUs granted during 2024 consisted of 0.1 million of performance-based RSUs awarded to executives and 0.3 million of service-based RSUs awarded to non-executive employees and non-management board members. The performance-based awards include RSUs in final adjustments of 2023 grants and approximately 0.1 million of RSUs representing the target amount of the grant for 2024 that is tied to an increase in Gartner’s contract value for such year. The number of performance-based RSUs for 2024 that holders could receive ranges from 0% to 200% of the target amount based on the extent to which the corresponding performance goals have been achieved and subject to certain other conditions. Any adjustments in the number of performance-based RSUs under the 2024 grant will be made in 2025.</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that substantially all of the RSUs outstanding will vest in future periods.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weighted average remaining contractual term of the RSUs outstanding was approximately 1.1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Equivalents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equivalents (“CSEs”) are convertible into Common Stock. Each CSE entitles the holder to one share of Common Stock. Members of the Company’s Board of Directors receive their directors’ fees in CSEs unless they opt to receive up to 50% of those fees in cash. Generally, CSEs have no defined term and are converted into shares of Common Stock when service as a director terminates unless the director has elected an accelerated release. The fair value of a CSE award is determined on the date of grant based on the closing price of the Common Stock as reported on the New York Stock Exchange on that date. CSEs vest immediately and, as a result, they are recorded as expense on the date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CSEs outstanding during the year ended December 31,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16"/>
                <w:szCs w:val="16"/>
                <w:color w:val="auto"/>
              </w:rPr>
            </w:pPr>
          </w:p>
        </w:tc>
        <w:tc>
          <w:tcPr>
            <w:tcW w:w="18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Units of CSEs</w:t>
            </w:r>
          </w:p>
        </w:tc>
        <w:tc>
          <w:tcPr>
            <w:tcW w:w="240" w:type="dxa"/>
            <w:vAlign w:val="bottom"/>
          </w:tcPr>
          <w:p>
            <w:pPr>
              <w:spacing w:after="0"/>
              <w:rPr>
                <w:sz w:val="16"/>
                <w:szCs w:val="16"/>
                <w:color w:val="auto"/>
              </w:rPr>
            </w:pPr>
          </w:p>
        </w:tc>
        <w:tc>
          <w:tcPr>
            <w:tcW w:w="18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 to shares of Common Stock upon grant and termination</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 Plan”) wherein eligible employees are permitted to purchase shares of Common Stock through payroll deductions, which may not exceed 10% of an employee’s compensation, or $23,750 in any calendar year, at a price equal to 95% of the closing price of the Common Stock as reported on the New York Stock Exchange at the end of each offering period. As of December 31, 2024, the Company had 3.1 million shares available for purchase under the ESP Plan. The ESP Plan is considered non-compensatory under FASB ASC Topic 718 and, as a result, the Company does not record stock-based compensation expense for employee share purchases. The Company received $28.2 million, $25.1 million and $22.2 million in cash from employee share purchases under the ESP Plan during 2024, 2023 and 2022,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Computation of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years ended December 31 (in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807,799</w:t>
            </w: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 share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80,178</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outstanding awards associated with stock-based compensation plans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81,067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Income per share </w:t>
            </w: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76" w:lineRule="exact"/>
        <w:rPr>
          <w:sz w:val="20"/>
          <w:szCs w:val="20"/>
          <w:color w:val="auto"/>
        </w:rPr>
      </w:pPr>
    </w:p>
    <w:p>
      <w:pPr>
        <w:ind w:left="340" w:hanging="332"/>
        <w:spacing w:after="0" w:line="282"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basic and diluted income per share for 2024 included a tax benefit of approximately $2.08 per share related to intercompany sales of certain intellectual property (see Note 12 — Income Taxes).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number of outstanding awards associated with stock-based compensation plans that were not included in the computations of diluted income per share in the above table because the effect would have been anti-dilutive. During years with net income, the outstanding awards were anti-dilutive because their exercise prices were greater than the average market price per share of Common Stock during such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outstanding awards associated with stock-based compensation plans (in millions)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market price per share of Common Stock during the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475.66</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w:t>
            </w:r>
          </w:p>
        </w:tc>
      </w:tr>
      <w:tr>
        <w:trPr>
          <w:trHeight w:val="171"/>
        </w:trPr>
        <w:tc>
          <w:tcPr>
            <w:tcW w:w="4380" w:type="dxa"/>
            <w:vAlign w:val="bottom"/>
            <w:tcBorders>
              <w:bottom w:val="single" w:sz="8" w:color="auto"/>
            </w:tcBorders>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Below is a summary of the components of the Company’s income before income taxes for the years ended December 31 (in thousands).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43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2"/>
                <w:szCs w:val="22"/>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560,193</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572,671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467,002</w:t>
            </w:r>
          </w:p>
        </w:tc>
        <w:tc>
          <w:tcPr>
            <w:tcW w:w="40" w:type="dxa"/>
            <w:vAlign w:val="bottom"/>
            <w:tcBorders>
              <w:bottom w:val="single" w:sz="8" w:color="auto"/>
            </w:tcBorders>
          </w:tcPr>
          <w:p>
            <w:pPr>
              <w:spacing w:after="0"/>
              <w:rPr>
                <w:sz w:val="19"/>
                <w:szCs w:val="19"/>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1,027,195</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components of the expense (benefit) for income taxes on the above income are summarized in the table below (in thousands).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3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Pr>
          <w:p>
            <w:pPr>
              <w:spacing w:after="0"/>
              <w:rPr>
                <w:sz w:val="22"/>
                <w:szCs w:val="22"/>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122,191</w:t>
            </w:r>
          </w:p>
        </w:tc>
        <w:tc>
          <w:tcPr>
            <w:tcW w:w="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 and local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91,596</w:t>
            </w:r>
          </w:p>
        </w:tc>
        <w:tc>
          <w:tcPr>
            <w:tcW w:w="40" w:type="dxa"/>
            <w:vAlign w:val="bottom"/>
          </w:tcPr>
          <w:p>
            <w:pPr>
              <w:spacing w:after="0"/>
              <w:rPr>
                <w:sz w:val="19"/>
                <w:szCs w:val="19"/>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330,779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262,269</w:t>
            </w:r>
          </w:p>
        </w:tc>
        <w:tc>
          <w:tcPr>
            <w:tcW w:w="40" w:type="dxa"/>
            <w:vAlign w:val="bottom"/>
          </w:tcPr>
          <w:p>
            <w:pPr>
              <w:spacing w:after="0"/>
              <w:rPr>
                <w:sz w:val="19"/>
                <w:szCs w:val="19"/>
                <w:color w:val="auto"/>
              </w:rPr>
            </w:pP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federal</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40" w:type="dxa"/>
            <w:vAlign w:val="bottom"/>
          </w:tcPr>
          <w:p>
            <w:pPr>
              <w:spacing w:after="0"/>
              <w:rPr>
                <w:sz w:val="19"/>
                <w:szCs w:val="19"/>
                <w:color w:val="auto"/>
              </w:rPr>
            </w:pPr>
          </w:p>
        </w:tc>
      </w:tr>
      <w:tr>
        <w:trPr>
          <w:trHeight w:val="230"/>
        </w:trPr>
        <w:tc>
          <w:tcPr>
            <w:tcW w:w="6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State and local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(128,291)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40" w:type="dxa"/>
            <w:vAlign w:val="bottom"/>
          </w:tcPr>
          <w:p>
            <w:pPr>
              <w:spacing w:after="0"/>
              <w:rPr>
                <w:sz w:val="19"/>
                <w:szCs w:val="19"/>
                <w:color w:val="auto"/>
              </w:rPr>
            </w:pP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(159,036)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w:t>
            </w:r>
          </w:p>
        </w:tc>
        <w:tc>
          <w:tcPr>
            <w:tcW w:w="40" w:type="dxa"/>
            <w:vAlign w:val="bottom"/>
          </w:tcPr>
          <w:p>
            <w:pPr>
              <w:spacing w:after="0"/>
              <w:rPr>
                <w:sz w:val="19"/>
                <w:szCs w:val="19"/>
                <w:color w:val="auto"/>
              </w:rPr>
            </w:pPr>
          </w:p>
        </w:tc>
      </w:tr>
      <w:tr>
        <w:trPr>
          <w:trHeight w:val="223"/>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and deferred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226,592</w:t>
            </w:r>
          </w:p>
        </w:tc>
        <w:tc>
          <w:tcPr>
            <w:tcW w:w="40" w:type="dxa"/>
            <w:vAlign w:val="bottom"/>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Expense relating to interest rate swaps used to increase equity</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from stock transactions with employees used to increase equity</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9"/>
                <w:szCs w:val="19"/>
                <w:color w:val="auto"/>
              </w:rPr>
            </w:pPr>
          </w:p>
        </w:tc>
      </w:tr>
      <w:tr>
        <w:trPr>
          <w:trHeight w:val="230"/>
        </w:trPr>
        <w:tc>
          <w:tcPr>
            <w:tcW w:w="6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Benefit (expense) relating to defined-benefit pension adjustments used to increase equity</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40" w:type="dxa"/>
            <w:vAlign w:val="bottom"/>
          </w:tcPr>
          <w:p>
            <w:pPr>
              <w:spacing w:after="0"/>
              <w:rPr>
                <w:sz w:val="19"/>
                <w:szCs w:val="19"/>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expense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219,396</w:t>
            </w:r>
          </w:p>
        </w:tc>
        <w:tc>
          <w:tcPr>
            <w:tcW w:w="40" w:type="dxa"/>
            <w:vAlign w:val="bottom"/>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7"/>
        </w:trPr>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long-term deferred tax assets (liabilities) are summarized in the table below (in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9"/>
        </w:trPr>
        <w:tc>
          <w:tcPr>
            <w:tcW w:w="4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85,328</w:t>
            </w:r>
          </w:p>
        </w:tc>
        <w:tc>
          <w:tcPr>
            <w:tcW w:w="40" w:type="dxa"/>
            <w:vAlign w:val="bottom"/>
            <w:shd w:val="clear" w:color="auto" w:fill="CCEEFF"/>
          </w:tcPr>
          <w:p>
            <w:pPr>
              <w:spacing w:after="0"/>
              <w:rPr>
                <w:sz w:val="19"/>
                <w:szCs w:val="19"/>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59,160</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92,612</w:t>
            </w:r>
          </w:p>
        </w:tc>
        <w:tc>
          <w:tcPr>
            <w:tcW w:w="40" w:type="dxa"/>
            <w:vAlign w:val="bottom"/>
            <w:shd w:val="clear" w:color="auto" w:fill="CCEEFF"/>
          </w:tcPr>
          <w:p>
            <w:pPr>
              <w:spacing w:after="0"/>
              <w:rPr>
                <w:sz w:val="19"/>
                <w:szCs w:val="19"/>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credit carryforwards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31,454</w:t>
            </w:r>
          </w:p>
        </w:tc>
        <w:tc>
          <w:tcPr>
            <w:tcW w:w="40" w:type="dxa"/>
            <w:vAlign w:val="bottom"/>
            <w:shd w:val="clear" w:color="auto" w:fill="CCEEFF"/>
          </w:tcPr>
          <w:p>
            <w:pPr>
              <w:spacing w:after="0"/>
              <w:rPr>
                <w:sz w:val="19"/>
                <w:szCs w:val="19"/>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relating to equity compensation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29,128</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320,439</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(177,132)</w:t>
            </w:r>
          </w:p>
        </w:tc>
      </w:tr>
      <w:tr>
        <w:trPr>
          <w:trHeight w:val="223"/>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143,307</w:t>
            </w:r>
          </w:p>
        </w:tc>
        <w:tc>
          <w:tcPr>
            <w:tcW w:w="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(69,556)</w:t>
            </w: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(15,587)</w:t>
            </w:r>
          </w:p>
        </w:tc>
      </w:tr>
      <w:tr>
        <w:trPr>
          <w:trHeight w:val="223"/>
        </w:trPr>
        <w:tc>
          <w:tcPr>
            <w:tcW w:w="6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(85,143)</w:t>
            </w:r>
          </w:p>
        </w:tc>
      </w:tr>
      <w:tr>
        <w:trPr>
          <w:trHeight w:val="223"/>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214,015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58,164</w:t>
            </w:r>
          </w:p>
        </w:tc>
        <w:tc>
          <w:tcPr>
            <w:tcW w:w="40" w:type="dxa"/>
            <w:vAlign w:val="bottom"/>
            <w:tcBorders>
              <w:bottom w:val="single" w:sz="8" w:color="auto"/>
            </w:tcBorders>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Net deferred tax assets and net deferred tax liabilities were $262.8 million and $48.7 million as of December 31, 2024, respectively, and $144.7 million and $86.6 million as of December 31, 2023, respectively. These amounts are reported in Other assets and Other liabilities in the Consolidated Balance Sheets. Management has concluded it is more likely than not that the reversal of deferred tax liabilities and results of future operations will generate sufficient taxable income to realize the deferred tax assets, net of the valuation allowance at December 31,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the Company completed an intercompany transfer of certain intellectual property. Prior to the sale, the Company had a $103.1 million deferred tax asset for tax basis in the related IP and a full valuation allowance due to no expected local tax benefit of the asset. As a result of this IP transfer, the deferred tax asset and related valuation allowance were written off with no impact to tax expense.</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In December 2024, the Company completed an additional intercompany transfer of certain intellectual property. As a result, the Company recorded a deferred tax asset of approximately $163.2 million. The deferred tax asset represents the value of future tax deductions for amortization of the assets in the acquiring jurisdiction. A portion of the tax amortization was recognized in 2024. The deferred tax asset for intangible assets was reduced for the impact of the 2024 amortization, with the offset reflected as an increase in the deferred tax asset for loss carryforwards. These amounts have been reduced for associated unrecognized tax benefits, consistent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fair value of the intellectual property was determined using an income approach based on unobservable inputs and involves significant judgments such as, but not limited to, future cash flows and discount rates. Management’s estimates of fair value are based upon assumptions believed to be reasonable, but which are inherently uncertain and unpredictable and, as a result, actual results may differ from estimates.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allowances of $76.3 million and $177.1 million as of December 31, 2024 and 2023, respectively, primarily related to tax basis in certain intangible assets and loss and credit carryovers that are not likely to be realized.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2024, the Company had state and local tax net operating loss carryforwards of $8.7 million, of which $4.0 million expires within six to fifteen years and $4.7 million expires within sixteen years to twenty years. The Company also had state tax credits of $6.2 million, a majority of which will expire in five to six years. As of December 31, 2024, the Company had non-U.S. net operating loss carryforwards of $10.5 million, of which $0.2 million expires over the next 20 years and $10.3 million can be carried forward indefinitely. In addition, the Company also had foreign tax credit carryforwards of $24.9 million, all of which will expire between 2029 and 2034. These amounts have been reduced for associated unrecognized tax benefits, consistent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items comprising the differences between the U.S. federal statutory income tax rate and the Company’s effective tax rate on income before income taxes for the years ended December 31 are summarized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non-U.S. operations</w:t>
            </w: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sale of intellectual property</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activity in unrecognized tax benefits</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Limitation on executive compensation</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net of foreign tax credits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the valuation allowance</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0"/>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in December 2024, the Company completed an additional intercompany transfer of certain intellectual property. As a result, the Company recorded net tax benefits of approximately $161.9 million. The benefit represents the value of future tax deductions for amortization of the assets in the acquiring jurisdiction, net of any tax recognized by the selling jurisdiction. The Company’s intellectual property footprint continues to evolve and may result in tax rate volatility in the future.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valuation allowance in 2024 was largely related to the January transfer of intellectual property noted above. Because both the asset and the related valuation allowance were written off, there is no net income tax expense from the change in valuation allowance. Therefore, no tax expense amount is reflected in the table above.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gross unrecognized tax benefits of $257.5 million and $148.4 million, respectively. The increase is primarily due to positions taken with respect to certain intercompany transactions. The gross unrecognized tax benefits at December 31, 2024 related primarily to transfer pricing on intercompany transactions, the exclusion of stock-based compensation expense from the Company’s cost sharing agreement, and the ability to realize certain refund claims. It is reasonably possible that gross unrecognized tax benefits will decrease by approximately $11.0 million within the next twelve months due to the anticipated closure of audits and the expiration of certain statutes of limitation.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Included in the balance of gross unrecognized tax benefits at December 31, 2024 are potential benefits of $246.5 million that, if recognized, would reduce our effective tax rate on income from continuing operations. Also included in the balance of gross unrecognized tax benefits at December 31, 2024 are potential benefits of $11.1 million that, if recognized, would result in adjustments to other tax accounts, primarily deferred taxes.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is a reconciliation of the beginning and ending amounts of gross unrecognized tax benefits, excluding interest and penalties,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expiration of statutes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148,390</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interest and penalties related to gross unrecognized tax benefits in its income tax provision. As of December 31, 2024 and 2023, the Company had $21.1 million and $17.4 million, respectively, of accrued interest and penalties related to gross unrecognized tax benefits. These amounts are in addition to the gross unrecognized tax benefits disclosed above. The total amount of interest and penalties recognized in the income tax provision during 2024 and 2023 was $5.0 million and $1.8 million,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years with open statutes of limitation varies depending on the tax jurisdiction. The Company’s statutes are open with respect to the U.S. federal jurisdiction for 2021 and forward, India for 2006 and forward, and Ireland for 2020 and forward. For other major taxing jurisdictions, including U.S. states, the United Kingdom, Canada, Japan, Malta, Cyprus, France, Germany, and Saudi Arabia, the Company’s statutes vary and are open as far back as 2015.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issued various proposals that would change long-standing global tax principles. These proposals include a two-pillar approach to global taxation, focusing on global profit allocation and a 15% global corporate minimum tax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countries in which Gartner does business have proposed or enacted new laws or are actively considering changes to their tax laws to align with OECD proposals. Significant details around the provisions are still uncertain as the OECD and participating countries continue to work on defining the underlying rules and administrative procedures. Enactment of this and similar legislation could significantly increase our tax obligations in countries where we do business. We will continue to monitor and reflect the impact of such legislative changes in future financial statements as appropriate.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U.S. GAAP, no provision for income taxes that may result from the remittance of earnings held overseas is required if the Company has the ability and intent to indefinitely reinvest such funds overseas. The Company intends to distribute a portion of the accumulated undistributed earnings of non-U.S. subsidiaries as of December 31, 2024 in conjunction with global restructuring activity. The Company has recorded an income tax expense of approximately $2.6 million during 2024 for the anticipated tax impact of such distribution. The Company continues to assert its intention to reinvest all remaining accumulated undistributed foreign earnings in its non-U.S. operations, except in instances where the repatriation of those earnings would result in minimal additional tax. Consequently, except as noted above, the Company has not recognized income tax expense that would result from the remittance of those earnings. The accumulated undistributed earnings of non-U.S. subsidiaries that have not been previously taxed were approximately $118.1 million as of December 31, 2024.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Note 13 — Derivatives and Hedging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2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Loss Recorded in</w:t>
            </w:r>
          </w:p>
        </w:tc>
        <w:tc>
          <w:tcPr>
            <w:tcW w:w="0" w:type="dxa"/>
            <w:vAlign w:val="bottom"/>
          </w:tcPr>
          <w:p>
            <w:pPr>
              <w:spacing w:after="0"/>
              <w:rPr>
                <w:sz w:val="1"/>
                <w:szCs w:val="1"/>
                <w:color w:val="auto"/>
              </w:rPr>
            </w:pPr>
          </w:p>
        </w:tc>
      </w:tr>
      <w:tr>
        <w:trPr>
          <w:trHeight w:val="229"/>
        </w:trPr>
        <w:tc>
          <w:tcPr>
            <w:tcW w:w="2880" w:type="dxa"/>
            <w:vAlign w:val="bottom"/>
            <w:gridSpan w:val="2"/>
            <w:vMerge w:val="continue"/>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40" w:type="dxa"/>
            <w:vAlign w:val="bottom"/>
          </w:tcPr>
          <w:p>
            <w:pPr>
              <w:spacing w:after="0"/>
              <w:rPr>
                <w:sz w:val="19"/>
                <w:szCs w:val="19"/>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AOCI/L</w:t>
            </w:r>
          </w:p>
        </w:tc>
        <w:tc>
          <w:tcPr>
            <w:tcW w:w="0" w:type="dxa"/>
            <w:vAlign w:val="bottom"/>
          </w:tcPr>
          <w:p>
            <w:pPr>
              <w:spacing w:after="0"/>
              <w:rPr>
                <w:sz w:val="1"/>
                <w:szCs w:val="1"/>
                <w:color w:val="auto"/>
              </w:rPr>
            </w:pPr>
          </w:p>
        </w:tc>
      </w:tr>
      <w:tr>
        <w:trPr>
          <w:trHeight w:val="223"/>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8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2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Loss Recorded in</w:t>
            </w:r>
          </w:p>
        </w:tc>
        <w:tc>
          <w:tcPr>
            <w:tcW w:w="0" w:type="dxa"/>
            <w:vAlign w:val="bottom"/>
          </w:tcPr>
          <w:p>
            <w:pPr>
              <w:spacing w:after="0"/>
              <w:rPr>
                <w:sz w:val="1"/>
                <w:szCs w:val="1"/>
                <w:color w:val="auto"/>
              </w:rPr>
            </w:pPr>
          </w:p>
        </w:tc>
      </w:tr>
      <w:tr>
        <w:trPr>
          <w:trHeight w:val="243"/>
        </w:trPr>
        <w:tc>
          <w:tcPr>
            <w:tcW w:w="2880" w:type="dxa"/>
            <w:vAlign w:val="bottom"/>
            <w:gridSpan w:val="2"/>
            <w:vMerge w:val="continue"/>
          </w:tcPr>
          <w:p>
            <w:pPr>
              <w:spacing w:after="0"/>
              <w:rPr>
                <w:sz w:val="21"/>
                <w:szCs w:val="21"/>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40" w:type="dxa"/>
            <w:vAlign w:val="bottom"/>
          </w:tcPr>
          <w:p>
            <w:pPr>
              <w:spacing w:after="0"/>
              <w:rPr>
                <w:sz w:val="21"/>
                <w:szCs w:val="21"/>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AOCI/L</w:t>
            </w:r>
          </w:p>
        </w:tc>
        <w:tc>
          <w:tcPr>
            <w:tcW w:w="0" w:type="dxa"/>
            <w:vAlign w:val="bottom"/>
          </w:tcPr>
          <w:p>
            <w:pPr>
              <w:spacing w:after="0"/>
              <w:rPr>
                <w:sz w:val="1"/>
                <w:szCs w:val="1"/>
                <w:color w:val="auto"/>
              </w:rPr>
            </w:pPr>
          </w:p>
        </w:tc>
      </w:tr>
      <w:tr>
        <w:trPr>
          <w:trHeight w:val="223"/>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9"/>
                <w:szCs w:val="19"/>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4"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payment under the then outstanding 2016 Credit Agreement term loan and revolving credit facility, the Company de-designated all of its interest rate swaps effective June 30, 2020. Accordingly, hedge accounting is not applicable, and subsequent changes to fair value of the interest rate swaps are recorded in Other income, net. The amounts previously recorded in Accumulated other comprehensive loss are amortized into Interest expense over the terms of the hedged forecasted interest payments. Note 6 — Debt provides additional information regarding the Company’s interest rate swap contracts.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net because the Company does not designate these contracts as hedges for accounting purposes. All of the outstanding foreign currency forward exchange contracts at December 31, 2024 matured before February 5, 2025.</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 Fair Value Disclosures for the determination of the fair values of these instruments.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Consolidated Statements of Operations for derivative contracts for the years ended December 31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19,056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r>
      <w:tr>
        <w:trPr>
          <w:trHeight w:val="229"/>
        </w:trPr>
        <w:tc>
          <w:tcPr>
            <w:tcW w:w="6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 (2)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(6,380)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Consists of interest expense from interest rate swap contracts.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gains and losses on de-designated interest rate swaps.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 14 — Fair Value Disclosures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Consolidated Balance Sheets.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valuation hierarchy.</w:t>
      </w:r>
    </w:p>
    <w:p>
      <w:pPr>
        <w:spacing w:after="0" w:line="219"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 of certain financial assets and liabilities that are recorded at fair value and measured on a recurring basis in the Company’s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r>
      <w:tr>
        <w:trPr>
          <w:trHeight w:val="223"/>
        </w:trPr>
        <w:tc>
          <w:tcPr>
            <w:tcW w:w="7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Level 1 inputs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r>
      <w:tr>
        <w:trPr>
          <w:trHeight w:val="229"/>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104,555</w:t>
            </w: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30"/>
        </w:trPr>
        <w:tc>
          <w:tcPr>
            <w:tcW w:w="77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contract (3)</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23"/>
        </w:trPr>
        <w:tc>
          <w:tcPr>
            <w:tcW w:w="7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2 inputs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113,260</w:t>
            </w: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151,706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 (1)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121,708</w:t>
            </w:r>
          </w:p>
        </w:tc>
      </w:tr>
      <w:tr>
        <w:trPr>
          <w:trHeight w:val="230"/>
        </w:trPr>
        <w:tc>
          <w:tcPr>
            <w:tcW w:w="77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3"/>
        </w:trPr>
        <w:tc>
          <w:tcPr>
            <w:tcW w:w="7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2 inputs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123,174</w:t>
            </w:r>
          </w:p>
        </w:tc>
      </w:tr>
      <w:tr>
        <w:trPr>
          <w:trHeight w:val="223"/>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123,174</w:t>
            </w:r>
          </w:p>
        </w:tc>
      </w:tr>
      <w:tr>
        <w:trPr>
          <w:trHeight w:val="20"/>
        </w:trPr>
        <w:tc>
          <w:tcPr>
            <w:tcW w:w="4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(see Note 15 — Employee Benefits). The assets consist of investments in money market funds, mutual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funds and company-owned life insurance contracts. The money market funds consist of cash equivalents while the mutual fund investments consist of publicly-traded and quoted equity shares. The Company considers the fair values of these assets to be based on Level 1 inputs, and such assets had fair values of $18.1 million and $10.3 million as of December 31, 2024 and 2023, respectively. The carrying amounts of the life insurance contracts equal their cash surrender values. Cash surrender value represents the estimated amount that the Company would receive upon termination of a contract, which approximates fair value. The Company considers life insurance contracts to be valued based on Level 2 inputs, and such assets had fair values of $128.7 million and $104.6 million at December 31, 2024 and 2023, respectively. The related deferred compensation plan liabilities are recorded at fair value, or the estimated amount needed to settle the liability, which the Company considers to be a Level 2 input.</w:t>
      </w:r>
    </w:p>
    <w:p>
      <w:pPr>
        <w:spacing w:after="0" w:line="3" w:lineRule="exact"/>
        <w:rPr>
          <w:sz w:val="20"/>
          <w:szCs w:val="20"/>
          <w:color w:val="auto"/>
        </w:rPr>
      </w:pPr>
    </w:p>
    <w:p>
      <w:pPr>
        <w:jc w:val="both"/>
        <w:ind w:left="340" w:hanging="332"/>
        <w:spacing w:after="0" w:line="250"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13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interest rate swap contracts that hedge the risk of variability from interest payments on its borrowings (see Note 6 — Debt). The fair values of interest rate swaps are based on mark-to-market valuations prepared by a third-party broker. Those valuations are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Consolidated Balance Sheets (in thousands). The estimated fair value of the financial instruments was derived from quoted market prices provided by an independent dealer, which the Company considers to be a Level 2 input.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320" w:type="dxa"/>
            <w:vAlign w:val="bottom"/>
          </w:tcPr>
          <w:p>
            <w:pPr>
              <w:spacing w:after="0"/>
              <w:rPr>
                <w:sz w:val="19"/>
                <w:szCs w:val="19"/>
                <w:color w:val="auto"/>
              </w:rPr>
            </w:pPr>
          </w:p>
        </w:tc>
        <w:tc>
          <w:tcPr>
            <w:tcW w:w="1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20" w:type="dxa"/>
            <w:vAlign w:val="bottom"/>
          </w:tcPr>
          <w:p>
            <w:pPr>
              <w:spacing w:after="0"/>
              <w:rPr>
                <w:sz w:val="19"/>
                <w:szCs w:val="19"/>
                <w:color w:val="auto"/>
              </w:rPr>
            </w:pPr>
          </w:p>
        </w:tc>
      </w:tr>
      <w:tr>
        <w:trPr>
          <w:trHeight w:val="238"/>
        </w:trPr>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795,296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780,544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759,040</w:t>
            </w: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594,794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558,840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543,408</w:t>
            </w: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793,189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709,600</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2,185,054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2,182,071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2,071,584</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2,012,048</w:t>
            </w: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certain long-lived assets, including identifiable intangible assets, goodwill, and right-of-use assets assets are measured at fair value on a nonrecurring basis when there are indicators of impairment. During the years ended December 31, 2024, 2023 and 2022, the Company recorded impairment charges of $10.9 million, $20.4 million, and $54.0 million, respectively, on right-of-use assets and other long-lived assets primarily related to certain office leases that the Company determined will no longer be used, net of a reduction in the related lease liabilities. The impairments were derived by comparing the fair value of the impacted assets to the carrying value of those assets as of the impairment measurement date, as required under ASC Topic 360 using Level 3 inputs. See Note 7 — Leases for additional discussion related to these impairment charges.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see Note 2 — Acquisitions and Divestiture for fair value measurements of certain assets and liabilities acquired in business combinations that are recorded at fair value on a nonrecurring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The Company has savings and investment plans (the “401(k) Plans”) covering substantially all U.S. employees.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are based on the level of employee contributions, up to a maximum of 4% of an employee’s eligible salary, subject to an annual maximum. For 2024, the maximum Company match was $7,200. Amounts expensed in connection with the 401(k) Plans totaled $57.5 million, $56.0 million and $50.4 million in 2024, 2023 and 2022, respectively.</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plans. </w:t>
      </w:r>
      <w:r>
        <w:rPr>
          <w:rFonts w:ascii="Times New Roman" w:cs="Times New Roman" w:eastAsia="Times New Roman" w:hAnsi="Times New Roman"/>
          <w:sz w:val="18"/>
          <w:szCs w:val="18"/>
          <w:color w:val="auto"/>
        </w:rPr>
        <w:t>The Company has supplemental deferred compensation plans for the benefit of certain highly compensated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managers and other key employees. The plans’ investment assets are recorded at fair value in Other assets on the Consolidated Balance Sheets. The value of those assets was $146.8 million and $114.8 million at December 31, 2024 and 2023, respectively (see Note 14 — Fair Value Disclosures for fair value information). The related deferred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plan liabilities, which were $148.6 million and $121.7 million at December 31, 2024 and 2023, respectively, are carried at fair value and are adjusted with a corresponding charge or credit to compensation expense to reflect the fair value of the amount owed to the employees. Deferred compensation plan liabilities are recorded in Other liabilities on the Consolidated Balance Sheets. Compensation expense recognized for all of the Company’s deferred compensation plans was $2.3 million, $2.8 million and $0.4 million in 2024, 2023 and 2022, respectively.</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benefit pension plans. </w:t>
      </w:r>
      <w:r>
        <w:rPr>
          <w:rFonts w:ascii="Times New Roman" w:cs="Times New Roman" w:eastAsia="Times New Roman" w:hAnsi="Times New Roman"/>
          <w:sz w:val="18"/>
          <w:szCs w:val="18"/>
          <w:color w:val="auto"/>
        </w:rPr>
        <w:t>The Company has defined benefit pension plans at several of its international locations. Benefits earned and paid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plans are generally based on years of service and level of employee compensation. The Company’s vested benefit obligation is the actuarial present value of the vested benefits to which an employee is entitled based on the employee’s expected date of separation or retirement. The Company’s defined benefit pension plans are accounted for in accordance with FASB ASC Topics 715 and 960. The table below presents the components of the Company’s defined benefit pension plan expense for the years ended December 31 (in thousands). The components of pension expense, other than service cost, are recorded in Other income, net in the Consolidated Statements of Operations.</w:t>
      </w:r>
    </w:p>
    <w:p>
      <w:pPr>
        <w:sectPr>
          <w:pgSz w:w="11900" w:h="16838" w:orient="portrait"/>
          <w:cols w:equalWidth="0" w:num="1">
            <w:col w:w="11240"/>
          </w:cols>
          <w:pgMar w:left="320" w:top="999" w:right="339" w:bottom="1440" w:gutter="0" w:footer="0" w:header="0"/>
        </w:sectPr>
      </w:pP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actuarial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defined benefit pension plan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711517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1517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1517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key assumptions used in the computation of pension expense for the years ended December 31.</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60" w:type="dxa"/>
            <w:vAlign w:val="bottom"/>
            <w:gridSpan w:val="2"/>
          </w:tcPr>
          <w:p>
            <w:pPr>
              <w:ind w:left="698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(1)</w:t>
            </w: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compensation increase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1517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1517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27774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40" w:lineRule="exact"/>
        <w:rPr>
          <w:sz w:val="20"/>
          <w:szCs w:val="20"/>
          <w:color w:val="auto"/>
        </w:rPr>
      </w:pPr>
    </w:p>
    <w:p>
      <w:pPr>
        <w:ind w:left="940" w:hanging="940"/>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4,173</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709</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(459)</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264</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08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940" w:hanging="940"/>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086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4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1.24 %</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1.58 %</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2.57 %</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1.20 %</w:t>
      </w:r>
    </w:p>
    <w:p>
      <w:pPr>
        <w:spacing w:after="0" w:line="222" w:lineRule="exact"/>
        <w:rPr>
          <w:sz w:val="20"/>
          <w:szCs w:val="20"/>
          <w:color w:val="auto"/>
        </w:rPr>
      </w:pPr>
    </w:p>
    <w:p>
      <w:pPr>
        <w:sectPr>
          <w:pgSz w:w="11900" w:h="16838" w:orient="portrait"/>
          <w:cols w:equalWidth="0" w:num="2">
            <w:col w:w="9680" w:space="120"/>
            <w:col w:w="1440"/>
          </w:cols>
          <w:pgMar w:left="320" w:top="999" w:right="339" w:bottom="1440" w:gutter="0" w:footer="0" w:header="0"/>
          <w:type w:val="continuous"/>
        </w:sectPr>
      </w:pPr>
    </w:p>
    <w:p>
      <w:pPr>
        <w:spacing w:after="0" w:line="52" w:lineRule="exact"/>
        <w:rPr>
          <w:sz w:val="20"/>
          <w:szCs w:val="20"/>
          <w:color w:val="auto"/>
        </w:rPr>
      </w:pPr>
    </w:p>
    <w:p>
      <w:pPr>
        <w:ind w:left="340" w:right="20" w:hanging="332"/>
        <w:spacing w:after="0" w:line="282"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table below provides information regarding changes in the projected benefit obligation of the Company’s defined benefit pension plans for the years ended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57,973</w:t>
            </w:r>
          </w:p>
        </w:tc>
      </w:tr>
      <w:tr>
        <w:trPr>
          <w:trHeight w:val="22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3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Actuarial (gain) loss due to assumption changes and plan experience (1)</w:t>
            </w:r>
          </w:p>
        </w:tc>
        <w:tc>
          <w:tcPr>
            <w:tcW w:w="2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w:t>
            </w:r>
          </w:p>
        </w:tc>
      </w:tr>
      <w:tr>
        <w:trPr>
          <w:trHeight w:val="23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payments (2)</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Acquisition/Business Combination/Divestiture</w:t>
            </w:r>
          </w:p>
        </w:tc>
        <w:tc>
          <w:tcPr>
            <w:tcW w:w="200" w:type="dxa"/>
            <w:vAlign w:val="bottom"/>
          </w:tcPr>
          <w:p>
            <w:pPr>
              <w:spacing w:after="0"/>
              <w:rPr>
                <w:sz w:val="19"/>
                <w:szCs w:val="19"/>
                <w:color w:val="auto"/>
              </w:rPr>
            </w:pP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r>
      <w:tr>
        <w:trPr>
          <w:trHeight w:val="230"/>
        </w:trPr>
        <w:tc>
          <w:tcPr>
            <w:tcW w:w="6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w:t>
            </w:r>
          </w:p>
        </w:tc>
      </w:tr>
      <w:tr>
        <w:trPr>
          <w:trHeight w:val="248"/>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85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table below presents the key assumptions used in determining the projected benefit obligations at 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5"/>
        </w:trPr>
        <w:tc>
          <w:tcPr>
            <w:tcW w:w="43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(4)</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2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compensation increase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162"/>
        </w:trPr>
        <w:tc>
          <w:tcPr>
            <w:tcW w:w="43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73" w:name="page74"/>
    <w:bookmarkEnd w:id="73"/>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(gain) losses were primarily due to changes in the weighted average discount rate assumption.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projects benefit payments will be made in future years directly to plan participants as follows: $4.0 million in 2025; $4.1 million in 2026; $4.8 million in 2027; $5.9 million in 2028; $6.2 million in 2029; and $35.4 million in total in the five years thereafter.</w:t>
      </w: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as of December 31.</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are typically determined by using the yields on long-term corporate or government bonds in the relevant country with a duration consistent with the expected term of the underlying pension obligations.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tables below provide information regarding the funded status of the Company’s defined benefit pension plans and the related amounts recorded in the Consolidated Balance Sheets as of December 31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of the plans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Pension plan assets at fair value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 shortfall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the Consolidated Balance Sheets for the plans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accrued pension obligation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Stockholders’ equity – deferred actuarial loss (3)</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38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4"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plan assets are held by third-party trustees and are invested in a diversified portfolio of equities, high-quality government and corporate bonds, and other investments. The assets are primarily valued based on Level 1 and Level 2 inputs under the fair value hierarchy in FASB ASC Topic 820, with the majority of the invested assets considered to be of low-to-medium investment risk. The Company projects a future long-term rate of return on these plan assets of 3.79%, which it believes is reasonable based on the composition of the assets and both current and projected market conditions. Additional information regarding pension plan asset activity is provided below.</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status – shortfall represents the amount of the projected benefit obligation that the Company has not funded with a third-party trustee. These liabilities of the Company are recorded in Other liabilities on the Consolidated Balance Sheets. The level of future contributions by the Company will vary and is dependent on a number of factors including investment returns, interest rate fluctuations, plan demographics, funding regulations and the results of the final actuarial valuation.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actuarial loss as of December 31, 2024 is recorded in AOCI/L and will be reclassified out of AOCI/L and recognized as pension expense over approximately 9 years, subject to certain limitations set forth in FASB ASC Topic 715.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rollforward of the Company’s defined benefit pension plans assets for the years ended December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at the beginning of the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plan assets at the end of the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reinsurance asset arrangement with a large international insurance company that is intended to fund benefit payments for one of its plans. The reinsurance asset is not a pension plan asset but is an asset of the Company. At December 31, 2024 and 2023, the reinsurance asset was recorded at its cash surrender value of $8.8 million and $9.5 million, respectively, and recorded in Other assets on the Consolidated Balance Sheets. The Company believes that cash surrender value approximates fair value and is equivalent to a Level 2 input under the FASB’s fair value hierarchy in FASB ASC Topic 820.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Company’s products and services are delivered through three business segments – Research, Conferences and Consulting, as described below.</w:t>
      </w:r>
    </w:p>
    <w:p>
      <w:pPr>
        <w:spacing w:after="0" w:line="221" w:lineRule="exact"/>
        <w:rPr>
          <w:sz w:val="20"/>
          <w:szCs w:val="20"/>
          <w:color w:val="auto"/>
        </w:rPr>
      </w:pPr>
    </w:p>
    <w:p>
      <w:pPr>
        <w:jc w:val="both"/>
        <w:ind w:left="340" w:hanging="332"/>
        <w:spacing w:after="0" w:line="268" w:lineRule="auto"/>
        <w:tabs>
          <w:tab w:leader="none" w:pos="335"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1" w:lineRule="auto"/>
        <w:tabs>
          <w:tab w:leader="none" w:pos="328" w:val="left"/>
        </w:tabs>
        <w:numPr>
          <w:ilvl w:val="0"/>
          <w:numId w:val="41"/>
        </w:numPr>
        <w:rPr>
          <w:rFonts w:ascii="Arial" w:cs="Arial" w:eastAsia="Arial" w:hAnsi="Arial"/>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b w:val="1"/>
          <w:bCs w:val="1"/>
          <w:color w:val="auto"/>
        </w:rPr>
      </w:pPr>
    </w:p>
    <w:p>
      <w:pPr>
        <w:jc w:val="both"/>
        <w:ind w:left="340" w:hanging="332"/>
        <w:spacing w:after="0" w:line="253" w:lineRule="auto"/>
        <w:tabs>
          <w:tab w:leader="none" w:pos="333" w:val="left"/>
        </w:tabs>
        <w:numPr>
          <w:ilvl w:val="0"/>
          <w:numId w:val="41"/>
        </w:numPr>
        <w:rPr>
          <w:rFonts w:ascii="Calibri" w:cs="Calibri" w:eastAsia="Calibri" w:hAnsi="Calibri"/>
          <w:sz w:val="20"/>
          <w:szCs w:val="20"/>
          <w:b w:val="1"/>
          <w:bCs w:val="1"/>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is its chief operating decision maker (CODM). The CODM evaluates segment performance and allocates resources based on gross contribution. Gross contribution, as presented in the table below, is defined as operating income or loss excluding certain Cost of services and product development expenses, Selling, general and administrative expenses, Depreciation, Amortization of intangibles, and Acquisition and integration charges.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tangible assets, including capital expenditures, by reportable segment. Accordingly, tangible assets are not reported by segment because the information is not available by segment and is not reviewed in the evaluation of segment performance or in making decisions regarding the allocation of resources.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earns revenue from clients in many countries. Other than the United States, there is no individual country where revenues from external clients represent 10% or more of the Company’s consolidated revenues. Additionally, no single client accounted for 10% or more of the Company’s consolidated revenues and the loss of a single client, in management’s opinion, would not have a material adverse effect on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years ended December 31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Pr>
          <w:p>
            <w:pPr>
              <w:spacing w:after="0"/>
              <w:rPr>
                <w:sz w:val="20"/>
                <w:szCs w:val="20"/>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20" w:type="dxa"/>
            <w:vAlign w:val="bottom"/>
          </w:tcPr>
          <w:p>
            <w:pPr>
              <w:spacing w:after="0"/>
              <w:rPr>
                <w:sz w:val="20"/>
                <w:szCs w:val="20"/>
                <w:color w:val="auto"/>
              </w:rPr>
            </w:pPr>
          </w:p>
        </w:tc>
        <w:tc>
          <w:tcPr>
            <w:tcW w:w="1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5,125,650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6,267,411</w:t>
            </w:r>
          </w:p>
        </w:tc>
        <w:tc>
          <w:tcPr>
            <w:tcW w:w="0" w:type="dxa"/>
            <w:vAlign w:val="bottom"/>
          </w:tcPr>
          <w:p>
            <w:pPr>
              <w:spacing w:after="0"/>
              <w:rPr>
                <w:sz w:val="1"/>
                <w:szCs w:val="1"/>
                <w:color w:val="auto"/>
              </w:rPr>
            </w:pPr>
          </w:p>
        </w:tc>
      </w:tr>
      <w:tr>
        <w:trPr>
          <w:trHeight w:val="230"/>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1,125,694</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324,890</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1,517,910</w:t>
            </w:r>
          </w:p>
        </w:tc>
        <w:tc>
          <w:tcPr>
            <w:tcW w:w="0" w:type="dxa"/>
            <w:vAlign w:val="bottom"/>
          </w:tcPr>
          <w:p>
            <w:pPr>
              <w:spacing w:after="0"/>
              <w:rPr>
                <w:sz w:val="1"/>
                <w:szCs w:val="1"/>
                <w:color w:val="auto"/>
              </w:rPr>
            </w:pPr>
          </w:p>
        </w:tc>
      </w:tr>
      <w:tr>
        <w:trPr>
          <w:trHeight w:val="229"/>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179,784</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215,664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410,223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8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61,734</w:t>
            </w:r>
          </w:p>
        </w:tc>
        <w:tc>
          <w:tcPr>
            <w:tcW w:w="0" w:type="dxa"/>
            <w:vAlign w:val="bottom"/>
          </w:tcPr>
          <w:p>
            <w:pPr>
              <w:spacing w:after="0"/>
              <w:rPr>
                <w:sz w:val="1"/>
                <w:szCs w:val="1"/>
                <w:color w:val="auto"/>
              </w:rPr>
            </w:pPr>
          </w:p>
        </w:tc>
      </w:tr>
      <w:tr>
        <w:trPr>
          <w:trHeight w:val="223"/>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3,792,843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281,409</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203,292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4,277,544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 and product development - unallocated (2)</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2,884,814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202,315</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68,913</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1,387,374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Pr>
          <w:p>
            <w:pPr>
              <w:spacing w:after="0"/>
              <w:rPr>
                <w:sz w:val="20"/>
                <w:szCs w:val="20"/>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20" w:type="dxa"/>
            <w:vAlign w:val="bottom"/>
          </w:tcPr>
          <w:p>
            <w:pPr>
              <w:spacing w:after="0"/>
              <w:rPr>
                <w:sz w:val="20"/>
                <w:szCs w:val="20"/>
                <w:color w:val="auto"/>
              </w:rPr>
            </w:pPr>
          </w:p>
        </w:tc>
        <w:tc>
          <w:tcPr>
            <w:tcW w:w="1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5,906,956</w:t>
            </w:r>
          </w:p>
        </w:tc>
        <w:tc>
          <w:tcPr>
            <w:tcW w:w="0" w:type="dxa"/>
            <w:vAlign w:val="bottom"/>
          </w:tcPr>
          <w:p>
            <w:pPr>
              <w:spacing w:after="0"/>
              <w:rPr>
                <w:sz w:val="1"/>
                <w:szCs w:val="1"/>
                <w:color w:val="auto"/>
              </w:rPr>
            </w:pPr>
          </w:p>
        </w:tc>
      </w:tr>
      <w:tr>
        <w:trPr>
          <w:trHeight w:val="230"/>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1,071,315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308,580</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1,436,603</w:t>
            </w:r>
          </w:p>
        </w:tc>
        <w:tc>
          <w:tcPr>
            <w:tcW w:w="0" w:type="dxa"/>
            <w:vAlign w:val="bottom"/>
          </w:tcPr>
          <w:p>
            <w:pPr>
              <w:spacing w:after="0"/>
              <w:rPr>
                <w:sz w:val="1"/>
                <w:szCs w:val="1"/>
                <w:color w:val="auto"/>
              </w:rPr>
            </w:pPr>
          </w:p>
        </w:tc>
      </w:tr>
      <w:tr>
        <w:trPr>
          <w:trHeight w:val="230"/>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193,234</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380,887</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54,083</w:t>
            </w:r>
          </w:p>
        </w:tc>
        <w:tc>
          <w:tcPr>
            <w:tcW w:w="0" w:type="dxa"/>
            <w:vAlign w:val="bottom"/>
          </w:tcPr>
          <w:p>
            <w:pPr>
              <w:spacing w:after="0"/>
              <w:rPr>
                <w:sz w:val="1"/>
                <w:szCs w:val="1"/>
                <w:color w:val="auto"/>
              </w:rPr>
            </w:pPr>
          </w:p>
        </w:tc>
      </w:tr>
      <w:tr>
        <w:trPr>
          <w:trHeight w:val="223"/>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3,600,143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253,739</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181,501</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4,035,383</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 and product development - unallocated (2)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2,701,542</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191,103</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92,842</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23"/>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1,147,129</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43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80" w:type="dxa"/>
            <w:vAlign w:val="bottom"/>
          </w:tcPr>
          <w:p>
            <w:pPr>
              <w:spacing w:after="0"/>
              <w:rPr>
                <w:sz w:val="24"/>
                <w:szCs w:val="24"/>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20" w:type="dxa"/>
            <w:vAlign w:val="bottom"/>
          </w:tcPr>
          <w:p>
            <w:pPr>
              <w:spacing w:after="0"/>
              <w:rPr>
                <w:sz w:val="24"/>
                <w:szCs w:val="24"/>
                <w:color w:val="auto"/>
              </w:rPr>
            </w:pPr>
          </w:p>
        </w:tc>
        <w:tc>
          <w:tcPr>
            <w:tcW w:w="1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4"/>
                <w:szCs w:val="24"/>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5,475,846</w:t>
            </w:r>
          </w:p>
        </w:tc>
        <w:tc>
          <w:tcPr>
            <w:tcW w:w="0" w:type="dxa"/>
            <w:vAlign w:val="bottom"/>
          </w:tcPr>
          <w:p>
            <w:pPr>
              <w:spacing w:after="0"/>
              <w:rPr>
                <w:sz w:val="1"/>
                <w:szCs w:val="1"/>
                <w:color w:val="auto"/>
              </w:rPr>
            </w:pPr>
          </w:p>
        </w:tc>
      </w:tr>
      <w:tr>
        <w:trPr>
          <w:trHeight w:val="230"/>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963,437</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270,769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1,277,382</w:t>
            </w:r>
          </w:p>
        </w:tc>
        <w:tc>
          <w:tcPr>
            <w:tcW w:w="0" w:type="dxa"/>
            <w:vAlign w:val="bottom"/>
          </w:tcPr>
          <w:p>
            <w:pPr>
              <w:spacing w:after="0"/>
              <w:rPr>
                <w:sz w:val="1"/>
                <w:szCs w:val="1"/>
                <w:color w:val="auto"/>
              </w:rPr>
            </w:pPr>
          </w:p>
        </w:tc>
      </w:tr>
      <w:tr>
        <w:trPr>
          <w:trHeight w:val="229"/>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212,143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348,175</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0" w:type="dxa"/>
            <w:vAlign w:val="bottom"/>
          </w:tcPr>
          <w:p>
            <w:pPr>
              <w:spacing w:after="0"/>
              <w:rPr>
                <w:sz w:val="1"/>
                <w:szCs w:val="1"/>
                <w:color w:val="auto"/>
              </w:rPr>
            </w:pPr>
          </w:p>
        </w:tc>
      </w:tr>
      <w:tr>
        <w:trPr>
          <w:trHeight w:val="223"/>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3,414,574</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189,834</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3,815,134</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 and product development - unallocated (2)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2,480,944</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191,946</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72,911</w:t>
            </w:r>
          </w:p>
        </w:tc>
        <w:tc>
          <w:tcPr>
            <w:tcW w:w="0" w:type="dxa"/>
            <w:vAlign w:val="bottom"/>
          </w:tcPr>
          <w:p>
            <w:pPr>
              <w:spacing w:after="0"/>
              <w:rPr>
                <w:sz w:val="1"/>
                <w:szCs w:val="1"/>
                <w:color w:val="auto"/>
              </w:rPr>
            </w:pPr>
          </w:p>
        </w:tc>
      </w:tr>
      <w:tr>
        <w:trPr>
          <w:trHeight w:val="223"/>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1,027,195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380" w:type="dxa"/>
            <w:vAlign w:val="bottom"/>
            <w:tcBorders>
              <w:bottom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travel and entertainment and workplace expenses.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by reportable segment for the three years ended December 31, 2024 is presented in Note 9 — Revenue and Related Matters. Long-lived asset information by geographic location as of December 31 is summarized in the table below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625,269</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233,272</w:t>
            </w: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110,274</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968,815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3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goodwill and intangible assets for all dates.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Contingencies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claims and compliance matters arising in the ordinary course of business.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December 31, 2024, the Company did not have any material payment obligations under any such indemnification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Valuation and Qualifying Accounts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allowance for bad debt. The table below summarizes the activity in the Company’s allowance for losses for the years ended December 31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162"/>
        </w:trPr>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from the</w:t>
            </w:r>
          </w:p>
        </w:tc>
        <w:tc>
          <w:tcPr>
            <w:tcW w:w="200" w:type="dxa"/>
            <w:vAlign w:val="bottom"/>
          </w:tcPr>
          <w:p>
            <w:pPr>
              <w:spacing w:after="0"/>
              <w:rPr>
                <w:sz w:val="14"/>
                <w:szCs w:val="14"/>
                <w:color w:val="auto"/>
              </w:rPr>
            </w:pPr>
          </w:p>
        </w:tc>
        <w:tc>
          <w:tcPr>
            <w:tcW w:w="1120" w:type="dxa"/>
            <w:vAlign w:val="bottom"/>
          </w:tcPr>
          <w:p>
            <w:pPr>
              <w:jc w:val="center"/>
              <w:ind w:right="115"/>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w:t>
            </w:r>
          </w:p>
        </w:tc>
      </w:tr>
      <w:tr>
        <w:trPr>
          <w:trHeight w:val="214"/>
        </w:trPr>
        <w:tc>
          <w:tcPr>
            <w:tcW w:w="4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of Year</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Reserve</w:t>
            </w:r>
          </w:p>
        </w:tc>
        <w:tc>
          <w:tcPr>
            <w:tcW w:w="200" w:type="dxa"/>
            <w:vAlign w:val="bottom"/>
          </w:tcPr>
          <w:p>
            <w:pPr>
              <w:spacing w:after="0"/>
              <w:rPr>
                <w:sz w:val="18"/>
                <w:szCs w:val="18"/>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7"/>
              </w:rPr>
              <w:t>of Year</w:t>
            </w:r>
          </w:p>
        </w:tc>
      </w:tr>
      <w:tr>
        <w:trPr>
          <w:trHeight w:val="225"/>
        </w:trPr>
        <w:tc>
          <w:tcPr>
            <w:tcW w:w="4380" w:type="dxa"/>
            <w:vAlign w:val="bottom"/>
            <w:tcBorders>
              <w:top w:val="single" w:sz="8" w:color="CCEEFF"/>
            </w:tcBorders>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2024</w:t>
            </w:r>
          </w:p>
        </w:tc>
        <w:tc>
          <w:tcPr>
            <w:tcW w:w="1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30"/>
        </w:trPr>
        <w:tc>
          <w:tcPr>
            <w:tcW w:w="438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2023</w:t>
            </w:r>
          </w:p>
        </w:tc>
        <w:tc>
          <w:tcPr>
            <w:tcW w:w="1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0"/>
        </w:trPr>
        <w:tc>
          <w:tcPr>
            <w:tcW w:w="4380" w:type="dxa"/>
            <w:vAlign w:val="bottom"/>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w w:val="99"/>
              </w:rPr>
              <w:t>2022</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83"/>
        </w:trPr>
        <w:tc>
          <w:tcPr>
            <w:tcW w:w="4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Gartner, Inc.</w:t>
            </w: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2025</w:t>
            </w: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By:  /s/ Eugene A. Hall</w:t>
            </w:r>
          </w:p>
        </w:tc>
      </w:tr>
      <w:tr>
        <w:trPr>
          <w:trHeight w:val="205"/>
        </w:trPr>
        <w:tc>
          <w:tcPr>
            <w:tcW w:w="4440" w:type="dxa"/>
            <w:vAlign w:val="bottom"/>
          </w:tcPr>
          <w:p>
            <w:pPr>
              <w:spacing w:after="0"/>
              <w:rPr>
                <w:sz w:val="17"/>
                <w:szCs w:val="17"/>
                <w:color w:val="auto"/>
              </w:rPr>
            </w:pPr>
          </w:p>
        </w:tc>
        <w:tc>
          <w:tcPr>
            <w:tcW w:w="2940" w:type="dxa"/>
            <w:vAlign w:val="bottom"/>
          </w:tcPr>
          <w:p>
            <w:pPr>
              <w:ind w:left="2500"/>
              <w:spacing w:after="0" w:line="205" w:lineRule="exact"/>
              <w:rPr>
                <w:sz w:val="20"/>
                <w:szCs w:val="20"/>
                <w:color w:val="auto"/>
              </w:rPr>
            </w:pPr>
            <w:r>
              <w:rPr>
                <w:rFonts w:ascii="Times New Roman" w:cs="Times New Roman" w:eastAsia="Times New Roman" w:hAnsi="Times New Roman"/>
                <w:sz w:val="18"/>
                <w:szCs w:val="18"/>
                <w:color w:val="auto"/>
                <w:w w:val="77"/>
              </w:rPr>
              <w:t>Eugene</w:t>
            </w:r>
          </w:p>
        </w:tc>
        <w:tc>
          <w:tcPr>
            <w:tcW w:w="380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A. Hall</w:t>
            </w:r>
          </w:p>
        </w:tc>
      </w:tr>
      <w:tr>
        <w:trPr>
          <w:trHeight w:val="234"/>
        </w:trPr>
        <w:tc>
          <w:tcPr>
            <w:tcW w:w="4440" w:type="dxa"/>
            <w:vAlign w:val="bottom"/>
          </w:tcPr>
          <w:p>
            <w:pPr>
              <w:spacing w:after="0"/>
              <w:rPr>
                <w:sz w:val="20"/>
                <w:szCs w:val="20"/>
                <w:color w:val="auto"/>
              </w:rPr>
            </w:pPr>
          </w:p>
        </w:tc>
        <w:tc>
          <w:tcPr>
            <w:tcW w:w="67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64"/>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Eugene A. Hall</w:t>
            </w:r>
          </w:p>
        </w:tc>
        <w:tc>
          <w:tcPr>
            <w:tcW w:w="100" w:type="dxa"/>
            <w:vAlign w:val="bottom"/>
          </w:tcPr>
          <w:p>
            <w:pPr>
              <w:spacing w:after="0"/>
              <w:rPr>
                <w:sz w:val="22"/>
                <w:szCs w:val="22"/>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Eugene A. Hall</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W. Safian</w:t>
            </w:r>
          </w:p>
        </w:tc>
        <w:tc>
          <w:tcPr>
            <w:tcW w:w="10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E. Bisson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E. Bisson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Bressler</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Bressler</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Raul E. Cesan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Raul E. Cesan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E. Dykstra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E. Dykstra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José M. Gutiérrez</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José M. Gutiérrez</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S. Ferguson</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Diana S. Ferguson</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Sutherland Fuchs</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Sutherland Fuchs</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O. Grabe</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O. Grabe</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Pagliuca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Pagliuca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Eileen M. Serra</w:t>
            </w:r>
          </w:p>
        </w:tc>
        <w:tc>
          <w:tcPr>
            <w:tcW w:w="100" w:type="dxa"/>
            <w:vAlign w:val="bottom"/>
          </w:tcPr>
          <w:p>
            <w:pPr>
              <w:spacing w:after="0"/>
              <w:rPr>
                <w:sz w:val="24"/>
                <w:szCs w:val="24"/>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r>
      <w:tr>
        <w:trPr>
          <w:trHeight w:val="22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Eileen M. Serra</w:t>
            </w: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APPRECIATION RIGHT AGREEMENT</w:t>
      </w:r>
    </w:p>
    <w:p>
      <w:pPr>
        <w:spacing w:after="0" w:line="220"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2"/>
          <w:szCs w:val="22"/>
          <w:color w:val="auto"/>
        </w:rPr>
        <w:t>Gartner,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you (or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a stock appreciation right (the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under the Company’s Long-Term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exercise in exchange for a payment from the Company pursuant to this SAR. The date of this Agreement is February 6, 2025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In general, the latest date this SAR will expire is February 6, 2032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However, as provided in Appendix A (attached hereto), this SAR may expire earlier than the Expiration Date. Subject to the provisions of Appendix A and of the Plan, the principal features of this SAR are as follows:</w:t>
      </w:r>
    </w:p>
    <w:p>
      <w:pPr>
        <w:spacing w:after="0" w:line="175" w:lineRule="exact"/>
        <w:rPr>
          <w:sz w:val="20"/>
          <w:szCs w:val="20"/>
          <w:color w:val="auto"/>
        </w:rPr>
      </w:pPr>
    </w:p>
    <w:p>
      <w:pPr>
        <w:ind w:left="220" w:right="3720"/>
        <w:spacing w:after="0" w:line="458" w:lineRule="auto"/>
        <w:rPr>
          <w:sz w:val="20"/>
          <w:szCs w:val="20"/>
          <w:color w:val="auto"/>
        </w:rPr>
      </w:pPr>
      <w:r>
        <w:rPr>
          <w:rFonts w:ascii="Times New Roman" w:cs="Times New Roman" w:eastAsia="Times New Roman" w:hAnsi="Times New Roman"/>
          <w:sz w:val="22"/>
          <w:szCs w:val="22"/>
          <w:b w:val="1"/>
          <w:bCs w:val="1"/>
          <w:u w:val="single" w:color="auto"/>
          <w:color w:val="auto"/>
        </w:rPr>
        <w:t>Number of Shares to which this SAR pertains</w:t>
      </w:r>
      <w:r>
        <w:rPr>
          <w:rFonts w:ascii="Times New Roman" w:cs="Times New Roman" w:eastAsia="Times New Roman" w:hAnsi="Times New Roman"/>
          <w:sz w:val="22"/>
          <w:szCs w:val="22"/>
          <w:color w:val="auto"/>
        </w:rPr>
        <w:t>: As provided in the notice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Exercise Price per Share</w:t>
      </w:r>
      <w:r>
        <w:rPr>
          <w:rFonts w:ascii="Times New Roman" w:cs="Times New Roman" w:eastAsia="Times New Roman" w:hAnsi="Times New Roman"/>
          <w:sz w:val="22"/>
          <w:szCs w:val="22"/>
          <w:color w:val="auto"/>
        </w:rPr>
        <w:t>: As provided in the notice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Vesting Schedule:</w:t>
      </w:r>
    </w:p>
    <w:p>
      <w:pPr>
        <w:ind w:right="300" w:firstLine="648"/>
        <w:spacing w:after="0" w:line="309" w:lineRule="auto"/>
        <w:rPr>
          <w:sz w:val="20"/>
          <w:szCs w:val="20"/>
          <w:color w:val="auto"/>
        </w:rPr>
      </w:pPr>
      <w:r>
        <w:rPr>
          <w:rFonts w:ascii="Times New Roman" w:cs="Times New Roman" w:eastAsia="Times New Roman" w:hAnsi="Times New Roman"/>
          <w:sz w:val="21"/>
          <w:szCs w:val="21"/>
          <w:color w:val="auto"/>
        </w:rPr>
        <w:t>Twenty-five percent (25%) of the Shares to which this SAR pertains shall vest on each of the first four anniversaries of the date hereof, or February 6, 2026, 2027, 2028 and 2029, subject to Grantee’s Continued Service through each such date.</w:t>
      </w:r>
    </w:p>
    <w:p>
      <w:pPr>
        <w:sectPr>
          <w:pgSz w:w="11900" w:h="16838" w:orient="portrait"/>
          <w:cols w:equalWidth="0" w:num="1">
            <w:col w:w="11240"/>
          </w:cols>
          <w:pgMar w:left="320" w:top="117" w:right="339" w:bottom="1440" w:gutter="0" w:footer="0" w:header="0"/>
        </w:sectPr>
      </w:pPr>
    </w:p>
    <w:bookmarkStart w:id="79" w:name="page80"/>
    <w:bookmarkEnd w:id="79"/>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STOCK APPRECIATION RIGHTS</w:t>
      </w:r>
    </w:p>
    <w:p>
      <w:pPr>
        <w:spacing w:after="0" w:line="210" w:lineRule="exact"/>
        <w:rPr>
          <w:sz w:val="20"/>
          <w:szCs w:val="20"/>
          <w:color w:val="auto"/>
        </w:rPr>
      </w:pPr>
    </w:p>
    <w:p>
      <w:pPr>
        <w:ind w:firstLine="656"/>
        <w:spacing w:after="0" w:line="220"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SAR</w:t>
      </w:r>
      <w:r>
        <w:rPr>
          <w:rFonts w:ascii="Times New Roman" w:cs="Times New Roman" w:eastAsia="Times New Roman" w:hAnsi="Times New Roman"/>
          <w:sz w:val="22"/>
          <w:szCs w:val="22"/>
          <w:color w:val="auto"/>
        </w:rPr>
        <w:t>. The Company hereby grants to the Grantee under the Plan, as a separate incentive in connection with his or her employment and not in lieu of any salary or other compensation for his or her services, a Stock Appreciation Right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pertaining to all or any part of an aggregate of Shares shown on the attached notice of grant, which SAR entitles the Grantee to exercise the SAR in exchange for Shares in the amount determined under Paragraph 9 below.</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purchase price per Share for this SAR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shall be the Fair Market Value of a Share on the Grant Date, as reflected in the notice of grant.</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960" w:right="80" w:hanging="656"/>
        <w:spacing w:after="0" w:line="216" w:lineRule="auto"/>
        <w:tabs>
          <w:tab w:leader="none" w:pos="195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Except as otherwise provided in this Agreement, the right to exercise this SAR will vest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the vesting schedule set forth in the notice of grant which constitutes part of this Agreement. Shares scheduled to vest on any date will vest only if the Grantee remains in Continued Service (as defined below) through such date. Subject to the following subsections of this Paragraph 3, should the Grantee’s Continued Service end at any time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while the SAR remains outstanding, any unvested portion of this SAR will be immediately cancelled.</w:t>
      </w:r>
    </w:p>
    <w:p>
      <w:pPr>
        <w:spacing w:after="0" w:line="145" w:lineRule="exact"/>
        <w:rPr>
          <w:rFonts w:ascii="Times New Roman" w:cs="Times New Roman" w:eastAsia="Times New Roman" w:hAnsi="Times New Roman"/>
          <w:sz w:val="22"/>
          <w:szCs w:val="22"/>
          <w:color w:val="auto"/>
        </w:rPr>
      </w:pPr>
    </w:p>
    <w:p>
      <w:pPr>
        <w:ind w:left="1960" w:hanging="656"/>
        <w:spacing w:after="0" w:line="216" w:lineRule="auto"/>
        <w:tabs>
          <w:tab w:leader="none" w:pos="195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Death or Disability</w:t>
      </w:r>
      <w:r>
        <w:rPr>
          <w:rFonts w:ascii="Times New Roman" w:cs="Times New Roman" w:eastAsia="Times New Roman" w:hAnsi="Times New Roman"/>
          <w:sz w:val="22"/>
          <w:szCs w:val="22"/>
          <w:color w:val="auto"/>
        </w:rPr>
        <w:t>. If the Grantee’s termination of Continued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is due to the Grantee’s death or Disability, the unvested portion of this SAR shall vest in full on the Termination Date. For the avoidance of doubt, if a Grantee’s Continued Service terminates due to his or her death or Disability and the Grantee is eligible for a Retirement as defined in and in accordance with the requirements set forth in Paragraph 31 of this Agreement, such termination of Continued Service shall be governed by this Paragraph 3(b) and shall not be treated as a Retirement.</w:t>
      </w:r>
    </w:p>
    <w:p>
      <w:pPr>
        <w:spacing w:after="0" w:line="145" w:lineRule="exact"/>
        <w:rPr>
          <w:rFonts w:ascii="Times New Roman" w:cs="Times New Roman" w:eastAsia="Times New Roman" w:hAnsi="Times New Roman"/>
          <w:sz w:val="22"/>
          <w:szCs w:val="22"/>
          <w:color w:val="auto"/>
        </w:rPr>
      </w:pPr>
    </w:p>
    <w:p>
      <w:pPr>
        <w:ind w:left="1960" w:hanging="656"/>
        <w:spacing w:after="0" w:line="211" w:lineRule="auto"/>
        <w:tabs>
          <w:tab w:leader="none" w:pos="195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of Continued Service due to Retirement-Eligible Voluntary Resignation During the Year of Grant. </w:t>
      </w:r>
      <w:r>
        <w:rPr>
          <w:rFonts w:ascii="Times New Roman" w:cs="Times New Roman" w:eastAsia="Times New Roman" w:hAnsi="Times New Roman"/>
          <w:sz w:val="22"/>
          <w:szCs w:val="22"/>
          <w:color w:val="auto"/>
        </w:rPr>
        <w:t>If termination of Continued Service is due to a voluntary resignation and the Grantee is eligible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Retirement in accordance with the requirements set forth in Paragraph 31 of this Agreement, occurring during the calendar year in which the grant was made, the unvested portion of the SAR shall continue to vest after the Termination Date as set forth in the notice of grant, despite the termination of Continued Service (subject to Paragraph 17(c) hereof); provided, that the number of Shares to which this SAR pertains will be reduced to equal the percentage of days in that year in which the Grantee was in Continued Service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for the avoidance of doubt, the number of Shares will equal the number specified in the notice of grant, multiplied by the number of days from January 1 for which the Grantee was in Continued Service, divided by 365).</w:t>
      </w:r>
    </w:p>
    <w:p>
      <w:pPr>
        <w:spacing w:after="0" w:line="178" w:lineRule="exact"/>
        <w:rPr>
          <w:rFonts w:ascii="Times New Roman" w:cs="Times New Roman" w:eastAsia="Times New Roman" w:hAnsi="Times New Roman"/>
          <w:sz w:val="22"/>
          <w:szCs w:val="22"/>
          <w:color w:val="auto"/>
        </w:rPr>
      </w:pPr>
    </w:p>
    <w:p>
      <w:pPr>
        <w:jc w:val="both"/>
        <w:ind w:left="1960" w:right="20" w:hanging="656"/>
        <w:spacing w:after="0" w:line="227" w:lineRule="auto"/>
        <w:tabs>
          <w:tab w:leader="none" w:pos="195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Retirement-Eligible Voluntary Resignation After the Year of Grant or Retirement-Eligible Termination without Cause</w:t>
      </w:r>
      <w:r>
        <w:rPr>
          <w:rFonts w:ascii="Times New Roman" w:cs="Times New Roman" w:eastAsia="Times New Roman" w:hAnsi="Times New Roman"/>
          <w:sz w:val="22"/>
          <w:szCs w:val="22"/>
          <w:color w:val="auto"/>
        </w:rPr>
        <w:t>. If the Grantee is eligible for a Retirement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requirements set forth in Paragraph 31 of this Agreement and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12" w:lineRule="exact"/>
        <w:rPr>
          <w:sz w:val="20"/>
          <w:szCs w:val="20"/>
          <w:color w:val="auto"/>
        </w:rPr>
      </w:pPr>
    </w:p>
    <w:p>
      <w:pPr>
        <w:ind w:left="1880"/>
        <w:spacing w:after="0" w:line="217" w:lineRule="auto"/>
        <w:rPr>
          <w:sz w:val="20"/>
          <w:szCs w:val="20"/>
          <w:color w:val="auto"/>
        </w:rPr>
      </w:pPr>
      <w:r>
        <w:rPr>
          <w:rFonts w:ascii="Times New Roman" w:cs="Times New Roman" w:eastAsia="Times New Roman" w:hAnsi="Times New Roman"/>
          <w:sz w:val="22"/>
          <w:szCs w:val="22"/>
          <w:color w:val="auto"/>
        </w:rPr>
        <w:t>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SAR shall continue to vest after the Termination Date as set forth in the notice of grant, despite the termination of Continued Service, subject to Paragraph 17(c) hereof.</w:t>
      </w:r>
    </w:p>
    <w:p>
      <w:pPr>
        <w:spacing w:after="0" w:line="175" w:lineRule="exact"/>
        <w:rPr>
          <w:sz w:val="20"/>
          <w:szCs w:val="20"/>
          <w:color w:val="auto"/>
        </w:rPr>
      </w:pPr>
    </w:p>
    <w:p>
      <w:pPr>
        <w:ind w:left="1880" w:right="120" w:hanging="656"/>
        <w:spacing w:after="0" w:line="212" w:lineRule="auto"/>
        <w:tabs>
          <w:tab w:leader="none" w:pos="187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Qualifying Termination following a Change of Control</w:t>
      </w:r>
      <w:r>
        <w:rPr>
          <w:rFonts w:ascii="Times New Roman" w:cs="Times New Roman" w:eastAsia="Times New Roman" w:hAnsi="Times New Roman"/>
          <w:sz w:val="22"/>
          <w:szCs w:val="22"/>
          <w:color w:val="auto"/>
        </w:rPr>
        <w:t>. Unless the Grantee’s employment, severance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(a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the unvested portion of the SAR shall vest on the Termination Date. For the avoidance of doubt, (i) to the extent that the Grantee is eligible for a Retirement in accordance with the requirements set forth in Paragraph 31 of this Agreement and he or she experiences a Qualifying Termination, the vesting provisions set forth in this Paragraph 3(e) (not Paragraph 3(d)) shall control, and (ii) Section 13.10 of the Plan does not apply to the SAR granted hereunder.</w:t>
      </w:r>
    </w:p>
    <w:p>
      <w:pPr>
        <w:spacing w:after="0" w:line="148" w:lineRule="exact"/>
        <w:rPr>
          <w:rFonts w:ascii="Times New Roman" w:cs="Times New Roman" w:eastAsia="Times New Roman" w:hAnsi="Times New Roman"/>
          <w:sz w:val="22"/>
          <w:szCs w:val="22"/>
          <w:color w:val="auto"/>
        </w:rPr>
      </w:pPr>
    </w:p>
    <w:p>
      <w:pPr>
        <w:ind w:left="1880" w:right="40" w:hanging="656"/>
        <w:spacing w:after="0" w:line="228" w:lineRule="auto"/>
        <w:tabs>
          <w:tab w:leader="none" w:pos="188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Conditions</w:t>
      </w:r>
      <w:r>
        <w:rPr>
          <w:rFonts w:ascii="Times New Roman" w:cs="Times New Roman" w:eastAsia="Times New Roman" w:hAnsi="Times New Roman"/>
          <w:sz w:val="21"/>
          <w:szCs w:val="21"/>
          <w:color w:val="auto"/>
        </w:rPr>
        <w:t>. Notwithstanding anything herein to the contrary, the vesting terms set forth in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Paragraph 3 are contingent upon the Grantee being in full compliance with all the terms of this Agreement at the time of vesting. The Committee, in its discretion, may accelerate the vesting of the balance, or some lesser portion of the balance, of the SARs at any time, subject to the terms of the Plan. If so accelerated, such SARs will be considered as having vested as of the date specified by the Committee.</w:t>
      </w:r>
    </w:p>
    <w:p>
      <w:pPr>
        <w:spacing w:after="0" w:line="152" w:lineRule="exact"/>
        <w:rPr>
          <w:rFonts w:ascii="Times New Roman" w:cs="Times New Roman" w:eastAsia="Times New Roman" w:hAnsi="Times New Roman"/>
          <w:sz w:val="21"/>
          <w:szCs w:val="21"/>
          <w:color w:val="auto"/>
        </w:rPr>
      </w:pPr>
    </w:p>
    <w:p>
      <w:pPr>
        <w:ind w:left="-80" w:firstLine="656"/>
        <w:spacing w:after="0" w:line="220" w:lineRule="auto"/>
        <w:tabs>
          <w:tab w:leader="none" w:pos="12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SAR</w:t>
      </w:r>
      <w:r>
        <w:rPr>
          <w:rFonts w:ascii="Times New Roman" w:cs="Times New Roman" w:eastAsia="Times New Roman" w:hAnsi="Times New Roman"/>
          <w:sz w:val="22"/>
          <w:szCs w:val="22"/>
          <w:color w:val="auto"/>
        </w:rPr>
        <w:t>. In the event of the Grantee’s termination of Continued Service, the Grantee shall have the right to exercise any vested but unexercised portion of this SAR for the timeframe indicated in the table below following the date of such termination of Continued Service. Any unvested portion of this SAR automatically will terminate and be forfeited (at no cost to the Company) on the first day on which it no longer is possible such portion to become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00"/>
          </w:cols>
          <w:pgMar w:left="400" w:top="1440" w:right="399" w:bottom="1440" w:gutter="0" w:footer="0" w:header="0"/>
        </w:sectPr>
      </w:pPr>
    </w:p>
    <w:bookmarkStart w:id="81" w:name="page82"/>
    <w:bookmarkEnd w:id="81"/>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60" w:type="dxa"/>
            <w:vAlign w:val="bottom"/>
            <w:tcBorders>
              <w:top w:val="single" w:sz="8" w:color="auto"/>
              <w:left w:val="single" w:sz="8" w:color="auto"/>
              <w:bottom w:val="single" w:sz="8" w:color="auto"/>
            </w:tcBorders>
            <w:shd w:val="clear" w:color="auto" w:fill="DBDBDB"/>
          </w:tcPr>
          <w:p>
            <w:pPr>
              <w:spacing w:after="0"/>
              <w:rPr>
                <w:sz w:val="24"/>
                <w:szCs w:val="24"/>
                <w:color w:val="auto"/>
              </w:rPr>
            </w:pPr>
          </w:p>
        </w:tc>
        <w:tc>
          <w:tcPr>
            <w:tcW w:w="5080" w:type="dxa"/>
            <w:vAlign w:val="bottom"/>
            <w:tcBorders>
              <w:top w:val="single" w:sz="8" w:color="auto"/>
              <w:bottom w:val="single" w:sz="8" w:color="auto"/>
              <w:right w:val="single" w:sz="8" w:color="auto"/>
            </w:tcBorders>
            <w:shd w:val="clear" w:color="auto" w:fill="DBDBDB"/>
          </w:tcPr>
          <w:p>
            <w:pPr>
              <w:ind w:left="1260"/>
              <w:spacing w:after="0"/>
              <w:rPr>
                <w:sz w:val="20"/>
                <w:szCs w:val="20"/>
                <w:color w:val="auto"/>
              </w:rPr>
            </w:pPr>
            <w:r>
              <w:rPr>
                <w:rFonts w:ascii="Times New Roman" w:cs="Times New Roman" w:eastAsia="Times New Roman" w:hAnsi="Times New Roman"/>
                <w:sz w:val="22"/>
                <w:szCs w:val="22"/>
                <w:b w:val="1"/>
                <w:bCs w:val="1"/>
                <w:color w:val="auto"/>
              </w:rPr>
              <w:t>Termination Scenario</w:t>
            </w:r>
          </w:p>
        </w:tc>
        <w:tc>
          <w:tcPr>
            <w:tcW w:w="5620" w:type="dxa"/>
            <w:vAlign w:val="bottom"/>
            <w:tcBorders>
              <w:top w:val="single" w:sz="8" w:color="auto"/>
              <w:bottom w:val="single" w:sz="8" w:color="auto"/>
              <w:right w:val="single" w:sz="8" w:color="auto"/>
            </w:tcBorders>
            <w:shd w:val="clear" w:color="auto" w:fill="DBDBDB"/>
          </w:tcPr>
          <w:p>
            <w:pPr>
              <w:ind w:left="1240"/>
              <w:spacing w:after="0"/>
              <w:rPr>
                <w:sz w:val="20"/>
                <w:szCs w:val="20"/>
                <w:color w:val="auto"/>
              </w:rPr>
            </w:pPr>
            <w:r>
              <w:rPr>
                <w:rFonts w:ascii="Times New Roman" w:cs="Times New Roman" w:eastAsia="Times New Roman" w:hAnsi="Times New Roman"/>
                <w:sz w:val="22"/>
                <w:szCs w:val="22"/>
                <w:b w:val="1"/>
                <w:bCs w:val="1"/>
                <w:color w:val="auto"/>
              </w:rPr>
              <w:t>Post-Termination Exercise Period</w:t>
            </w:r>
          </w:p>
        </w:tc>
      </w:tr>
      <w:tr>
        <w:trPr>
          <w:trHeight w:val="196"/>
        </w:trPr>
        <w:tc>
          <w:tcPr>
            <w:tcW w:w="5640" w:type="dxa"/>
            <w:vAlign w:val="bottom"/>
            <w:tcBorders>
              <w:left w:val="single" w:sz="8" w:color="auto"/>
              <w:right w:val="single" w:sz="8" w:color="auto"/>
            </w:tcBorders>
            <w:gridSpan w:val="2"/>
          </w:tcPr>
          <w:p>
            <w:pPr>
              <w:ind w:left="360"/>
              <w:spacing w:after="0" w:line="196" w:lineRule="exact"/>
              <w:rPr>
                <w:sz w:val="20"/>
                <w:szCs w:val="20"/>
                <w:color w:val="auto"/>
              </w:rPr>
            </w:pPr>
            <w:r>
              <w:rPr>
                <w:rFonts w:ascii="Times New Roman" w:cs="Times New Roman" w:eastAsia="Times New Roman" w:hAnsi="Times New Roman"/>
                <w:sz w:val="22"/>
                <w:szCs w:val="22"/>
                <w:color w:val="auto"/>
              </w:rPr>
              <w:t>•  Involuntary termination for Cause</w:t>
            </w:r>
          </w:p>
        </w:tc>
        <w:tc>
          <w:tcPr>
            <w:tcW w:w="562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22"/>
                <w:szCs w:val="22"/>
                <w:color w:val="auto"/>
              </w:rPr>
              <w:t>Earlier of Expiration Date or ninety (90) days after the date of</w:t>
            </w:r>
          </w:p>
        </w:tc>
      </w:tr>
      <w:tr>
        <w:trPr>
          <w:trHeight w:val="216"/>
        </w:trPr>
        <w:tc>
          <w:tcPr>
            <w:tcW w:w="5640" w:type="dxa"/>
            <w:vAlign w:val="bottom"/>
            <w:tcBorders>
              <w:left w:val="single" w:sz="8" w:color="auto"/>
              <w:right w:val="single" w:sz="8" w:color="auto"/>
            </w:tcBorders>
            <w:gridSpan w:val="2"/>
          </w:tcPr>
          <w:p>
            <w:pPr>
              <w:ind w:left="360"/>
              <w:spacing w:after="0" w:line="216" w:lineRule="exact"/>
              <w:rPr>
                <w:sz w:val="20"/>
                <w:szCs w:val="20"/>
                <w:color w:val="auto"/>
              </w:rPr>
            </w:pPr>
            <w:r>
              <w:rPr>
                <w:rFonts w:ascii="Times New Roman" w:cs="Times New Roman" w:eastAsia="Times New Roman" w:hAnsi="Times New Roman"/>
                <w:sz w:val="22"/>
                <w:szCs w:val="22"/>
                <w:color w:val="auto"/>
              </w:rPr>
              <w:t>•  Involuntary termination without Cause (not Retirement-</w:t>
            </w:r>
          </w:p>
        </w:tc>
        <w:tc>
          <w:tcPr>
            <w:tcW w:w="562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termination of Continued Service (excluding any period during</w:t>
            </w:r>
          </w:p>
        </w:tc>
      </w:tr>
      <w:tr>
        <w:trPr>
          <w:trHeight w:val="216"/>
        </w:trPr>
        <w:tc>
          <w:tcPr>
            <w:tcW w:w="560" w:type="dxa"/>
            <w:vAlign w:val="bottom"/>
            <w:tcBorders>
              <w:left w:val="single" w:sz="8" w:color="auto"/>
            </w:tcBorders>
          </w:tcPr>
          <w:p>
            <w:pPr>
              <w:spacing w:after="0"/>
              <w:rPr>
                <w:sz w:val="18"/>
                <w:szCs w:val="18"/>
                <w:color w:val="auto"/>
              </w:rPr>
            </w:pPr>
          </w:p>
        </w:tc>
        <w:tc>
          <w:tcPr>
            <w:tcW w:w="5080" w:type="dxa"/>
            <w:vAlign w:val="bottom"/>
            <w:tcBorders>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color w:val="auto"/>
              </w:rPr>
              <w:t>eligible)</w:t>
            </w:r>
          </w:p>
        </w:tc>
        <w:tc>
          <w:tcPr>
            <w:tcW w:w="562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w w:val="99"/>
              </w:rPr>
              <w:t>which Grantee is prohibited from trading under the Company’s</w:t>
            </w:r>
          </w:p>
        </w:tc>
      </w:tr>
      <w:tr>
        <w:trPr>
          <w:trHeight w:val="283"/>
        </w:trPr>
        <w:tc>
          <w:tcPr>
            <w:tcW w:w="564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2"/>
                <w:szCs w:val="22"/>
                <w:color w:val="auto"/>
              </w:rPr>
              <w:t>•  Voluntary resignation (not Retirement-eligible)</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Insider Trading Policy)</w:t>
            </w:r>
          </w:p>
        </w:tc>
      </w:tr>
      <w:tr>
        <w:trPr>
          <w:trHeight w:val="197"/>
        </w:trPr>
        <w:tc>
          <w:tcPr>
            <w:tcW w:w="560" w:type="dxa"/>
            <w:vAlign w:val="bottom"/>
            <w:tcBorders>
              <w:left w:val="single" w:sz="8" w:color="auto"/>
            </w:tcBorders>
          </w:tcPr>
          <w:p>
            <w:pPr>
              <w:ind w:left="360"/>
              <w:spacing w:after="0" w:line="197" w:lineRule="exact"/>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2"/>
                <w:szCs w:val="22"/>
                <w:color w:val="auto"/>
              </w:rPr>
              <w:t>Death</w:t>
            </w:r>
          </w:p>
        </w:tc>
        <w:tc>
          <w:tcPr>
            <w:tcW w:w="562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Earlier of Expiration Date or twelve (12) months after the date</w:t>
            </w:r>
          </w:p>
        </w:tc>
      </w:tr>
      <w:tr>
        <w:trPr>
          <w:trHeight w:val="216"/>
        </w:trPr>
        <w:tc>
          <w:tcPr>
            <w:tcW w:w="560" w:type="dxa"/>
            <w:vAlign w:val="bottom"/>
            <w:tcBorders>
              <w:left w:val="single" w:sz="8" w:color="auto"/>
            </w:tcBorders>
          </w:tcPr>
          <w:p>
            <w:pPr>
              <w:ind w:left="3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right w:val="single" w:sz="8" w:color="auto"/>
            </w:tcBorders>
          </w:tcPr>
          <w:p>
            <w:pPr>
              <w:ind w:left="120"/>
              <w:spacing w:after="0" w:line="216" w:lineRule="exact"/>
              <w:rPr>
                <w:sz w:val="20"/>
                <w:szCs w:val="20"/>
                <w:color w:val="auto"/>
              </w:rPr>
            </w:pPr>
            <w:r>
              <w:rPr>
                <w:rFonts w:ascii="Times New Roman" w:cs="Times New Roman" w:eastAsia="Times New Roman" w:hAnsi="Times New Roman"/>
                <w:sz w:val="22"/>
                <w:szCs w:val="22"/>
                <w:color w:val="auto"/>
              </w:rPr>
              <w:t>Disability</w:t>
            </w:r>
          </w:p>
        </w:tc>
        <w:tc>
          <w:tcPr>
            <w:tcW w:w="562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color w:val="auto"/>
              </w:rPr>
              <w:t>of termination of Continued Service</w:t>
            </w:r>
          </w:p>
        </w:tc>
      </w:tr>
      <w:tr>
        <w:trPr>
          <w:trHeight w:val="283"/>
        </w:trPr>
        <w:tc>
          <w:tcPr>
            <w:tcW w:w="56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Qualifying Termination</w:t>
            </w:r>
          </w:p>
        </w:tc>
        <w:tc>
          <w:tcPr>
            <w:tcW w:w="5620" w:type="dxa"/>
            <w:vAlign w:val="bottom"/>
            <w:tcBorders>
              <w:bottom w:val="single" w:sz="8" w:color="auto"/>
              <w:right w:val="single" w:sz="8" w:color="auto"/>
            </w:tcBorders>
          </w:tcPr>
          <w:p>
            <w:pPr>
              <w:spacing w:after="0"/>
              <w:rPr>
                <w:sz w:val="24"/>
                <w:szCs w:val="24"/>
                <w:color w:val="auto"/>
              </w:rPr>
            </w:pPr>
          </w:p>
        </w:tc>
      </w:tr>
      <w:tr>
        <w:trPr>
          <w:trHeight w:val="264"/>
        </w:trPr>
        <w:tc>
          <w:tcPr>
            <w:tcW w:w="5640" w:type="dxa"/>
            <w:vAlign w:val="bottom"/>
            <w:tcBorders>
              <w:left w:val="single" w:sz="8" w:color="auto"/>
              <w:bottom w:val="single" w:sz="8" w:color="auto"/>
              <w:right w:val="single" w:sz="8" w:color="auto"/>
            </w:tcBorders>
            <w:gridSpan w:val="2"/>
          </w:tcPr>
          <w:p>
            <w:pPr>
              <w:ind w:left="360"/>
              <w:spacing w:after="0"/>
              <w:rPr>
                <w:sz w:val="20"/>
                <w:szCs w:val="20"/>
                <w:color w:val="auto"/>
              </w:rPr>
            </w:pPr>
            <w:r>
              <w:rPr>
                <w:rFonts w:ascii="Times New Roman" w:cs="Times New Roman" w:eastAsia="Times New Roman" w:hAnsi="Times New Roman"/>
                <w:sz w:val="22"/>
                <w:szCs w:val="22"/>
                <w:color w:val="auto"/>
              </w:rPr>
              <w:t>•  Retirement-Eligible Separation (defined below)</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Through the Expiration Date</w:t>
            </w:r>
          </w:p>
        </w:tc>
      </w:tr>
    </w:tbl>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b w:val="1"/>
          <w:bCs w:val="1"/>
          <w:color w:val="auto"/>
        </w:rPr>
        <w:t>Retirement-Eligible Separation</w:t>
      </w:r>
      <w:r>
        <w:rPr>
          <w:rFonts w:ascii="Times New Roman" w:cs="Times New Roman" w:eastAsia="Times New Roman" w:hAnsi="Times New Roman"/>
          <w:sz w:val="22"/>
          <w:szCs w:val="22"/>
          <w:color w:val="auto"/>
        </w:rPr>
        <w:t>” means a termination of Continued Service due to either a Retirement-eligible involuntary termination without Cause or a Retirement-eligible voluntary resignation (whether during or after the year of grant), as described in Paragraph 3(c) or Paragraph 3(d), as applicable.</w:t>
      </w:r>
    </w:p>
    <w:p>
      <w:pPr>
        <w:spacing w:after="0" w:line="143" w:lineRule="exact"/>
        <w:rPr>
          <w:sz w:val="20"/>
          <w:szCs w:val="20"/>
          <w:color w:val="auto"/>
        </w:rPr>
      </w:pPr>
    </w:p>
    <w:p>
      <w:pPr>
        <w:ind w:right="20" w:firstLine="656"/>
        <w:spacing w:after="0" w:line="213" w:lineRule="auto"/>
        <w:tabs>
          <w:tab w:leader="none" w:pos="129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Grantee</w:t>
      </w:r>
      <w:r>
        <w:rPr>
          <w:rFonts w:ascii="Times New Roman" w:cs="Times New Roman" w:eastAsia="Times New Roman" w:hAnsi="Times New Roman"/>
          <w:sz w:val="22"/>
          <w:szCs w:val="22"/>
          <w:color w:val="auto"/>
        </w:rPr>
        <w:t>. In the event that the Grantee dies while in the employ of the Company and/or a parent of the Company or Subsidiary, the administrator or executor of the Grantee’s estate (or such other person to whom the SAR is transferred pursuant to the Grantee’s will or in accordance with the laws of descent and distribution), may exercise any vested but unexercised portion of the SAR in accordance with Paragraph 4 above. Any such transferee must furnish the Company (a) written notice of his or her status as a transferee, (b) evidence satisfactory to the Company to establish the validity of the transfer of this SAR and compliance with any laws or regulations pertaining to such transfer, and (c) written acceptance of the terms and conditions of this SAR as set forth in this Agreement.</w:t>
      </w:r>
    </w:p>
    <w:p>
      <w:pPr>
        <w:spacing w:after="0" w:line="156" w:lineRule="exact"/>
        <w:rPr>
          <w:rFonts w:ascii="Times New Roman" w:cs="Times New Roman" w:eastAsia="Times New Roman" w:hAnsi="Times New Roman"/>
          <w:sz w:val="22"/>
          <w:szCs w:val="22"/>
          <w:color w:val="auto"/>
        </w:rPr>
      </w:pPr>
    </w:p>
    <w:p>
      <w:pPr>
        <w:ind w:right="420" w:firstLine="656"/>
        <w:spacing w:after="0" w:line="236" w:lineRule="auto"/>
        <w:tabs>
          <w:tab w:leader="none" w:pos="129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Eligible to Exercise SAR</w:t>
      </w:r>
      <w:r>
        <w:rPr>
          <w:rFonts w:ascii="Times New Roman" w:cs="Times New Roman" w:eastAsia="Times New Roman" w:hAnsi="Times New Roman"/>
          <w:sz w:val="22"/>
          <w:szCs w:val="22"/>
          <w:color w:val="auto"/>
        </w:rPr>
        <w:t>. Except as provided in Paragraph 5 above or as otherwise determined by the Committee in its discretion, this SAR shall be exercisable during the Grantee’s lifetime only by the Grantee.</w:t>
      </w:r>
    </w:p>
    <w:p>
      <w:pPr>
        <w:spacing w:after="0" w:line="177" w:lineRule="exact"/>
        <w:rPr>
          <w:rFonts w:ascii="Times New Roman" w:cs="Times New Roman" w:eastAsia="Times New Roman" w:hAnsi="Times New Roman"/>
          <w:sz w:val="22"/>
          <w:szCs w:val="22"/>
          <w:color w:val="auto"/>
        </w:rPr>
      </w:pPr>
    </w:p>
    <w:p>
      <w:pPr>
        <w:ind w:right="40" w:firstLine="656"/>
        <w:spacing w:after="0" w:line="216" w:lineRule="auto"/>
        <w:tabs>
          <w:tab w:leader="none" w:pos="129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SAR is Not Transferable</w:t>
      </w:r>
      <w:r>
        <w:rPr>
          <w:rFonts w:ascii="Times New Roman" w:cs="Times New Roman" w:eastAsia="Times New Roman" w:hAnsi="Times New Roman"/>
          <w:sz w:val="21"/>
          <w:szCs w:val="21"/>
          <w:color w:val="auto"/>
        </w:rPr>
        <w:t>. Except to the limited extent provided in Paragraph 5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Stock Appreciation Rights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Stock Appreciation Rights will be reported to Grantee alone, (b) if Grantee proposes to change the nature or character of the transferee trust, Grantee first must inform the Company and the Company may require that the Stock Appreciation Rights be transferred back to Grantee alone, and</w:t>
      </w:r>
    </w:p>
    <w:p>
      <w:pPr>
        <w:spacing w:after="0" w:line="8"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additional other or further transfers of the Stock Appreciation Rights will be permitted under any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60"/>
          </w:cols>
          <w:pgMar w:left="320" w:top="1440" w:right="319" w:bottom="1440" w:gutter="0" w:footer="0" w:header="0"/>
        </w:sectPr>
      </w:pPr>
    </w:p>
    <w:bookmarkStart w:id="82" w:name="page83"/>
    <w:bookmarkEnd w:id="82"/>
    <w:p>
      <w:pPr>
        <w:spacing w:after="0" w:line="200" w:lineRule="exact"/>
        <w:rPr>
          <w:sz w:val="20"/>
          <w:szCs w:val="20"/>
          <w:color w:val="auto"/>
        </w:rPr>
      </w:pPr>
    </w:p>
    <w:p>
      <w:pPr>
        <w:spacing w:after="0" w:line="228" w:lineRule="exact"/>
        <w:rPr>
          <w:sz w:val="20"/>
          <w:szCs w:val="20"/>
          <w:color w:val="auto"/>
        </w:rPr>
      </w:pPr>
    </w:p>
    <w:p>
      <w:pPr>
        <w:ind w:left="-40" w:firstLine="656"/>
        <w:spacing w:after="0" w:line="212" w:lineRule="auto"/>
        <w:tabs>
          <w:tab w:leader="none" w:pos="12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SAR</w:t>
      </w:r>
      <w:r>
        <w:rPr>
          <w:rFonts w:ascii="Times New Roman" w:cs="Times New Roman" w:eastAsia="Times New Roman" w:hAnsi="Times New Roman"/>
          <w:sz w:val="22"/>
          <w:szCs w:val="22"/>
          <w:color w:val="auto"/>
        </w:rPr>
        <w:t>. This SAR may be exercised by the person then entitled to do so as to any Shares, and such exercise must be in accordance with the Company’s published exercise procedures, as in effect from time to time, which may require the Grantee to exercise this SAR through the Company’s designated broker or administrator. Payment of the aggregate exercise price and all taxes that the Company determines are required to be withheld by reason of the exercise of this SAR or as are otherwise required under Paragraph 10 below shall be pursuant to a net exercise, whereby upon exercise of the SAR, Shares having a Fair Market Value equal to the aggregate exercise price applicable to the portion of the SAR being exercised, and all applicable withholdings, shall be withheld from the Shares that the Grantee would otherwise have received pursuant to Paragraph 9 below.</w:t>
      </w:r>
    </w:p>
    <w:p>
      <w:pPr>
        <w:spacing w:after="0" w:line="156" w:lineRule="exact"/>
        <w:rPr>
          <w:rFonts w:ascii="Times New Roman" w:cs="Times New Roman" w:eastAsia="Times New Roman" w:hAnsi="Times New Roman"/>
          <w:sz w:val="22"/>
          <w:szCs w:val="22"/>
          <w:color w:val="auto"/>
        </w:rPr>
      </w:pPr>
    </w:p>
    <w:p>
      <w:pPr>
        <w:ind w:left="-40" w:right="20" w:firstLine="656"/>
        <w:spacing w:after="0" w:line="212" w:lineRule="auto"/>
        <w:tabs>
          <w:tab w:leader="none" w:pos="12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SAR Amount.</w:t>
      </w:r>
      <w:r>
        <w:rPr>
          <w:rFonts w:ascii="Times New Roman" w:cs="Times New Roman" w:eastAsia="Times New Roman" w:hAnsi="Times New Roman"/>
          <w:sz w:val="22"/>
          <w:szCs w:val="22"/>
          <w:color w:val="auto"/>
        </w:rPr>
        <w:t xml:space="preserve"> Upon exercise of this SAR, the Grantee shall be entitled to receive the number of Shares (the “</w:t>
      </w:r>
      <w:r>
        <w:rPr>
          <w:rFonts w:ascii="Times New Roman" w:cs="Times New Roman" w:eastAsia="Times New Roman" w:hAnsi="Times New Roman"/>
          <w:sz w:val="22"/>
          <w:szCs w:val="22"/>
          <w:b w:val="1"/>
          <w:bCs w:val="1"/>
          <w:color w:val="auto"/>
        </w:rPr>
        <w:t>SAR Amount</w:t>
      </w:r>
      <w:r>
        <w:rPr>
          <w:rFonts w:ascii="Times New Roman" w:cs="Times New Roman" w:eastAsia="Times New Roman" w:hAnsi="Times New Roman"/>
          <w:sz w:val="22"/>
          <w:szCs w:val="22"/>
          <w:color w:val="auto"/>
        </w:rPr>
        <w:t>”), subject to Paragraph 8, determined by (i) multiplying (a) the difference between the Fair Market Value of a Share over the Exercise Price; times (b) the number of Shares with respect to which this SAR is exercised, and (ii) dividing the product of (a) and (b) by the Fair Market Value of a Share. The SAR Amount shall be paid to the Grantee solely in whole Shares; any fractional amount shall be rounded down to the nearest whole share. Shares issued pursuant to the exercise of this SAR may be delivered in the form and manner determined by the Company, including, without limitation, in book form or listed in street name with a brokerage company of the Company’s choice. For purposes of this Paragraph 9, Fair Market Value has the same meaning as in the Plan or as otherwise determined by the Company or its delegate.</w:t>
      </w:r>
    </w:p>
    <w:p>
      <w:pPr>
        <w:spacing w:after="0" w:line="156" w:lineRule="exact"/>
        <w:rPr>
          <w:rFonts w:ascii="Times New Roman" w:cs="Times New Roman" w:eastAsia="Times New Roman" w:hAnsi="Times New Roman"/>
          <w:sz w:val="22"/>
          <w:szCs w:val="22"/>
          <w:color w:val="auto"/>
        </w:rPr>
      </w:pPr>
    </w:p>
    <w:p>
      <w:pPr>
        <w:ind w:left="-40" w:firstLine="656"/>
        <w:spacing w:after="0" w:line="208" w:lineRule="auto"/>
        <w:tabs>
          <w:tab w:leader="none" w:pos="12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Payment Obligations</w:t>
      </w:r>
      <w:r>
        <w:rPr>
          <w:rFonts w:ascii="Times New Roman" w:cs="Times New Roman" w:eastAsia="Times New Roman" w:hAnsi="Times New Roman"/>
          <w:sz w:val="22"/>
          <w:szCs w:val="22"/>
          <w:color w:val="auto"/>
        </w:rPr>
        <w:t>. When the Shares are issued as payment for exercised SARs, the Grantee will recognize immediate U.S. taxable income if the Grantee is a U.S. taxpayer. If the Grantee is a non-U.S. taxpayer, the Grantee will be subject to applicable taxes in his or her jurisdiction. The Company (or the employing parent of the Company or Subsidiary) will withhold a portion of the Shares otherwise issuable in payment for exercised SARs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exercise of SARs and the issuance of Shares thereunder. Notwithstanding anything herein to the contrary,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SARs unless and until satisfactory arrangements (as determined by the Committee) have been made by the Grantee with respect to the payment of any income and other taxes which the Company determines must be withheld or collected with respect to such SARs. By accepting this award of SARs, the Grantee expressly consents to the withholding of Shares and to any cash or Share withholding as provided for in this Paragraph 10. All income and other taxes related to the SAR award and any Shares delivered in payment thereof are the sole responsibility of the Grantee. In no event will the Company reimburse the Grantee for any taxes that may be imposed on the Grantee as result of Section 409A of the Internal Revenue Code of 1986, as amended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left="-40" w:right="740" w:firstLine="656"/>
        <w:spacing w:after="0" w:line="225" w:lineRule="auto"/>
        <w:tabs>
          <w:tab w:leader="none" w:pos="12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Exercisability</w:t>
      </w:r>
      <w:r>
        <w:rPr>
          <w:rFonts w:ascii="Times New Roman" w:cs="Times New Roman" w:eastAsia="Times New Roman" w:hAnsi="Times New Roman"/>
          <w:sz w:val="22"/>
          <w:szCs w:val="22"/>
          <w:color w:val="auto"/>
        </w:rPr>
        <w:t>. If at any time the Company shall determine, in its discretion, that the listing, registration or qualification of the SARs upon any securities exchange or under any state or federal law, or the consent or approval of any governmental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360" w:top="1440" w:right="379" w:bottom="1440" w:gutter="0" w:footer="0" w:header="0"/>
        </w:sectPr>
      </w:pPr>
    </w:p>
    <w:bookmarkStart w:id="83" w:name="page84"/>
    <w:bookmarkEnd w:id="83"/>
    <w:p>
      <w:pPr>
        <w:spacing w:after="0" w:line="200" w:lineRule="exact"/>
        <w:rPr>
          <w:sz w:val="20"/>
          <w:szCs w:val="20"/>
          <w:color w:val="auto"/>
        </w:rPr>
      </w:pPr>
    </w:p>
    <w:p>
      <w:pPr>
        <w:spacing w:after="0" w:line="228"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2"/>
          <w:szCs w:val="22"/>
          <w:color w:val="auto"/>
        </w:rPr>
        <w:t>is necessary or desirable as a condition of the exercise of SARs hereunder, this SAR may not be exercised, in whole or in part, unless and until such listing, registration, qualification, consent or approval shall have been effected or obtained free of any conditions not acceptable to the Company. The Company shall make reasonable efforts to meet the requirements of any such state or federal law or securities exchange and to obtain any such consent or approval of any such governmental authority.</w:t>
      </w:r>
    </w:p>
    <w:p>
      <w:pPr>
        <w:spacing w:after="0" w:line="152" w:lineRule="exact"/>
        <w:rPr>
          <w:sz w:val="20"/>
          <w:szCs w:val="20"/>
          <w:color w:val="auto"/>
        </w:rPr>
      </w:pPr>
    </w:p>
    <w:p>
      <w:pPr>
        <w:ind w:right="60" w:firstLine="656"/>
        <w:spacing w:after="0" w:line="21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Stockholder</w:t>
      </w:r>
      <w:r>
        <w:rPr>
          <w:rFonts w:ascii="Times New Roman" w:cs="Times New Roman" w:eastAsia="Times New Roman" w:hAnsi="Times New Roman"/>
          <w:sz w:val="22"/>
          <w:szCs w:val="22"/>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After such issuance, recordation and delivery, the Grantee will have all the rights of a stockholder of the Company with respect to voting such Shares and receipt of dividends and distributions on such Shares.</w:t>
      </w:r>
    </w:p>
    <w:p>
      <w:pPr>
        <w:spacing w:after="0" w:line="152" w:lineRule="exact"/>
        <w:rPr>
          <w:rFonts w:ascii="Times New Roman" w:cs="Times New Roman" w:eastAsia="Times New Roman" w:hAnsi="Times New Roman"/>
          <w:sz w:val="22"/>
          <w:szCs w:val="22"/>
          <w:color w:val="auto"/>
        </w:rPr>
      </w:pPr>
    </w:p>
    <w:p>
      <w:pPr>
        <w:ind w:right="100" w:firstLine="656"/>
        <w:spacing w:after="0" w:line="22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52" w:lineRule="exact"/>
        <w:rPr>
          <w:rFonts w:ascii="Times New Roman" w:cs="Times New Roman" w:eastAsia="Times New Roman" w:hAnsi="Times New Roman"/>
          <w:sz w:val="22"/>
          <w:szCs w:val="22"/>
          <w:color w:val="auto"/>
        </w:rPr>
      </w:pPr>
    </w:p>
    <w:p>
      <w:pPr>
        <w:ind w:right="100" w:firstLine="656"/>
        <w:spacing w:after="0" w:line="212"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w:t>
      </w:r>
      <w:r>
        <w:rPr>
          <w:rFonts w:ascii="Times New Roman" w:cs="Times New Roman" w:eastAsia="Times New Roman" w:hAnsi="Times New Roman"/>
          <w:sz w:val="22"/>
          <w:szCs w:val="22"/>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w:t>
      </w:r>
    </w:p>
    <w:p>
      <w:pPr>
        <w:spacing w:after="0" w:line="156" w:lineRule="exact"/>
        <w:rPr>
          <w:rFonts w:ascii="Times New Roman" w:cs="Times New Roman" w:eastAsia="Times New Roman" w:hAnsi="Times New Roman"/>
          <w:sz w:val="22"/>
          <w:szCs w:val="22"/>
          <w:color w:val="auto"/>
        </w:rPr>
      </w:pPr>
    </w:p>
    <w:p>
      <w:pPr>
        <w:ind w:right="60" w:firstLine="656"/>
        <w:spacing w:after="0" w:line="22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Term of SAR</w:t>
      </w:r>
      <w:r>
        <w:rPr>
          <w:rFonts w:ascii="Times New Roman" w:cs="Times New Roman" w:eastAsia="Times New Roman" w:hAnsi="Times New Roman"/>
          <w:sz w:val="22"/>
          <w:szCs w:val="22"/>
          <w:color w:val="auto"/>
        </w:rPr>
        <w:t>. Notwithstanding any other provision of this Agreement, this SAR is not exercisable after the Expiration Date.</w:t>
      </w:r>
    </w:p>
    <w:p>
      <w:pPr>
        <w:spacing w:after="0" w:line="146" w:lineRule="exact"/>
        <w:rPr>
          <w:rFonts w:ascii="Times New Roman" w:cs="Times New Roman" w:eastAsia="Times New Roman" w:hAnsi="Times New Roman"/>
          <w:sz w:val="22"/>
          <w:szCs w:val="22"/>
          <w:color w:val="auto"/>
        </w:rPr>
      </w:pPr>
    </w:p>
    <w:p>
      <w:pPr>
        <w:ind w:right="20" w:firstLine="656"/>
        <w:spacing w:after="0" w:line="214"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(a)(i) “</w:t>
      </w:r>
      <w:r>
        <w:rPr>
          <w:rFonts w:ascii="Times New Roman" w:cs="Times New Roman" w:eastAsia="Times New Roman" w:hAnsi="Times New Roman"/>
          <w:sz w:val="22"/>
          <w:szCs w:val="22"/>
          <w:b w:val="1"/>
          <w:bCs w:val="1"/>
          <w:color w:val="auto"/>
        </w:rPr>
        <w:t>Competitive Acts</w:t>
      </w:r>
      <w:r>
        <w:rPr>
          <w:rFonts w:ascii="Times New Roman" w:cs="Times New Roman" w:eastAsia="Times New Roman" w:hAnsi="Times New Roman"/>
          <w:sz w:val="22"/>
          <w:szCs w:val="22"/>
          <w:color w:val="auto"/>
        </w:rPr>
        <w:t>” 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207" w:lineRule="exact"/>
        <w:rPr>
          <w:sz w:val="20"/>
          <w:szCs w:val="20"/>
          <w:color w:val="auto"/>
        </w:rPr>
      </w:pPr>
    </w:p>
    <w:p>
      <w:pPr>
        <w:ind w:right="620" w:firstLine="656"/>
        <w:spacing w:after="0" w:line="271" w:lineRule="auto"/>
        <w:tabs>
          <w:tab w:leader="none" w:pos="112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and agrees that the Company’s business is global in nature and that its clients are located throughout the world; therefore, a territorial limitation on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3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competition covenants set forth in this Paragraph 17 would not allow the Company to adequately protect its legitimate business interests, and the absence of such a limitation is entirely reasonable under these circumstances. In addition, Grantee agrees that the provisions of this Paragraph 17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206" w:lineRule="exact"/>
        <w:rPr>
          <w:sz w:val="20"/>
          <w:szCs w:val="20"/>
          <w:color w:val="auto"/>
        </w:rPr>
      </w:pPr>
    </w:p>
    <w:p>
      <w:pPr>
        <w:ind w:right="80" w:firstLine="656"/>
        <w:spacing w:after="0" w:line="263" w:lineRule="auto"/>
        <w:tabs>
          <w:tab w:leader="none" w:pos="118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waive any portion of the Grantee’s obligations contained in Paragraph 17. No such waiver shall be valid unless directly provided to Grantee, in writing, by the Company’s General Counsel or his/her designee.</w:t>
      </w:r>
    </w:p>
    <w:p>
      <w:pPr>
        <w:spacing w:after="0" w:line="194" w:lineRule="exact"/>
        <w:rPr>
          <w:sz w:val="20"/>
          <w:szCs w:val="20"/>
          <w:color w:val="auto"/>
        </w:rPr>
      </w:pPr>
    </w:p>
    <w:p>
      <w:pPr>
        <w:ind w:firstLine="656"/>
        <w:spacing w:after="0" w:line="250" w:lineRule="auto"/>
        <w:tabs>
          <w:tab w:leader="none" w:pos="111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for two (2) years following the termination of his or her Continued Service for any reason whatsoever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207" w:lineRule="exact"/>
        <w:rPr>
          <w:rFonts w:ascii="Times New Roman" w:cs="Times New Roman" w:eastAsia="Times New Roman" w:hAnsi="Times New Roman"/>
          <w:sz w:val="22"/>
          <w:szCs w:val="22"/>
          <w:color w:val="auto"/>
        </w:rPr>
      </w:pPr>
    </w:p>
    <w:p>
      <w:pPr>
        <w:ind w:right="140" w:firstLine="656"/>
        <w:spacing w:after="0" w:line="238" w:lineRule="auto"/>
        <w:tabs>
          <w:tab w:leader="none" w:pos="110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in the event of the Grantee’s termination of Continued Service due to a Retirement-Eligible Separation prior to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Grant Date, the Restricted Period shall initially last for two (2) years following such termination of Continued Service (the “</w:t>
      </w:r>
      <w:r>
        <w:rPr>
          <w:rFonts w:ascii="Times New Roman" w:cs="Times New Roman" w:eastAsia="Times New Roman" w:hAnsi="Times New Roman"/>
          <w:sz w:val="22"/>
          <w:szCs w:val="22"/>
          <w:b w:val="1"/>
          <w:bCs w:val="1"/>
          <w:color w:val="auto"/>
        </w:rPr>
        <w:t>Initial Retirement Restricted Period</w:t>
      </w:r>
      <w:r>
        <w:rPr>
          <w:rFonts w:ascii="Times New Roman" w:cs="Times New Roman" w:eastAsia="Times New Roman" w:hAnsi="Times New Roman"/>
          <w:sz w:val="22"/>
          <w:szCs w:val="22"/>
          <w:color w:val="auto"/>
        </w:rPr>
        <w:t>”); provided, that in order to receive vesting of any portion of the SAR following the end of the Initial Retirement Restricted Period, the Grantee must comply with the following (in any event, subject to continued compliance with the terms of the Plan and this Agreement):</w:t>
      </w:r>
    </w:p>
    <w:p>
      <w:pPr>
        <w:spacing w:after="0" w:line="194" w:lineRule="exact"/>
        <w:rPr>
          <w:rFonts w:ascii="Times New Roman" w:cs="Times New Roman" w:eastAsia="Times New Roman" w:hAnsi="Times New Roman"/>
          <w:sz w:val="22"/>
          <w:szCs w:val="22"/>
          <w:color w:val="auto"/>
        </w:rPr>
      </w:pPr>
    </w:p>
    <w:p>
      <w:pPr>
        <w:ind w:firstLine="2276"/>
        <w:spacing w:after="0" w:line="210" w:lineRule="auto"/>
        <w:tabs>
          <w:tab w:leader="none" w:pos="25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Post-Restriction Tranche</w:t>
      </w:r>
      <w:r>
        <w:rPr>
          <w:rFonts w:ascii="Times New Roman" w:cs="Times New Roman" w:eastAsia="Times New Roman" w:hAnsi="Times New Roman"/>
          <w:sz w:val="22"/>
          <w:szCs w:val="22"/>
          <w:color w:val="auto"/>
        </w:rPr>
        <w:t xml:space="preserve">. Provide the 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000000"/>
        </w:rPr>
        <w:t>) and the Company’s General Counsel with (x) no less than five (5) business days prior to the expiration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Initial Retirement Restricted Period, a written acknowledgment that, in consideration for vesting of the first tranche of the SAR that is scheduled to vest after the Initial Retirement Restricted Period (the “</w:t>
      </w:r>
      <w:r>
        <w:rPr>
          <w:rFonts w:ascii="Times New Roman" w:cs="Times New Roman" w:eastAsia="Times New Roman" w:hAnsi="Times New Roman"/>
          <w:sz w:val="22"/>
          <w:szCs w:val="22"/>
          <w:b w:val="1"/>
          <w:bCs w:val="1"/>
          <w:color w:val="000000"/>
        </w:rPr>
        <w:t>Initial Post-Restriction Tranche</w:t>
      </w:r>
      <w:r>
        <w:rPr>
          <w:rFonts w:ascii="Times New Roman" w:cs="Times New Roman" w:eastAsia="Times New Roman" w:hAnsi="Times New Roman"/>
          <w:sz w:val="22"/>
          <w:szCs w:val="22"/>
          <w:color w:val="000000"/>
        </w:rPr>
        <w:t>”), he or she is electing to, and shall, be subject to the provisions of this Paragraph 17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17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this SAR will be immediately cancelled upon the expiration of the applicable deadline set forth in this Paragraph 17(c)(i).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12" w:lineRule="exact"/>
        <w:rPr>
          <w:sz w:val="20"/>
          <w:szCs w:val="20"/>
          <w:color w:val="auto"/>
        </w:rPr>
      </w:pPr>
    </w:p>
    <w:p>
      <w:pPr>
        <w:ind w:right="20" w:firstLine="2276"/>
        <w:spacing w:after="0" w:line="210" w:lineRule="auto"/>
        <w:tabs>
          <w:tab w:leader="none" w:pos="25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Post-Restriction Tranche</w:t>
      </w:r>
      <w:r>
        <w:rPr>
          <w:rFonts w:ascii="Times New Roman" w:cs="Times New Roman" w:eastAsia="Times New Roman" w:hAnsi="Times New Roman"/>
          <w:sz w:val="22"/>
          <w:szCs w:val="22"/>
          <w:color w:val="auto"/>
        </w:rPr>
        <w:t xml:space="preserve">. To the extent that any portion of the SAR remains unvested following vesting of the Initial Post-Restriction Tranche, provide the 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000000"/>
        </w:rPr>
        <w:t>) and the Company’s General Counsel with (x) no less than five (5) business days prior to the vesting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Initial Post-Restriction Tranche, a written acknowledgment that, in consideration for the final tranche of the SAR that is scheduled to vest after the Initial Retirement Restricted Period (the “</w:t>
      </w:r>
      <w:r>
        <w:rPr>
          <w:rFonts w:ascii="Times New Roman" w:cs="Times New Roman" w:eastAsia="Times New Roman" w:hAnsi="Times New Roman"/>
          <w:sz w:val="22"/>
          <w:szCs w:val="22"/>
          <w:b w:val="1"/>
          <w:bCs w:val="1"/>
          <w:color w:val="000000"/>
        </w:rPr>
        <w:t>Second Post-Restriction Tranche</w:t>
      </w:r>
      <w:r>
        <w:rPr>
          <w:rFonts w:ascii="Times New Roman" w:cs="Times New Roman" w:eastAsia="Times New Roman" w:hAnsi="Times New Roman"/>
          <w:sz w:val="22"/>
          <w:szCs w:val="22"/>
          <w:color w:val="000000"/>
        </w:rPr>
        <w:t>”), he or she is electing to, and shall, be subject to the provisions of this Paragraph 17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17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this SAR will be immediately cancelled upon the expiration of the applicable deadline set forth in this Paragraph 17(c)(ii).</w:t>
      </w:r>
    </w:p>
    <w:p>
      <w:pPr>
        <w:spacing w:after="0" w:line="179" w:lineRule="exact"/>
        <w:rPr>
          <w:sz w:val="20"/>
          <w:szCs w:val="20"/>
          <w:color w:val="auto"/>
        </w:rPr>
      </w:pPr>
    </w:p>
    <w:p>
      <w:pPr>
        <w:ind w:firstLine="2268"/>
        <w:spacing w:after="0" w:line="209"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Illustration</w:t>
      </w:r>
      <w:r>
        <w:rPr>
          <w:rFonts w:ascii="Times New Roman" w:cs="Times New Roman" w:eastAsia="Times New Roman" w:hAnsi="Times New Roman"/>
          <w:sz w:val="22"/>
          <w:szCs w:val="22"/>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SAR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17 through the third anniversary of the Grant Date (i.e., the vesting date for the Initial Post-Restriction Tranche), no less than five business days prior to expiration of the Initial Retirement Restricted Period, and (B) give written confirmation of compliance with this Paragraph 17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17 through the fourth anniversary of the Grant Date (i.e., the vesting date for the Second Post-Restriction Tranche), no less than five business days prior to the third anniversary of the Grant Date, and (B) give written confirmation of compliance with this Paragraph 17 through the fourth anniversary of the Grant Date, no less than five business days prior to the fourth anniversary of the Grant Date.</w:t>
      </w:r>
    </w:p>
    <w:p>
      <w:pPr>
        <w:spacing w:after="0" w:line="210" w:lineRule="exact"/>
        <w:rPr>
          <w:sz w:val="20"/>
          <w:szCs w:val="20"/>
          <w:color w:val="auto"/>
        </w:rPr>
      </w:pPr>
    </w:p>
    <w:p>
      <w:pPr>
        <w:ind w:right="60" w:firstLine="656"/>
        <w:spacing w:after="0" w:line="248" w:lineRule="auto"/>
        <w:tabs>
          <w:tab w:leader="none" w:pos="111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in addition to any and all other remedies available to the Company (at law, in equity, or as otherwise set forth in this Agreement), the Company shall be entitled to liquidated damages for any violation of Paragraph 17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17(c)(i) and/or (ii), respectively, in addition to any and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3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2"/>
          <w:szCs w:val="22"/>
          <w:color w:val="auto"/>
        </w:rPr>
        <w:t>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17, and are not to be deemed a penalty of any kind.</w:t>
      </w:r>
    </w:p>
    <w:p>
      <w:pPr>
        <w:spacing w:after="0" w:line="208" w:lineRule="exact"/>
        <w:rPr>
          <w:sz w:val="20"/>
          <w:szCs w:val="20"/>
          <w:color w:val="auto"/>
        </w:rPr>
      </w:pPr>
    </w:p>
    <w:p>
      <w:pPr>
        <w:ind w:firstLine="656"/>
        <w:spacing w:after="0" w:line="264" w:lineRule="auto"/>
        <w:tabs>
          <w:tab w:leader="none" w:pos="110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enforced to the fullest extent which the court deems reasonable. In the event of Grantee’s breach or violation of this Paragraph 17, or good faith allegation by the Company of such breach or violation, the Restricted Period, the Initial Retirement Restricted Period, and the periods set forth in Paragraphs 17(c)(i) and (ii) (as applicable), shall be tolled until such breach or violation, or allegation thereof, has been duly cured or resolved.</w:t>
      </w:r>
    </w:p>
    <w:p>
      <w:pPr>
        <w:spacing w:after="0" w:line="196" w:lineRule="exact"/>
        <w:rPr>
          <w:rFonts w:ascii="Times New Roman" w:cs="Times New Roman" w:eastAsia="Times New Roman" w:hAnsi="Times New Roman"/>
          <w:sz w:val="21"/>
          <w:szCs w:val="21"/>
          <w:color w:val="auto"/>
        </w:rPr>
      </w:pPr>
    </w:p>
    <w:p>
      <w:pPr>
        <w:ind w:firstLine="656"/>
        <w:spacing w:after="0" w:line="253" w:lineRule="auto"/>
        <w:tabs>
          <w:tab w:leader="none" w:pos="10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Initial Retirement Restricted Period, and the periods set forth in Paragraphs 17(c)(i)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152" w:lineRule="exact"/>
        <w:rPr>
          <w:sz w:val="20"/>
          <w:szCs w:val="20"/>
          <w:color w:val="auto"/>
        </w:rPr>
      </w:pPr>
    </w:p>
    <w:p>
      <w:pPr>
        <w:ind w:right="40" w:firstLine="656"/>
        <w:spacing w:after="0" w:line="217"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No-Hire</w:t>
      </w:r>
      <w:r>
        <w:rPr>
          <w:rFonts w:ascii="Times New Roman" w:cs="Times New Roman" w:eastAsia="Times New Roman" w:hAnsi="Times New Roman"/>
          <w:sz w:val="22"/>
          <w:szCs w:val="22"/>
          <w:color w:val="auto"/>
        </w:rPr>
        <w:t>. The Grantee further agrees that, during the Restricted Period, the Initial Retirement Restricted Period, and the periods set forth in Paragraphs 17(c)(i)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 of employment that are not directed at the Company or any employee(s) of the Company shall not be prohibited by this Paragraph 18. For purposes of this Paragraph 18 (and the preceding Paragraph 17), the “Company” shall include the Company and its Subsidiaries.</w:t>
      </w:r>
    </w:p>
    <w:p>
      <w:pPr>
        <w:spacing w:after="0" w:line="153" w:lineRule="exact"/>
        <w:rPr>
          <w:rFonts w:ascii="Times New Roman" w:cs="Times New Roman" w:eastAsia="Times New Roman" w:hAnsi="Times New Roman"/>
          <w:sz w:val="22"/>
          <w:szCs w:val="22"/>
          <w:color w:val="auto"/>
        </w:rPr>
      </w:pPr>
    </w:p>
    <w:p>
      <w:pPr>
        <w:ind w:right="160" w:firstLine="656"/>
        <w:spacing w:after="0" w:line="225"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SAR contained herein, this Agreement shall be binding upon and inure to the benefit of the heirs, legatees, legal representatives, successors and assigns of the parties hereto.</w:t>
      </w:r>
    </w:p>
    <w:p>
      <w:pPr>
        <w:spacing w:after="0" w:line="152" w:lineRule="exact"/>
        <w:rPr>
          <w:rFonts w:ascii="Times New Roman" w:cs="Times New Roman" w:eastAsia="Times New Roman" w:hAnsi="Times New Roman"/>
          <w:sz w:val="22"/>
          <w:szCs w:val="22"/>
          <w:color w:val="auto"/>
        </w:rPr>
      </w:pPr>
    </w:p>
    <w:p>
      <w:pPr>
        <w:ind w:right="100" w:firstLine="656"/>
        <w:spacing w:after="0" w:line="220"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grant of SARs shall be construed in accordance with and governed by the laws of the State of Delaware, other than its conflicts of law provisions; provided that, notwithstanding the foregoing, Paragraphs 17 and 18 of this Agreement shall be governed by the laws of the State of Connecticut, without regard to its conflicts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40" w:right="359" w:bottom="1440" w:gutter="0" w:footer="0" w:header="0"/>
        </w:sectPr>
      </w:pPr>
    </w:p>
    <w:bookmarkStart w:id="87" w:name="page88"/>
    <w:bookmarkEnd w:id="87"/>
    <w:p>
      <w:pPr>
        <w:spacing w:after="0" w:line="200" w:lineRule="exact"/>
        <w:rPr>
          <w:sz w:val="20"/>
          <w:szCs w:val="20"/>
          <w:color w:val="auto"/>
        </w:rPr>
      </w:pPr>
    </w:p>
    <w:p>
      <w:pPr>
        <w:spacing w:after="0" w:line="228" w:lineRule="exact"/>
        <w:rPr>
          <w:sz w:val="20"/>
          <w:szCs w:val="20"/>
          <w:color w:val="auto"/>
        </w:rPr>
      </w:pPr>
    </w:p>
    <w:p>
      <w:pPr>
        <w:ind w:left="-20" w:right="280" w:firstLine="656"/>
        <w:spacing w:after="0" w:line="236" w:lineRule="auto"/>
        <w:tabs>
          <w:tab w:leader="none" w:pos="127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Governs</w:t>
      </w:r>
      <w:r>
        <w:rPr>
          <w:rFonts w:ascii="Times New Roman" w:cs="Times New Roman" w:eastAsia="Times New Roman" w:hAnsi="Times New Roman"/>
          <w:sz w:val="21"/>
          <w:szCs w:val="21"/>
          <w:color w:val="auto"/>
        </w:rPr>
        <w:t>. This Agreement is subject to all of the terms and provisions of the Plan. In the event of a conflict between one or more provisions of this Agreement and one or more provisions of the Plan, the provisions of the Plan shall govern. Capitalized terms and phrases used and not defined in this Agreement shall have the meaning set forth in the Plan.</w:t>
      </w:r>
    </w:p>
    <w:p>
      <w:pPr>
        <w:spacing w:after="0" w:line="151" w:lineRule="exact"/>
        <w:rPr>
          <w:rFonts w:ascii="Times New Roman" w:cs="Times New Roman" w:eastAsia="Times New Roman" w:hAnsi="Times New Roman"/>
          <w:sz w:val="21"/>
          <w:szCs w:val="21"/>
          <w:color w:val="auto"/>
        </w:rPr>
      </w:pPr>
    </w:p>
    <w:p>
      <w:pPr>
        <w:ind w:left="-20" w:right="60" w:firstLine="656"/>
        <w:spacing w:after="0" w:line="213"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Committee shall have all discretion, power, and authority to interpret the Plan and this Agreement and to adopt such rules for the administration, interpretation and application of the Plan as are consistent therewith (including, but not limited to, the determination of whether or not any SARs have vested). All actions taken and all interpretations and determinations made by the Committee in good faith shall be final and binding upon the Grantee,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56" w:lineRule="exact"/>
        <w:rPr>
          <w:rFonts w:ascii="Times New Roman" w:cs="Times New Roman" w:eastAsia="Times New Roman" w:hAnsi="Times New Roman"/>
          <w:sz w:val="22"/>
          <w:szCs w:val="22"/>
          <w:color w:val="auto"/>
        </w:rPr>
      </w:pPr>
    </w:p>
    <w:p>
      <w:pPr>
        <w:ind w:left="-20" w:firstLine="656"/>
        <w:spacing w:after="0" w:line="217"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in its sole discretion, may decide to deliver any documents related to Stock Appreciation Rights awarded under the Plan or future Stock Appreciation Rights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52" w:lineRule="exact"/>
        <w:rPr>
          <w:rFonts w:ascii="Times New Roman" w:cs="Times New Roman" w:eastAsia="Times New Roman" w:hAnsi="Times New Roman"/>
          <w:sz w:val="22"/>
          <w:szCs w:val="22"/>
          <w:color w:val="auto"/>
        </w:rPr>
      </w:pPr>
    </w:p>
    <w:p>
      <w:pPr>
        <w:ind w:left="-20" w:right="1100" w:firstLine="656"/>
        <w:spacing w:after="0" w:line="236"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provided herein are for convenience only and are not to serve as a basis for the interpretation or construction of this Agreement.</w:t>
      </w:r>
    </w:p>
    <w:p>
      <w:pPr>
        <w:spacing w:after="0" w:line="150" w:lineRule="exact"/>
        <w:rPr>
          <w:rFonts w:ascii="Times New Roman" w:cs="Times New Roman" w:eastAsia="Times New Roman" w:hAnsi="Times New Roman"/>
          <w:sz w:val="22"/>
          <w:szCs w:val="22"/>
          <w:color w:val="auto"/>
        </w:rPr>
      </w:pPr>
    </w:p>
    <w:p>
      <w:pPr>
        <w:ind w:left="-20" w:right="280" w:firstLine="656"/>
        <w:spacing w:after="0" w:line="217"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spacing w:after="0" w:line="152" w:lineRule="exact"/>
        <w:rPr>
          <w:rFonts w:ascii="Times New Roman" w:cs="Times New Roman" w:eastAsia="Times New Roman" w:hAnsi="Times New Roman"/>
          <w:sz w:val="22"/>
          <w:szCs w:val="22"/>
          <w:color w:val="auto"/>
        </w:rPr>
      </w:pPr>
    </w:p>
    <w:p>
      <w:pPr>
        <w:ind w:left="-20" w:right="100" w:firstLine="656"/>
        <w:spacing w:after="0" w:line="222" w:lineRule="auto"/>
        <w:tabs>
          <w:tab w:leader="none" w:pos="127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Agreement</w:t>
      </w:r>
      <w:r>
        <w:rPr>
          <w:rFonts w:ascii="Times New Roman" w:cs="Times New Roman" w:eastAsia="Times New Roman" w:hAnsi="Times New Roman"/>
          <w:sz w:val="21"/>
          <w:szCs w:val="21"/>
          <w:color w:val="auto"/>
        </w:rPr>
        <w:t>. The Plan and this Agreement together the entire understanding of the parties on the subjects covered. The Grantee expressly warrants that he or she is not executing this Agreement in reliance on any promises, representations, or inducements other than those contained herein. Except as otherwise provided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SAR, provided that such revision would not materially reduce the economic benefits provided or intended to be provided under this Agreement. In no event will the Company pay or reimburse the Grantee for any taxes or other costs imposed on account of Section 409A.</w:t>
      </w:r>
    </w:p>
    <w:p>
      <w:pPr>
        <w:spacing w:after="0" w:line="149" w:lineRule="exact"/>
        <w:rPr>
          <w:rFonts w:ascii="Times New Roman" w:cs="Times New Roman" w:eastAsia="Times New Roman" w:hAnsi="Times New Roman"/>
          <w:sz w:val="21"/>
          <w:szCs w:val="21"/>
          <w:color w:val="auto"/>
        </w:rPr>
      </w:pPr>
    </w:p>
    <w:p>
      <w:pPr>
        <w:jc w:val="both"/>
        <w:ind w:left="-20" w:right="80" w:firstLine="656"/>
        <w:spacing w:after="0" w:line="213" w:lineRule="auto"/>
        <w:tabs>
          <w:tab w:leader="none" w:pos="12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This Award Agreement and the SARs are subject to any (a) clawback policy, compensation recovery policy or similar policy or arrangement that the Company may adopt from time to time, whether such policy or arrangement is mandated by law or otherwise, including (but not limited to, the Company’s Compensation Recoupment (Clawback) Policy (the “Policy”)), and (b) compensation recoupment, clawback, or recovery requirement mandated by applicable law. For example, but not by way of limitation, as provided in the Policy, the Grantee may be required to repay to the Company part or all of the Shares and any other compensation that the Grantee receives under this Award Agreement and/or some of the SARs and Shares covered by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40" w:top="1440" w:right="339" w:bottom="1440" w:gutter="0" w:footer="0" w:header="0"/>
        </w:sectPr>
      </w:pPr>
    </w:p>
    <w:bookmarkStart w:id="88" w:name="page89"/>
    <w:bookmarkEnd w:id="88"/>
    <w:p>
      <w:pPr>
        <w:spacing w:after="0" w:line="200" w:lineRule="exact"/>
        <w:rPr>
          <w:sz w:val="20"/>
          <w:szCs w:val="20"/>
          <w:color w:val="auto"/>
        </w:rPr>
      </w:pPr>
    </w:p>
    <w:p>
      <w:pPr>
        <w:spacing w:after="0" w:line="228"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1"/>
          <w:szCs w:val="21"/>
          <w:color w:val="auto"/>
        </w:rPr>
        <w:t>Agreement automatically may be forfeited at no cost to the Company. No clawback, recovery or recoupment of compensation contemplated under this Paragraph 27 will serve as a basis for “good reason,” “constructive termination” or similar term or concept under any employment, compensation, severance or change in control arrangement applicable to the Grantee.</w:t>
      </w:r>
    </w:p>
    <w:p>
      <w:pPr>
        <w:spacing w:after="0" w:line="152" w:lineRule="exact"/>
        <w:rPr>
          <w:sz w:val="20"/>
          <w:szCs w:val="20"/>
          <w:color w:val="auto"/>
        </w:rPr>
      </w:pPr>
    </w:p>
    <w:p>
      <w:pPr>
        <w:jc w:val="both"/>
        <w:ind w:right="180" w:firstLine="656"/>
        <w:spacing w:after="0" w:line="236" w:lineRule="auto"/>
        <w:tabs>
          <w:tab w:leader="none" w:pos="129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Termination</w:t>
      </w:r>
      <w:r>
        <w:rPr>
          <w:rFonts w:ascii="Times New Roman" w:cs="Times New Roman" w:eastAsia="Times New Roman" w:hAnsi="Times New Roman"/>
          <w:sz w:val="21"/>
          <w:szCs w:val="21"/>
          <w:color w:val="auto"/>
        </w:rPr>
        <w:t>. By accepting this SAR, the Grantee expressly warrants that he or she has received an SAR to purchase stock under the Plan, and has received, read and understood a description of the Plan. The Grantee understands that the Plan is discretionary in nature and may be modified, suspended or terminated by the Company at any time.</w:t>
      </w:r>
    </w:p>
    <w:p>
      <w:pPr>
        <w:spacing w:after="0" w:line="15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 Period of Time</w:t>
      </w:r>
      <w:r>
        <w:rPr>
          <w:rFonts w:ascii="Times New Roman" w:cs="Times New Roman" w:eastAsia="Times New Roman" w:hAnsi="Times New Roman"/>
          <w:sz w:val="22"/>
          <w:szCs w:val="22"/>
          <w:color w:val="auto"/>
        </w:rPr>
        <w:t>. The Grantee acknowledges that the Grantee was</w:t>
      </w:r>
    </w:p>
    <w:p>
      <w:pPr>
        <w:spacing w:after="0" w:line="14" w:lineRule="exact"/>
        <w:rPr>
          <w:sz w:val="20"/>
          <w:szCs w:val="20"/>
          <w:color w:val="auto"/>
        </w:rPr>
      </w:pPr>
    </w:p>
    <w:p>
      <w:pPr>
        <w:ind w:right="3620"/>
        <w:spacing w:after="0" w:line="255" w:lineRule="auto"/>
        <w:rPr>
          <w:sz w:val="20"/>
          <w:szCs w:val="20"/>
          <w:color w:val="auto"/>
        </w:rPr>
      </w:pPr>
      <w:r>
        <w:rPr>
          <w:rFonts w:ascii="Times New Roman" w:cs="Times New Roman" w:eastAsia="Times New Roman" w:hAnsi="Times New Roman"/>
          <w:sz w:val="21"/>
          <w:szCs w:val="21"/>
          <w:color w:val="auto"/>
        </w:rPr>
        <w:t>given a reasonable period of time in which to review and consider this Agreement; the Grantee has, in fact, carefully reviewed this Agreement; and the Grantee is entering into</w:t>
      </w:r>
    </w:p>
    <w:p>
      <w:pPr>
        <w:spacing w:after="0" w:line="2" w:lineRule="exact"/>
        <w:rPr>
          <w:sz w:val="20"/>
          <w:szCs w:val="20"/>
          <w:color w:val="auto"/>
        </w:rPr>
      </w:pPr>
    </w:p>
    <w:p>
      <w:pPr>
        <w:ind w:right="3300"/>
        <w:spacing w:after="0" w:line="264" w:lineRule="auto"/>
        <w:rPr>
          <w:sz w:val="20"/>
          <w:szCs w:val="20"/>
          <w:color w:val="auto"/>
        </w:rPr>
      </w:pPr>
      <w:r>
        <w:rPr>
          <w:rFonts w:ascii="Times New Roman" w:cs="Times New Roman" w:eastAsia="Times New Roman" w:hAnsi="Times New Roman"/>
          <w:sz w:val="21"/>
          <w:szCs w:val="21"/>
          <w:color w:val="auto"/>
        </w:rPr>
        <w:t>it voluntarily and of the Grantee’s own free will. The Grantee further acknowledges that the Company advised the Grantee to consult with an attorney in connection with reviewing this Agreement. The Grantee further acknowledges that the Grantee has read this Agreement in its entirety, and that the Grantee fully understand its terms and legal effect.</w:t>
      </w:r>
    </w:p>
    <w:p>
      <w:pPr>
        <w:spacing w:after="0" w:line="140" w:lineRule="exact"/>
        <w:rPr>
          <w:sz w:val="20"/>
          <w:szCs w:val="20"/>
          <w:color w:val="auto"/>
        </w:rPr>
      </w:pPr>
    </w:p>
    <w:p>
      <w:pPr>
        <w:ind w:right="60" w:firstLine="656"/>
        <w:spacing w:after="0" w:line="217"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constitutes the entire understanding of the parties on the subjects covered. The Grantee expressly warrants that he or she is not executing this Agreement in reliance on any promises, representations, or inducements other than those contained herein. Notwithstanding the foregoing, this Agreement shall not have any impact on the Agreement Regarding Certain Conditions of Employment, which is a standalone agreement. The obligations under the Agreement Regarding Certain Conditions of Employment remain in full force and effect.</w:t>
      </w:r>
    </w:p>
    <w:p>
      <w:pPr>
        <w:spacing w:after="0" w:line="152" w:lineRule="exact"/>
        <w:rPr>
          <w:rFonts w:ascii="Times New Roman" w:cs="Times New Roman" w:eastAsia="Times New Roman" w:hAnsi="Times New Roman"/>
          <w:sz w:val="22"/>
          <w:szCs w:val="22"/>
          <w:color w:val="auto"/>
        </w:rPr>
      </w:pPr>
    </w:p>
    <w:p>
      <w:pPr>
        <w:ind w:right="180" w:firstLine="656"/>
        <w:spacing w:after="0" w:line="236"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without definition will have the meanings provided for in the Plan. When used in this Agreement, the following capitalized terms will have the following meanings:</w:t>
      </w:r>
    </w:p>
    <w:p>
      <w:pPr>
        <w:spacing w:after="0" w:line="204" w:lineRule="exact"/>
        <w:rPr>
          <w:sz w:val="20"/>
          <w:szCs w:val="20"/>
          <w:color w:val="auto"/>
        </w:rPr>
      </w:pPr>
    </w:p>
    <w:p>
      <w:pPr>
        <w:ind w:left="130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 becomes available in the public domain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39"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as a result of an unauthorized use, disclosure or action by Grantee, at Grantee’s direction or on Grantee’s behalf, or by any other person who directly or indirectly receives such information from Grantee.</w:t>
      </w:r>
    </w:p>
    <w:p>
      <w:pPr>
        <w:spacing w:after="0" w:line="171" w:lineRule="exact"/>
        <w:rPr>
          <w:sz w:val="20"/>
          <w:szCs w:val="20"/>
          <w:color w:val="auto"/>
        </w:rPr>
      </w:pPr>
    </w:p>
    <w:p>
      <w:pPr>
        <w:ind w:left="1300" w:right="12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Service</w:t>
      </w:r>
      <w:r>
        <w:rPr>
          <w:rFonts w:ascii="Times New Roman" w:cs="Times New Roman" w:eastAsia="Times New Roman" w:hAnsi="Times New Roman"/>
          <w:sz w:val="21"/>
          <w:szCs w:val="21"/>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4" w:lineRule="exact"/>
        <w:rPr>
          <w:sz w:val="20"/>
          <w:szCs w:val="20"/>
          <w:color w:val="auto"/>
        </w:rPr>
      </w:pPr>
    </w:p>
    <w:p>
      <w:pPr>
        <w:ind w:left="1300" w:firstLine="4"/>
        <w:spacing w:after="0" w:line="241" w:lineRule="auto"/>
        <w:tabs>
          <w:tab w:leader="none" w:pos="16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between locations of the Company or between the Company and any parent, Subsidiary or successor;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unless otherwise provided in the Company’s written personnel policies,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220" w:lineRule="exact"/>
        <w:rPr>
          <w:sz w:val="20"/>
          <w:szCs w:val="20"/>
          <w:color w:val="auto"/>
        </w:rPr>
      </w:pPr>
    </w:p>
    <w:p>
      <w:pPr>
        <w:ind w:left="1300" w:right="14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86" w:lineRule="exact"/>
        <w:rPr>
          <w:sz w:val="20"/>
          <w:szCs w:val="20"/>
          <w:color w:val="auto"/>
        </w:rPr>
      </w:pPr>
    </w:p>
    <w:p>
      <w:pPr>
        <w:ind w:right="200" w:firstLine="208"/>
        <w:spacing w:after="0" w:line="252" w:lineRule="auto"/>
        <w:rPr>
          <w:sz w:val="20"/>
          <w:szCs w:val="20"/>
          <w:color w:val="auto"/>
        </w:rPr>
      </w:pPr>
      <w:r>
        <w:rPr>
          <w:rFonts w:ascii="Times New Roman" w:cs="Times New Roman" w:eastAsia="Times New Roman" w:hAnsi="Times New Roman"/>
          <w:sz w:val="22"/>
          <w:szCs w:val="22"/>
          <w:color w:val="auto"/>
        </w:rPr>
        <w:t>Your acceptance of this grant indicates your agreement and understanding that this grant is subject to all of the terms and conditions contained in the Plan and this Agreement, which includes the notice of grant. Your acceptance of this grant indicates your agreement and understanding that this grant is subject to all of the terms and conditions contained in the Plan and this Agreement, which includes the notice of grant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GARTNER,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00" w:lineRule="exact"/>
        <w:rPr>
          <w:sz w:val="20"/>
          <w:szCs w:val="20"/>
          <w:color w:val="auto"/>
        </w:rPr>
      </w:pPr>
    </w:p>
    <w:p>
      <w:pPr>
        <w:spacing w:after="0" w:line="26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2"/>
          <w:szCs w:val="22"/>
          <w:color w:val="auto"/>
        </w:rPr>
        <w:t>Gartner,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you (or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the number of performance stock units indicated in the notice of grant (a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s”) under the Company’s Long-Term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(this type of Award is referred to as Performance Shares under the Plan). The date of this Agreement is February 6, 2025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Subject to the provisions of Appendix A, Appendix B (each attached hereto) and of the Plan, the principal features of this PSU grant are as follows:</w:t>
      </w:r>
    </w:p>
    <w:p>
      <w:pPr>
        <w:spacing w:after="0" w:line="173" w:lineRule="exact"/>
        <w:rPr>
          <w:sz w:val="20"/>
          <w:szCs w:val="20"/>
          <w:color w:val="auto"/>
        </w:rPr>
      </w:pPr>
    </w:p>
    <w:p>
      <w:pPr>
        <w:ind w:right="640"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Target Number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provided in the notice of grant, subject to adjustment as provided under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below.</w:t>
      </w:r>
    </w:p>
    <w:p>
      <w:pPr>
        <w:spacing w:after="0" w:line="230" w:lineRule="exact"/>
        <w:rPr>
          <w:sz w:val="20"/>
          <w:szCs w:val="20"/>
          <w:color w:val="auto"/>
        </w:rPr>
      </w:pPr>
    </w:p>
    <w:p>
      <w:pPr>
        <w:ind w:right="100" w:firstLine="648"/>
        <w:spacing w:after="0" w:line="287" w:lineRule="auto"/>
        <w:rPr>
          <w:sz w:val="20"/>
          <w:szCs w:val="20"/>
          <w:color w:val="auto"/>
        </w:rPr>
      </w:pPr>
      <w:r>
        <w:rPr>
          <w:rFonts w:ascii="Times New Roman" w:cs="Times New Roman" w:eastAsia="Times New Roman" w:hAnsi="Times New Roman"/>
          <w:sz w:val="22"/>
          <w:szCs w:val="22"/>
          <w:b w:val="1"/>
          <w:bCs w:val="1"/>
          <w:u w:val="single" w:color="auto"/>
          <w:color w:val="auto"/>
        </w:rPr>
        <w:t>Performance 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performance conditions and performance goals applicable to the PSUs are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Appendix B.</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Vesting Schedule</w:t>
      </w:r>
      <w:r>
        <w:rPr>
          <w:rFonts w:ascii="Times New Roman" w:cs="Times New Roman" w:eastAsia="Times New Roman" w:hAnsi="Times New Roman"/>
          <w:sz w:val="22"/>
          <w:szCs w:val="22"/>
          <w:b w:val="1"/>
          <w:bCs w:val="1"/>
          <w:color w:val="auto"/>
        </w:rPr>
        <w:t>:</w:t>
      </w:r>
    </w:p>
    <w:p>
      <w:pPr>
        <w:spacing w:after="0" w:line="30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Twenty-five percent (25%) of the PSUs eligible to vest (if any, as determined as set forth on Appendix B) shall vest on each of the first four anniversaries of the date hereof, or February 6, 2026, 2027, 2028 and 2029, subject to Grantee’s Continued Service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PERFORMANCE STOCK UNITS</w:t>
      </w:r>
    </w:p>
    <w:p>
      <w:pPr>
        <w:spacing w:after="0" w:line="197" w:lineRule="exact"/>
        <w:rPr>
          <w:sz w:val="20"/>
          <w:szCs w:val="20"/>
          <w:color w:val="auto"/>
        </w:rPr>
      </w:pPr>
    </w:p>
    <w:p>
      <w:pPr>
        <w:ind w:right="260" w:firstLine="656"/>
        <w:spacing w:after="0" w:line="220"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PSUs</w:t>
      </w:r>
      <w:r>
        <w:rPr>
          <w:rFonts w:ascii="Times New Roman" w:cs="Times New Roman" w:eastAsia="Times New Roman" w:hAnsi="Times New Roman"/>
          <w:sz w:val="22"/>
          <w:szCs w:val="22"/>
          <w:color w:val="auto"/>
        </w:rPr>
        <w:t>. The Company hereby grants to the Grantee under the Plan, as a separate incentive in connection with his or her employment and not in lieu of any salary or other compensation for his or her services, the number of Performance Stock Units (“</w:t>
      </w:r>
      <w:r>
        <w:rPr>
          <w:rFonts w:ascii="Times New Roman" w:cs="Times New Roman" w:eastAsia="Times New Roman" w:hAnsi="Times New Roman"/>
          <w:sz w:val="22"/>
          <w:szCs w:val="22"/>
          <w:b w:val="1"/>
          <w:bCs w:val="1"/>
          <w:color w:val="auto"/>
        </w:rPr>
        <w:t>PSU</w:t>
      </w:r>
      <w:r>
        <w:rPr>
          <w:rFonts w:ascii="Times New Roman" w:cs="Times New Roman" w:eastAsia="Times New Roman" w:hAnsi="Times New Roman"/>
          <w:sz w:val="22"/>
          <w:szCs w:val="22"/>
          <w:color w:val="auto"/>
        </w:rPr>
        <w:t>s”) indicated in the notice of grant, subject to all of the terms and conditions in this Agreement and the Plan. This type of Award is referred to as “Performance Shares” under the Plan.</w:t>
      </w:r>
    </w:p>
    <w:p>
      <w:pPr>
        <w:spacing w:after="0" w:line="152" w:lineRule="exact"/>
        <w:rPr>
          <w:rFonts w:ascii="Times New Roman" w:cs="Times New Roman" w:eastAsia="Times New Roman" w:hAnsi="Times New Roman"/>
          <w:sz w:val="22"/>
          <w:szCs w:val="22"/>
          <w:color w:val="auto"/>
        </w:rPr>
      </w:pPr>
    </w:p>
    <w:p>
      <w:pPr>
        <w:ind w:right="80" w:firstLine="656"/>
        <w:spacing w:after="0" w:line="217"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PSU has a value equal to the Fair Market Value of a Share on the date of grant. Unless and until the PSUs have vested in the manner set forth in Paragraph 3, the Grantee will have no right to payment of such PSUs. Prior to actual payment of any vested PSUs, such PSUs will represent an unfunded and unsecured obligation of the Company. Payment of any vested PSUs will be made in Shares only. In no event will the Grantee be permitted, directly or indirectly, to specify the taxable year of the payment of any PSUs payable under the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960" w:right="180" w:hanging="656"/>
        <w:spacing w:after="0" w:line="216" w:lineRule="auto"/>
        <w:tabs>
          <w:tab w:leader="none" w:pos="195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Except as otherwise provided in this Agreement, the PSUs awarded by this Agreement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scheduled to vest in accordance with the vesting schedule set forth in the notice of grant. PSUs scheduled to vest on a particular date will vest only if the Grantee remains in Continued Service (as defined below) through such date. Subject to the following subsections of this Paragraph 3, should the Grantee’s Continued Service end at any time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while the PSUs remain outstanding, any unvested PSUs will be immediately cancelled.</w:t>
      </w:r>
    </w:p>
    <w:p>
      <w:pPr>
        <w:spacing w:after="0" w:line="145" w:lineRule="exact"/>
        <w:rPr>
          <w:rFonts w:ascii="Times New Roman" w:cs="Times New Roman" w:eastAsia="Times New Roman" w:hAnsi="Times New Roman"/>
          <w:sz w:val="22"/>
          <w:szCs w:val="22"/>
          <w:color w:val="auto"/>
        </w:rPr>
      </w:pPr>
    </w:p>
    <w:p>
      <w:pPr>
        <w:ind w:left="1960" w:hanging="656"/>
        <w:spacing w:after="0" w:line="216" w:lineRule="auto"/>
        <w:tabs>
          <w:tab w:leader="none" w:pos="195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Death or Disability</w:t>
      </w:r>
      <w:r>
        <w:rPr>
          <w:rFonts w:ascii="Times New Roman" w:cs="Times New Roman" w:eastAsia="Times New Roman" w:hAnsi="Times New Roman"/>
          <w:sz w:val="22"/>
          <w:szCs w:val="22"/>
          <w:color w:val="auto"/>
        </w:rPr>
        <w:t>. If the Grantee’s termination of Continued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is due to the Grantee’s death or Disability, the unvested portion of the PSUs shall vest in full on the Termination Date. For the avoidance of doubt, if a Grantee’s Continued Service terminates due to his or her death or Disability and the Grantee is eligible for a Retirement as defined in and in accordance with the requirements set forth in Paragraph 29 of this Agreement, such termination of Continued Service shall be governed by this Paragraph 3(b) and shall not be treated as a Retirement.</w:t>
      </w:r>
    </w:p>
    <w:p>
      <w:pPr>
        <w:spacing w:after="0" w:line="172" w:lineRule="exact"/>
        <w:rPr>
          <w:rFonts w:ascii="Times New Roman" w:cs="Times New Roman" w:eastAsia="Times New Roman" w:hAnsi="Times New Roman"/>
          <w:sz w:val="22"/>
          <w:szCs w:val="22"/>
          <w:color w:val="auto"/>
        </w:rPr>
      </w:pPr>
    </w:p>
    <w:p>
      <w:pPr>
        <w:ind w:left="1960" w:right="120" w:hanging="656"/>
        <w:spacing w:after="0" w:line="211" w:lineRule="auto"/>
        <w:tabs>
          <w:tab w:leader="none" w:pos="195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of Continued Service due to Retirement-Eligible Voluntary Resignation During the Year of Grant. </w:t>
      </w:r>
      <w:r>
        <w:rPr>
          <w:rFonts w:ascii="Times New Roman" w:cs="Times New Roman" w:eastAsia="Times New Roman" w:hAnsi="Times New Roman"/>
          <w:sz w:val="22"/>
          <w:szCs w:val="22"/>
          <w:color w:val="auto"/>
        </w:rPr>
        <w:t>If termination of Continued Service is due to a voluntary resignation and the Grantee is eligible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Retirement in accordance with the requirements set forth in Paragraph 29 of this Agreement, occurring during the calendar year in which the grant was made, the unvested portion of the PSUs shall continue to vest after the Termination Date as set forth in the notice of grant, despite the termination of Continued Service (subject to Paragraph 12(c) hereof); provided, that the target number of PSUs so granted will be reduced to equal the percentage of days in that year in which the Grantee was in Continued Service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for the avoidance of doubt, the target number of PSUs will equal the number specified in the notice of grant, multiplied by the number of days from January 1 for which the Grantee was in Continued Service, divided by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56" w:right="339" w:bottom="1440" w:gutter="0" w:footer="0" w:header="0"/>
        </w:sectPr>
      </w:pPr>
    </w:p>
    <w:bookmarkStart w:id="92" w:name="page93"/>
    <w:bookmarkEnd w:id="92"/>
    <w:p>
      <w:pPr>
        <w:ind w:left="1920" w:hanging="656"/>
        <w:spacing w:after="0" w:line="213" w:lineRule="auto"/>
        <w:tabs>
          <w:tab w:leader="none" w:pos="191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Continued Service due to Retirement-Eligible Voluntary Resignation After the Year of Grant or Retirement-Eligible Termination without Cause</w:t>
      </w:r>
      <w:r>
        <w:rPr>
          <w:rFonts w:ascii="Times New Roman" w:cs="Times New Roman" w:eastAsia="Times New Roman" w:hAnsi="Times New Roman"/>
          <w:sz w:val="22"/>
          <w:szCs w:val="22"/>
          <w:color w:val="auto"/>
        </w:rPr>
        <w:t>. If the Grantee is eligible for a Retirement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requirements set forth in Paragraph 29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PSUs shall continue to vest after the Termination Date as set forth in the notice of grant, despite the termination of Continued Service, subject to Paragraph 12(c) hereof.</w:t>
      </w:r>
    </w:p>
    <w:p>
      <w:pPr>
        <w:spacing w:after="0" w:line="174" w:lineRule="exact"/>
        <w:rPr>
          <w:rFonts w:ascii="Times New Roman" w:cs="Times New Roman" w:eastAsia="Times New Roman" w:hAnsi="Times New Roman"/>
          <w:sz w:val="22"/>
          <w:szCs w:val="22"/>
          <w:color w:val="auto"/>
        </w:rPr>
      </w:pPr>
    </w:p>
    <w:p>
      <w:pPr>
        <w:ind w:left="1920" w:right="40" w:hanging="656"/>
        <w:spacing w:after="0" w:line="221" w:lineRule="auto"/>
        <w:tabs>
          <w:tab w:leader="none" w:pos="1917"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Qualifying Termination following a Change of Control</w:t>
      </w:r>
      <w:r>
        <w:rPr>
          <w:rFonts w:ascii="Times New Roman" w:cs="Times New Roman" w:eastAsia="Times New Roman" w:hAnsi="Times New Roman"/>
          <w:sz w:val="21"/>
          <w:szCs w:val="21"/>
          <w:color w:val="auto"/>
        </w:rPr>
        <w:t>. Unless the Grantee’s employment, severance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the unvested portion of the PSUs shall vest on the Termination Date, with the performance goals hereunder being deemed achieved at one-hundred percent (100%) of the target level of performance. For the avoidance of doubt, (i) to the extent that the Grantee is eligible for a Retirement in accordance with the requirements set forth in Paragraph 29 of this Agreement and he or she experiences a Qualifying Termination, the vesting provisions set forth in this Paragraph 3(e) (not Paragraph 3(d)) shall control, and (ii) Section 13.10 of the Plan does not apply to the PSUs granted hereunder.</w:t>
      </w:r>
    </w:p>
    <w:p>
      <w:pPr>
        <w:spacing w:after="0" w:line="152" w:lineRule="exact"/>
        <w:rPr>
          <w:rFonts w:ascii="Times New Roman" w:cs="Times New Roman" w:eastAsia="Times New Roman" w:hAnsi="Times New Roman"/>
          <w:sz w:val="21"/>
          <w:szCs w:val="21"/>
          <w:color w:val="auto"/>
        </w:rPr>
      </w:pPr>
    </w:p>
    <w:p>
      <w:pPr>
        <w:ind w:left="1920" w:right="80" w:hanging="656"/>
        <w:spacing w:after="0" w:line="216" w:lineRule="auto"/>
        <w:tabs>
          <w:tab w:leader="none" w:pos="192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Conditions</w:t>
      </w:r>
      <w:r>
        <w:rPr>
          <w:rFonts w:ascii="Times New Roman" w:cs="Times New Roman" w:eastAsia="Times New Roman" w:hAnsi="Times New Roman"/>
          <w:sz w:val="22"/>
          <w:szCs w:val="22"/>
          <w:color w:val="auto"/>
        </w:rPr>
        <w:t>. Notwithstanding anything herein to the contrary, (i) the vesting terms set forth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3 are contingent upon the Grantee being in full compliance with all the terms of this Agreement at the time of vesting, and (ii) in the case of PSUs as to which the Performance Adjustment referred to in the notice of grant has not been made at the Termination Date, the PSUs that will be deemed vested on the Termination Date or otherwise pursuant to this Paragraph 3 shall be determined, and shall vest, when such Performance Adjustment has occurred.</w:t>
      </w:r>
    </w:p>
    <w:p>
      <w:pPr>
        <w:spacing w:after="0" w:line="149" w:lineRule="exact"/>
        <w:rPr>
          <w:rFonts w:ascii="Times New Roman" w:cs="Times New Roman" w:eastAsia="Times New Roman" w:hAnsi="Times New Roman"/>
          <w:sz w:val="22"/>
          <w:szCs w:val="22"/>
          <w:color w:val="auto"/>
        </w:rPr>
      </w:pPr>
    </w:p>
    <w:p>
      <w:pPr>
        <w:ind w:left="-40" w:right="20" w:firstLine="656"/>
        <w:spacing w:after="0" w:line="210" w:lineRule="auto"/>
        <w:tabs>
          <w:tab w:leader="none" w:pos="12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 Any PSUs that vest in accordance with Paragraph 3 will be released to the Grantee (or in the event of the Grantee’s death, to his or her estate) in Shares as soon as practicable following the date of vesting, subject to Paragraph 7, but in no event later than the applicable two and one-half (2-½) month period of the “short-term deferral” rule set forth in the Section 1.409A-1(b)(4) of the Treasury Regulations issued under Section 409A. Notwithstanding the foregoing, if the PSUs are “deferred compensation” within the meaning of Section 409A, the vested PSUs will be released to the Grantee (or in the event of the Grantee’s death, to his or her estate) in Shares as soon as practicable following the date of vesting, subject to Paragraph 7, but in no event later than the end of the calendar year that includes the date of vesting or, if later, the fifteen (15th) day of the third (3rd) calendar month following the date of vesting (provided that the Grantee will not be permitted, directly or indirectly, to designate the taxable year of the payment). Further, if some or all of the PSUs that are “deferred compensation” within the meaning of Section 409A vest on account of the Grantee’s termination of Continued Service (other than due to death) in accordance with Paragraph 3, the PSUs that vest on account of the Grantee’s termination of Continued Service will not be considered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60" w:top="1229" w:right="359" w:bottom="1440" w:gutter="0" w:footer="0" w:header="0"/>
        </w:sectPr>
      </w:pPr>
    </w:p>
    <w:bookmarkStart w:id="93" w:name="page94"/>
    <w:bookmarkEnd w:id="93"/>
    <w:p>
      <w:pPr>
        <w:spacing w:after="0" w:line="9"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payable until the Grantee has a “separation from service” within the meaning of Section 409A. In addition, if the Grantee is a “specified employee” within the meaning of Section 409A at the time of the Grantee’s separation from service (other than due to death), then any accelerated PSUs will be paid to the Grantee no earlier than six (6) months and one (1) day following the date of the Grantee’s separation from service unless the Grantee dies following his or her separation from service, in which case, the PSUs will be paid to the Grantee’s estate as soon as practicable following his or her death, subject to Paragraph 7.</w:t>
      </w:r>
    </w:p>
    <w:p>
      <w:pPr>
        <w:spacing w:after="0" w:line="152" w:lineRule="exact"/>
        <w:rPr>
          <w:sz w:val="20"/>
          <w:szCs w:val="20"/>
          <w:color w:val="auto"/>
        </w:rPr>
      </w:pPr>
    </w:p>
    <w:p>
      <w:pPr>
        <w:ind w:right="180" w:firstLine="656"/>
        <w:spacing w:after="0" w:line="217"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Subject to Paragraphs 3(c), 3(d) and 3(e) and notwithstanding any contrary provision of this Agreement, the balance of the PSUs that have not vested pursuant to Paragraph 3 at the time the Grantee ceases to be in Continued Service will be forfeited and automatically transferred to and reacquired by the Company at no cost to the Company. The Grantee shall not be entitled to a refund of any of the price paid for the PSUs forfeited to the Company pursuant to this Paragraph 5.</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Grantee</w:t>
      </w:r>
      <w:r>
        <w:rPr>
          <w:rFonts w:ascii="Times New Roman" w:cs="Times New Roman" w:eastAsia="Times New Roman" w:hAnsi="Times New Roman"/>
          <w:sz w:val="21"/>
          <w:szCs w:val="21"/>
          <w:color w:val="auto"/>
        </w:rPr>
        <w:t>. Any distribution or delivery to be made to the Grantee under this Agreement will, if the Grantee is then deceased, be made to the administrator or executor of the Grantee’s estate (or such other person to whom the PSUs are transferred pursuant to the Grantee’s will or in accordance with the laws of descent and distribution). Any such transferee must furnish the Company (a) written notice of his or her status as a transferee, (b) evidence satisfactory to the Company to establish the validity of the transfer of these PSUs and compliance with any laws or regulations pertaining to such transfer, and (c) written acceptance of the terms and conditions of this Performance Stock Unit grant as set forth in this Agreement.</w:t>
      </w:r>
    </w:p>
    <w:p>
      <w:pPr>
        <w:spacing w:after="0" w:line="153" w:lineRule="exact"/>
        <w:rPr>
          <w:rFonts w:ascii="Times New Roman" w:cs="Times New Roman" w:eastAsia="Times New Roman" w:hAnsi="Times New Roman"/>
          <w:sz w:val="21"/>
          <w:szCs w:val="21"/>
          <w:color w:val="auto"/>
        </w:rPr>
      </w:pPr>
    </w:p>
    <w:p>
      <w:pPr>
        <w:ind w:firstLine="656"/>
        <w:spacing w:after="0" w:line="218" w:lineRule="auto"/>
        <w:tabs>
          <w:tab w:leader="none" w:pos="129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When the Shares are issued as payment for vested PSUs, the Grantee will recognize immediate U.S. taxable income if the Grantee is a U.S. taxpayer. If the Grantee is a non-U.S. taxpayer, the Grantee may be subject to applicable taxes in his or her jurisdiction. The Company (or the employing parent of the Company or Subsidiary) will withhold a portion of the Shares otherwise issuable in payment for vested PSUs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grant of PSUs and the issuance of Shares thereunder.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PSUs unless and until satisfactory arrangements (as determined by the Committee) have been made by the Grantee with respect to the payment of any income and other taxes which the Company determines must be withheld or collected with respect to such PSUs. By accepting this Award, the Grantee expressly consents to the withholding of Shares and to any cash or Share withholding as provided for in this Paragraph 7. All income and other taxes related to the Performance Stock Unit award and any Shares delivered in payment thereof are the sole responsibility of the Grantee. In no event will the Company reimburse the Grantee for any taxes or other costs that may be imposed on the Grantee as result of Section 409A.</w:t>
      </w:r>
    </w:p>
    <w:p>
      <w:pPr>
        <w:spacing w:after="0" w:line="155" w:lineRule="exact"/>
        <w:rPr>
          <w:rFonts w:ascii="Times New Roman" w:cs="Times New Roman" w:eastAsia="Times New Roman" w:hAnsi="Times New Roman"/>
          <w:sz w:val="21"/>
          <w:szCs w:val="21"/>
          <w:color w:val="auto"/>
        </w:rPr>
      </w:pPr>
    </w:p>
    <w:p>
      <w:pPr>
        <w:ind w:right="200" w:firstLine="656"/>
        <w:spacing w:after="0" w:line="236" w:lineRule="auto"/>
        <w:tabs>
          <w:tab w:leader="none" w:pos="129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94" w:name="page95"/>
    <w:bookmarkEnd w:id="94"/>
    <w:p>
      <w:pPr>
        <w:spacing w:after="0" w:line="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21"/>
          <w:szCs w:val="21"/>
          <w:color w:val="auto"/>
        </w:rPr>
        <w:t>Company or its transfer agents or registrars, and delivered to the Grantee (including through electronic delivery to a brokerage account). Notwithstanding any contrary provisions of this Agreement, any quarterly or other regular, periodic dividends or distributions (as determined by the Company) paid on Shares will accrue with respect to unvested PSUs will be subject to the same forfeiture provisions (if any), and be paid out at the same time or time(s), as the underlying PSUs on which such dividends or other distributions have accrued. After such issuance, recordation and delivery, the Grantee will have all the rights of a stockholder of the Company with respect to voting such Shares and receipt of dividends and distributions on such Shares.</w:t>
      </w:r>
    </w:p>
    <w:p>
      <w:pPr>
        <w:spacing w:after="0" w:line="154" w:lineRule="exact"/>
        <w:rPr>
          <w:sz w:val="20"/>
          <w:szCs w:val="20"/>
          <w:color w:val="auto"/>
        </w:rPr>
      </w:pPr>
    </w:p>
    <w:p>
      <w:pPr>
        <w:ind w:right="80" w:firstLine="656"/>
        <w:spacing w:after="0" w:line="212" w:lineRule="auto"/>
        <w:tabs>
          <w:tab w:leader="none" w:pos="12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w:t>
      </w:r>
    </w:p>
    <w:p>
      <w:pPr>
        <w:spacing w:after="0" w:line="156" w:lineRule="exact"/>
        <w:rPr>
          <w:rFonts w:ascii="Times New Roman" w:cs="Times New Roman" w:eastAsia="Times New Roman" w:hAnsi="Times New Roman"/>
          <w:sz w:val="22"/>
          <w:szCs w:val="22"/>
          <w:color w:val="auto"/>
        </w:rPr>
      </w:pPr>
    </w:p>
    <w:p>
      <w:pPr>
        <w:ind w:right="40" w:firstLine="656"/>
        <w:spacing w:after="0" w:line="225" w:lineRule="auto"/>
        <w:tabs>
          <w:tab w:leader="none" w:pos="12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Agreement shall be addressed to the Company, in care of its Secretary at the Company’s headquarters, P.O. Box 10212, 56 Top Gallant Road, Stamford, CT 06902-7700, or at such other address as the Company may hereafter designate in writing.</w:t>
      </w:r>
    </w:p>
    <w:p>
      <w:pPr>
        <w:spacing w:after="0" w:line="179" w:lineRule="exact"/>
        <w:rPr>
          <w:rFonts w:ascii="Times New Roman" w:cs="Times New Roman" w:eastAsia="Times New Roman" w:hAnsi="Times New Roman"/>
          <w:sz w:val="22"/>
          <w:szCs w:val="22"/>
          <w:color w:val="auto"/>
        </w:rPr>
      </w:pPr>
    </w:p>
    <w:p>
      <w:pPr>
        <w:ind w:firstLine="656"/>
        <w:spacing w:after="0" w:line="216" w:lineRule="auto"/>
        <w:tabs>
          <w:tab w:leader="none" w:pos="128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is Not Transferable</w:t>
      </w:r>
      <w:r>
        <w:rPr>
          <w:rFonts w:ascii="Times New Roman" w:cs="Times New Roman" w:eastAsia="Times New Roman" w:hAnsi="Times New Roman"/>
          <w:sz w:val="21"/>
          <w:szCs w:val="21"/>
          <w:color w:val="auto"/>
        </w:rPr>
        <w:t>. Except to the limited extent provided in Paragraph 6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Performance Stock Units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Performance Stock Units will be reported to Grantee alone, (b) if Grantee proposes to change the nature or character of the transferee trust, Grantee first must inform the Company and the Company may require that the Performance Stock Units be transferred back to Grantee alone, and</w:t>
      </w:r>
    </w:p>
    <w:p>
      <w:pPr>
        <w:spacing w:after="0" w:line="7"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additional other or further transfers of the Performance Stock Units will be permitted under any circumstance.</w:t>
      </w:r>
    </w:p>
    <w:p>
      <w:pPr>
        <w:spacing w:after="0" w:line="178" w:lineRule="exact"/>
        <w:rPr>
          <w:rFonts w:ascii="Times New Roman" w:cs="Times New Roman" w:eastAsia="Times New Roman" w:hAnsi="Times New Roman"/>
          <w:sz w:val="22"/>
          <w:szCs w:val="22"/>
          <w:color w:val="auto"/>
        </w:rPr>
      </w:pPr>
    </w:p>
    <w:p>
      <w:pPr>
        <w:ind w:firstLine="656"/>
        <w:spacing w:after="0" w:line="214" w:lineRule="auto"/>
        <w:tabs>
          <w:tab w:leader="none" w:pos="12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(a)(i) “</w:t>
      </w:r>
      <w:r>
        <w:rPr>
          <w:rFonts w:ascii="Times New Roman" w:cs="Times New Roman" w:eastAsia="Times New Roman" w:hAnsi="Times New Roman"/>
          <w:sz w:val="22"/>
          <w:szCs w:val="22"/>
          <w:b w:val="1"/>
          <w:bCs w:val="1"/>
          <w:color w:val="auto"/>
        </w:rPr>
        <w:t>Competitive Acts</w:t>
      </w:r>
      <w:r>
        <w:rPr>
          <w:rFonts w:ascii="Times New Roman" w:cs="Times New Roman" w:eastAsia="Times New Roman" w:hAnsi="Times New Roman"/>
          <w:sz w:val="22"/>
          <w:szCs w:val="22"/>
          <w:color w:val="auto"/>
        </w:rPr>
        <w:t>” 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95" w:name="page96"/>
    <w:bookmarkEnd w:id="95"/>
    <w:p>
      <w:pPr>
        <w:ind w:left="-8" w:right="80" w:firstLine="656"/>
        <w:spacing w:after="0" w:line="252" w:lineRule="auto"/>
        <w:tabs>
          <w:tab w:leader="none" w:pos="112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understands and agrees that the Company’s business is global in nature and that its clients are located throughout the world; therefore, a territorial limitation on the non-competition covenants set forth in this Paragraph 12 would not allow the Company to adequately protect its legitimate business interests, and the absence of such a limitation is entirely reasonable under these circumstances. In addition, Grantee agrees that the provisions of this Paragraph 12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spacing w:after="0" w:line="206" w:lineRule="exact"/>
        <w:rPr>
          <w:rFonts w:ascii="Times New Roman" w:cs="Times New Roman" w:eastAsia="Times New Roman" w:hAnsi="Times New Roman"/>
          <w:sz w:val="22"/>
          <w:szCs w:val="22"/>
          <w:color w:val="auto"/>
        </w:rPr>
      </w:pPr>
    </w:p>
    <w:p>
      <w:pPr>
        <w:ind w:left="1192" w:hanging="544"/>
        <w:spacing w:after="0"/>
        <w:tabs>
          <w:tab w:leader="none" w:pos="1192"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 its sole discretion, waive any portion of the Grantee’s obligations contained in this Paragraph</w:t>
      </w:r>
    </w:p>
    <w:p>
      <w:pPr>
        <w:spacing w:after="0" w:line="39" w:lineRule="exact"/>
        <w:rPr>
          <w:rFonts w:ascii="Times New Roman" w:cs="Times New Roman" w:eastAsia="Times New Roman" w:hAnsi="Times New Roman"/>
          <w:sz w:val="21"/>
          <w:szCs w:val="21"/>
          <w:color w:val="auto"/>
        </w:rPr>
      </w:pPr>
    </w:p>
    <w:p>
      <w:pPr>
        <w:ind w:left="-8" w:right="20" w:firstLine="8"/>
        <w:spacing w:after="0" w:line="248" w:lineRule="auto"/>
        <w:tabs>
          <w:tab w:leader="none" w:pos="31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waiver shall be valid unless directly provided to Grantee, in writing, by the Company’s General Counsel or his or her designee.</w:t>
      </w:r>
    </w:p>
    <w:p>
      <w:pPr>
        <w:spacing w:after="0" w:line="209" w:lineRule="exact"/>
        <w:rPr>
          <w:sz w:val="20"/>
          <w:szCs w:val="20"/>
          <w:color w:val="auto"/>
        </w:rPr>
      </w:pPr>
    </w:p>
    <w:p>
      <w:pPr>
        <w:ind w:left="-8" w:firstLine="656"/>
        <w:spacing w:after="0" w:line="250" w:lineRule="auto"/>
        <w:tabs>
          <w:tab w:leader="none" w:pos="11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for a period of two (2) years following the termination of his or her Continued Service for any reason whatsoever (the “</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spacing w:after="0" w:line="220" w:lineRule="exact"/>
        <w:rPr>
          <w:rFonts w:ascii="Times New Roman" w:cs="Times New Roman" w:eastAsia="Times New Roman" w:hAnsi="Times New Roman"/>
          <w:sz w:val="22"/>
          <w:szCs w:val="22"/>
          <w:color w:val="auto"/>
        </w:rPr>
      </w:pPr>
    </w:p>
    <w:p>
      <w:pPr>
        <w:ind w:left="-8" w:right="20" w:firstLine="656"/>
        <w:spacing w:after="0" w:line="239" w:lineRule="auto"/>
        <w:tabs>
          <w:tab w:leader="none" w:pos="10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in the event of the Grantee’s termination of Continued Service due to either a Retirement-eligible involuntary termination without Cause or a Retirement-eligible voluntary resignation (whether during or after the year of grant), as described in Paragraph 3(c) or Paragraph 3(d), as applicable (a “</w:t>
      </w:r>
      <w:r>
        <w:rPr>
          <w:rFonts w:ascii="Times New Roman" w:cs="Times New Roman" w:eastAsia="Times New Roman" w:hAnsi="Times New Roman"/>
          <w:sz w:val="22"/>
          <w:szCs w:val="22"/>
          <w:b w:val="1"/>
          <w:bCs w:val="1"/>
          <w:color w:val="auto"/>
        </w:rPr>
        <w:t>Retirement-Eligible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prior to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Grant Date, the Restricted Period shall initially last for two (2)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such termination of Continued Service (the “</w:t>
      </w:r>
      <w:r>
        <w:rPr>
          <w:rFonts w:ascii="Times New Roman" w:cs="Times New Roman" w:eastAsia="Times New Roman" w:hAnsi="Times New Roman"/>
          <w:sz w:val="22"/>
          <w:szCs w:val="22"/>
          <w:b w:val="1"/>
          <w:bCs w:val="1"/>
          <w:color w:val="auto"/>
        </w:rPr>
        <w:t>Initial Retirement Restricted Period</w:t>
      </w:r>
      <w:r>
        <w:rPr>
          <w:rFonts w:ascii="Times New Roman" w:cs="Times New Roman" w:eastAsia="Times New Roman" w:hAnsi="Times New Roman"/>
          <w:sz w:val="22"/>
          <w:szCs w:val="22"/>
          <w:color w:val="auto"/>
        </w:rPr>
        <w:t>”); provided, that in order to receive vesting of any portion of the PSUs following the end of the Initial Retirement Restricted Period, the Grantee must comply with the following (in any event, subject to continued compliance with the terms of the Plan and this Agreement):</w:t>
      </w:r>
    </w:p>
    <w:p>
      <w:pPr>
        <w:ind w:left="-8" w:firstLine="1304"/>
        <w:spacing w:after="0" w:line="245" w:lineRule="auto"/>
        <w:tabs>
          <w:tab w:leader="none" w:pos="192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Post-Restriction Tranche</w:t>
      </w:r>
      <w:r>
        <w:rPr>
          <w:rFonts w:ascii="Times New Roman" w:cs="Times New Roman" w:eastAsia="Times New Roman" w:hAnsi="Times New Roman"/>
          <w:sz w:val="22"/>
          <w:szCs w:val="22"/>
          <w:color w:val="auto"/>
        </w:rPr>
        <w:t xml:space="preserve">. Provide the 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000000"/>
        </w:rPr>
        <w:t>) and the Company’s General Counsel with (x) no less than five (5) business days prior to the expiration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Initial Retirement Restricted Period, a written acknowledgment that, in consideration for vesting of the first tranche of the PSUs that is scheduled to vest after the Initial Retirement Restricted Period (the “</w:t>
      </w:r>
      <w:r>
        <w:rPr>
          <w:rFonts w:ascii="Times New Roman" w:cs="Times New Roman" w:eastAsia="Times New Roman" w:hAnsi="Times New Roman"/>
          <w:sz w:val="22"/>
          <w:szCs w:val="22"/>
          <w:b w:val="1"/>
          <w:bCs w:val="1"/>
          <w:color w:val="000000"/>
        </w:rPr>
        <w:t>Initial Post-Restriction Tranche</w:t>
      </w:r>
      <w:r>
        <w:rPr>
          <w:rFonts w:ascii="Times New Roman" w:cs="Times New Roman" w:eastAsia="Times New Roman" w:hAnsi="Times New Roman"/>
          <w:sz w:val="22"/>
          <w:szCs w:val="22"/>
          <w:color w:val="000000"/>
        </w:rPr>
        <w:t>”), he or she is electing to, and shall, be subject to the provisions of this Paragraph 12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12 from the end of the Initial Retirement Restricted Period and will comply with such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32"/>
          </w:cols>
          <w:pgMar w:left="328" w:top="1260" w:right="339" w:bottom="1440" w:gutter="0" w:footer="0" w:header="0"/>
        </w:sectPr>
      </w:pPr>
    </w:p>
    <w:bookmarkStart w:id="96" w:name="page97"/>
    <w:bookmarkEnd w:id="96"/>
    <w:p>
      <w:pPr>
        <w:jc w:val="both"/>
        <w:ind w:right="160"/>
        <w:spacing w:after="0" w:line="263" w:lineRule="auto"/>
        <w:rPr>
          <w:sz w:val="20"/>
          <w:szCs w:val="20"/>
          <w:color w:val="auto"/>
        </w:rPr>
      </w:pPr>
      <w:r>
        <w:rPr>
          <w:rFonts w:ascii="Times New Roman" w:cs="Times New Roman" w:eastAsia="Times New Roman" w:hAnsi="Times New Roman"/>
          <w:sz w:val="22"/>
          <w:szCs w:val="22"/>
          <w:color w:val="auto"/>
        </w:rPr>
        <w:t>through the applicable vesting date for the Initial Post-Restriction Tranche. In the event that the Grantee does not timely provide either or both of such notices, any remaining unvested portion of the PSUs will be immediately cancelled upon the expiration of the applicable deadline set forth in this Paragraph 12(c)(i).</w:t>
      </w:r>
    </w:p>
    <w:p>
      <w:pPr>
        <w:spacing w:after="0" w:line="167" w:lineRule="exact"/>
        <w:rPr>
          <w:sz w:val="20"/>
          <w:szCs w:val="20"/>
          <w:color w:val="auto"/>
        </w:rPr>
      </w:pPr>
    </w:p>
    <w:p>
      <w:pPr>
        <w:ind w:right="20" w:firstLine="1304"/>
        <w:spacing w:after="0" w:line="248" w:lineRule="auto"/>
        <w:tabs>
          <w:tab w:leader="none" w:pos="193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Post-Restriction Tranche</w:t>
      </w:r>
      <w:r>
        <w:rPr>
          <w:rFonts w:ascii="Times New Roman" w:cs="Times New Roman" w:eastAsia="Times New Roman" w:hAnsi="Times New Roman"/>
          <w:sz w:val="22"/>
          <w:szCs w:val="22"/>
          <w:color w:val="auto"/>
        </w:rPr>
        <w:t xml:space="preserve">. To the extent that any portion of the PSUs remains unvested following vesting of the Initial Post-Restriction Tranche, provide the Company’s Capital Appreciation Team (via email at </w:t>
      </w:r>
      <w:r>
        <w:rPr>
          <w:rFonts w:ascii="Times New Roman" w:cs="Times New Roman" w:eastAsia="Times New Roman" w:hAnsi="Times New Roman"/>
          <w:sz w:val="22"/>
          <w:szCs w:val="22"/>
          <w:u w:val="single" w:color="auto"/>
          <w:color w:val="0000FF"/>
        </w:rPr>
        <w:t>AskHR@Gartner.com</w:t>
      </w:r>
      <w:r>
        <w:rPr>
          <w:rFonts w:ascii="Times New Roman" w:cs="Times New Roman" w:eastAsia="Times New Roman" w:hAnsi="Times New Roman"/>
          <w:sz w:val="22"/>
          <w:szCs w:val="22"/>
          <w:color w:val="000000"/>
        </w:rPr>
        <w:t>) and the Company’s General Counsel with (x) no less than five (5) business days prior to the vesting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Initial Post-Restriction Tranche, a written acknowledgment that, in consideration for the final tranche of the PSUs that is scheduled to vest after the Initial Retirement Restricted Period (the “</w:t>
      </w:r>
      <w:r>
        <w:rPr>
          <w:rFonts w:ascii="Times New Roman" w:cs="Times New Roman" w:eastAsia="Times New Roman" w:hAnsi="Times New Roman"/>
          <w:sz w:val="22"/>
          <w:szCs w:val="22"/>
          <w:b w:val="1"/>
          <w:bCs w:val="1"/>
          <w:color w:val="000000"/>
        </w:rPr>
        <w:t>Second Post-Restriction Tranche</w:t>
      </w:r>
      <w:r>
        <w:rPr>
          <w:rFonts w:ascii="Times New Roman" w:cs="Times New Roman" w:eastAsia="Times New Roman" w:hAnsi="Times New Roman"/>
          <w:sz w:val="22"/>
          <w:szCs w:val="22"/>
          <w:color w:val="000000"/>
        </w:rPr>
        <w:t>”), he or she is electing to, and shall, be subject to the provisions of this Paragraph 12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12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the PSUs will be immediately cancelled upon the expiration of the applicable deadline set forth in this Paragraph 12(c)(ii).</w:t>
      </w:r>
    </w:p>
    <w:p>
      <w:pPr>
        <w:spacing w:after="0" w:line="184" w:lineRule="exact"/>
        <w:rPr>
          <w:rFonts w:ascii="Times New Roman" w:cs="Times New Roman" w:eastAsia="Times New Roman" w:hAnsi="Times New Roman"/>
          <w:sz w:val="22"/>
          <w:szCs w:val="22"/>
          <w:color w:val="auto"/>
        </w:rPr>
      </w:pPr>
    </w:p>
    <w:p>
      <w:pPr>
        <w:ind w:firstLine="1304"/>
        <w:spacing w:after="0" w:line="248" w:lineRule="auto"/>
        <w:tabs>
          <w:tab w:leader="none" w:pos="194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Illustration</w:t>
      </w:r>
      <w:r>
        <w:rPr>
          <w:rFonts w:ascii="Times New Roman" w:cs="Times New Roman" w:eastAsia="Times New Roman" w:hAnsi="Times New Roman"/>
          <w:sz w:val="22"/>
          <w:szCs w:val="22"/>
          <w:color w:val="auto"/>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PSUs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12 through the third anniversary of the Grant Date (i.e., the vesting date for the Initial Post-Restriction Tranche), no less than five business days prior to expiration of the Initial Retirement Restricted Period, and (B) give written confirmation of compliance with this Paragraph 12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12 through the fourth anniversary of the Grant Date (i.e., the vesting date for the Second Post-Restriction Tranche), no less than five business days prior to the third anniversary of the Grant Date, and (B) give written confirmation of compliance with this Paragraph 12 through the fourth anniversary of the Grant Date, no less than five business days prior to the fourth anniversary of the Grant Date.</w:t>
      </w:r>
    </w:p>
    <w:p>
      <w:pPr>
        <w:spacing w:after="0" w:line="187" w:lineRule="exact"/>
        <w:rPr>
          <w:rFonts w:ascii="Times New Roman" w:cs="Times New Roman" w:eastAsia="Times New Roman" w:hAnsi="Times New Roman"/>
          <w:sz w:val="22"/>
          <w:szCs w:val="22"/>
          <w:color w:val="auto"/>
        </w:rPr>
      </w:pPr>
    </w:p>
    <w:p>
      <w:pPr>
        <w:ind w:right="200" w:firstLine="656"/>
        <w:spacing w:after="0" w:line="275" w:lineRule="auto"/>
        <w:tabs>
          <w:tab w:leader="none" w:pos="111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agrees that, in addition to any and all other remedies available to the Company (at law, in equity, or as otherwise set forth in this Agreement), the Company shall be entitled to liquidated damages for any violation of Paragraph 12 during the Restricted Period (or, in the event of a Retirement-Eligible Separation, the Initial Retirement Restricted Period)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60" w:right="339" w:bottom="1440" w:gutter="0" w:footer="0" w:header="0"/>
        </w:sectPr>
      </w:pPr>
    </w:p>
    <w:bookmarkStart w:id="97" w:name="page98"/>
    <w:bookmarkEnd w:id="97"/>
    <w:p>
      <w:pPr>
        <w:ind w:right="40"/>
        <w:spacing w:after="0" w:line="248" w:lineRule="auto"/>
        <w:rPr>
          <w:sz w:val="20"/>
          <w:szCs w:val="20"/>
          <w:color w:val="auto"/>
        </w:rPr>
      </w:pPr>
      <w:r>
        <w:rPr>
          <w:rFonts w:ascii="Times New Roman" w:cs="Times New Roman" w:eastAsia="Times New Roman" w:hAnsi="Times New Roman"/>
          <w:sz w:val="22"/>
          <w:szCs w:val="22"/>
          <w:color w:val="auto"/>
        </w:rPr>
        <w:t>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12(c)(i)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12, and are not to be deemed a penalty of any kind.</w:t>
      </w:r>
    </w:p>
    <w:p>
      <w:pPr>
        <w:spacing w:after="0" w:line="220" w:lineRule="exact"/>
        <w:rPr>
          <w:sz w:val="20"/>
          <w:szCs w:val="20"/>
          <w:color w:val="auto"/>
        </w:rPr>
      </w:pPr>
    </w:p>
    <w:p>
      <w:pPr>
        <w:ind w:firstLine="656"/>
        <w:spacing w:after="0" w:line="262" w:lineRule="auto"/>
        <w:tabs>
          <w:tab w:leader="none" w:pos="110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enforced to the fullest extent which the court deems reasonable. In the event of Grantee’s breach or violation of this Paragraph 12, or good faith allegation by the Company of such breach or violation, the Restricted Period, the Initial Retirement Restricted Period, and the periods set forth in Paragraphs 12(c)(i) and (ii) (as applicable),shall be tolled until such breach or violation, or allegation thereof, has been duly cured or resolved.</w:t>
      </w:r>
    </w:p>
    <w:p>
      <w:pPr>
        <w:spacing w:after="0" w:line="199" w:lineRule="exact"/>
        <w:rPr>
          <w:rFonts w:ascii="Times New Roman" w:cs="Times New Roman" w:eastAsia="Times New Roman" w:hAnsi="Times New Roman"/>
          <w:sz w:val="21"/>
          <w:szCs w:val="21"/>
          <w:color w:val="auto"/>
        </w:rPr>
      </w:pPr>
    </w:p>
    <w:p>
      <w:pPr>
        <w:ind w:firstLine="656"/>
        <w:spacing w:after="0" w:line="253" w:lineRule="auto"/>
        <w:tabs>
          <w:tab w:leader="none" w:pos="10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Initial Retirement Restricted Period, and the periods set forth in Paragraphs 12(c)(i)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w:t>
      </w:r>
    </w:p>
    <w:p>
      <w:pPr>
        <w:spacing w:after="0" w:line="20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Paragraph 12, the “Company” shall include the Company or any parent of the Company or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80" w:lineRule="exact"/>
        <w:rPr>
          <w:sz w:val="20"/>
          <w:szCs w:val="20"/>
          <w:color w:val="auto"/>
        </w:rPr>
      </w:pPr>
    </w:p>
    <w:p>
      <w:pPr>
        <w:ind w:right="40" w:firstLine="656"/>
        <w:spacing w:after="0" w:line="222"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No-Hire</w:t>
      </w:r>
      <w:r>
        <w:rPr>
          <w:rFonts w:ascii="Times New Roman" w:cs="Times New Roman" w:eastAsia="Times New Roman" w:hAnsi="Times New Roman"/>
          <w:sz w:val="22"/>
          <w:szCs w:val="22"/>
          <w:color w:val="auto"/>
        </w:rPr>
        <w:t>. The Grantee further agrees that, during the Restricted Period, the Initial Retirement Restricted Period, and the periods set forth in Paragraphs 12(c)(i)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 General mass solicitations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260" w:right="359" w:bottom="1440" w:gutter="0" w:footer="0" w:header="0"/>
        </w:sectPr>
      </w:pPr>
    </w:p>
    <w:bookmarkStart w:id="98" w:name="page99"/>
    <w:bookmarkEnd w:id="98"/>
    <w:p>
      <w:pPr>
        <w:spacing w:after="0" w:line="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of employment that are not directed at the Company or any employee(s) of the Company shall not be prohibited by this Paragraph 13. For purposes of this Paragraph 13 (and the preceding Paragraph 12, the “Company” shall include the Company and its Subsidiaries).</w:t>
      </w:r>
    </w:p>
    <w:p>
      <w:pPr>
        <w:spacing w:after="0" w:line="206" w:lineRule="exact"/>
        <w:rPr>
          <w:sz w:val="20"/>
          <w:szCs w:val="20"/>
          <w:color w:val="auto"/>
        </w:rPr>
      </w:pPr>
    </w:p>
    <w:p>
      <w:pPr>
        <w:ind w:right="960" w:firstLine="648"/>
        <w:spacing w:after="0" w:line="284" w:lineRule="auto"/>
        <w:rPr>
          <w:sz w:val="20"/>
          <w:szCs w:val="20"/>
          <w:color w:val="auto"/>
        </w:rPr>
      </w:pPr>
      <w:r>
        <w:rPr>
          <w:rFonts w:ascii="Times New Roman" w:cs="Times New Roman" w:eastAsia="Times New Roman" w:hAnsi="Times New Roman"/>
          <w:sz w:val="22"/>
          <w:szCs w:val="22"/>
          <w:color w:val="auto"/>
        </w:rPr>
        <w:t>For purposes of this Paragraph 13, the “Company” shall include the Company or any parent of the Company or Subsidiary.</w:t>
      </w:r>
    </w:p>
    <w:p>
      <w:pPr>
        <w:spacing w:after="0" w:line="117" w:lineRule="exact"/>
        <w:rPr>
          <w:sz w:val="20"/>
          <w:szCs w:val="20"/>
          <w:color w:val="auto"/>
        </w:rPr>
      </w:pPr>
    </w:p>
    <w:p>
      <w:pPr>
        <w:ind w:right="100" w:firstLine="656"/>
        <w:spacing w:after="0" w:line="225"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spacing w:after="0" w:line="152" w:lineRule="exact"/>
        <w:rPr>
          <w:rFonts w:ascii="Times New Roman" w:cs="Times New Roman" w:eastAsia="Times New Roman" w:hAnsi="Times New Roman"/>
          <w:sz w:val="22"/>
          <w:szCs w:val="22"/>
          <w:color w:val="auto"/>
        </w:rPr>
      </w:pPr>
    </w:p>
    <w:p>
      <w:pPr>
        <w:ind w:right="100" w:firstLine="656"/>
        <w:spacing w:after="0" w:line="220"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Securities</w:t>
      </w:r>
      <w:r>
        <w:rPr>
          <w:rFonts w:ascii="Times New Roman" w:cs="Times New Roman" w:eastAsia="Times New Roman" w:hAnsi="Times New Roman"/>
          <w:sz w:val="22"/>
          <w:szCs w:val="22"/>
          <w:color w:val="auto"/>
        </w:rPr>
        <w:t>. The Shares issued as payment for vested PSUs awarded under this Agreement will be registered under the federal securities laws and will be freely tradable upon receipt. However, the Grantee’s subsequent sale of the Shares will be subject to any market blackout-period that may be imposed by the Company and must comply with the Company’s insider trading policies, and any other applicable securities laws.</w:t>
      </w:r>
    </w:p>
    <w:p>
      <w:pPr>
        <w:spacing w:after="0" w:line="152" w:lineRule="exact"/>
        <w:rPr>
          <w:rFonts w:ascii="Times New Roman" w:cs="Times New Roman" w:eastAsia="Times New Roman" w:hAnsi="Times New Roman"/>
          <w:sz w:val="22"/>
          <w:szCs w:val="22"/>
          <w:color w:val="auto"/>
        </w:rPr>
      </w:pPr>
    </w:p>
    <w:p>
      <w:pPr>
        <w:ind w:right="160" w:firstLine="656"/>
        <w:spacing w:after="0" w:line="225"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52" w:lineRule="exact"/>
        <w:rPr>
          <w:rFonts w:ascii="Times New Roman" w:cs="Times New Roman" w:eastAsia="Times New Roman" w:hAnsi="Times New Roman"/>
          <w:sz w:val="22"/>
          <w:szCs w:val="22"/>
          <w:color w:val="auto"/>
        </w:rPr>
      </w:pPr>
    </w:p>
    <w:p>
      <w:pPr>
        <w:ind w:right="40" w:firstLine="656"/>
        <w:spacing w:after="0" w:line="221"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for Issuance of Stock</w:t>
      </w:r>
      <w:r>
        <w:rPr>
          <w:rFonts w:ascii="Times New Roman" w:cs="Times New Roman" w:eastAsia="Times New Roman" w:hAnsi="Times New Roman"/>
          <w:sz w:val="21"/>
          <w:szCs w:val="21"/>
          <w:color w:val="auto"/>
        </w:rPr>
        <w:t>. The Shares of stock deliverable to the Grantee may be either previously authorized but unissued Shares or issued Shares which have been reacquired by the Company. The Company shall not be required to transfer on its books or list in street name with a brokerage company or otherwise issue any certificate or certificates for Shares hereunder prior to fulfillment of all the following conditions: (a) the admission of such Shares to listing on all stock exchanges on which such class of stock is then listed; and (b)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 (c) the obtaining of any approval or other clearance from any state or federal governmental agency, which the Committee shall, in its absolute discretion, determine to be necessary or advisable; and (d) the lapse of such reasonable period of time following the date of vesting of the PSUs as the Committee may establish from time to time for reasons of administrative convenience.</w:t>
      </w:r>
    </w:p>
    <w:p>
      <w:pPr>
        <w:spacing w:after="0" w:line="152" w:lineRule="exact"/>
        <w:rPr>
          <w:rFonts w:ascii="Times New Roman" w:cs="Times New Roman" w:eastAsia="Times New Roman" w:hAnsi="Times New Roman"/>
          <w:sz w:val="21"/>
          <w:szCs w:val="21"/>
          <w:color w:val="auto"/>
        </w:rPr>
      </w:pPr>
    </w:p>
    <w:p>
      <w:pPr>
        <w:ind w:right="60" w:firstLine="656"/>
        <w:spacing w:after="0" w:line="225"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spacing w:after="0" w:line="152" w:lineRule="exact"/>
        <w:rPr>
          <w:rFonts w:ascii="Times New Roman" w:cs="Times New Roman" w:eastAsia="Times New Roman" w:hAnsi="Times New Roman"/>
          <w:sz w:val="22"/>
          <w:szCs w:val="22"/>
          <w:color w:val="auto"/>
        </w:rPr>
      </w:pPr>
    </w:p>
    <w:p>
      <w:pPr>
        <w:ind w:right="40" w:firstLine="656"/>
        <w:spacing w:after="0" w:line="225"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Authority</w:t>
      </w:r>
      <w:r>
        <w:rPr>
          <w:rFonts w:ascii="Times New Roman" w:cs="Times New Roman" w:eastAsia="Times New Roman" w:hAnsi="Times New Roman"/>
          <w:sz w:val="21"/>
          <w:szCs w:val="21"/>
          <w:color w:val="auto"/>
        </w:rPr>
        <w:t>. The Committee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shall be final and binding upon the Grantee, the Company and all other persons, and shall be given the maximum deference permitted by law. No member of the Committee shall be personally liable for any action, determination or interpretation made in good faith with respect to the Plan or this Agreement.</w:t>
      </w:r>
    </w:p>
    <w:p>
      <w:pPr>
        <w:spacing w:after="0" w:line="153" w:lineRule="exact"/>
        <w:rPr>
          <w:rFonts w:ascii="Times New Roman" w:cs="Times New Roman" w:eastAsia="Times New Roman" w:hAnsi="Times New Roman"/>
          <w:sz w:val="21"/>
          <w:szCs w:val="21"/>
          <w:color w:val="auto"/>
        </w:rPr>
      </w:pPr>
    </w:p>
    <w:p>
      <w:pPr>
        <w:jc w:val="both"/>
        <w:ind w:right="320" w:firstLine="656"/>
        <w:spacing w:after="0" w:line="225"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in its sole discretion, may decide to deliver any documents related to Performance Stock Units awarded under the Plan or future Performance Stock Units that may be awarded under the Plan by electronic means.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Grantee hereby consents to receive such documents by electronic delivery and agrees to participate in the Plan through any on-line or electronic system established and maintained by the Company or another third party designated by the Company.</w:t>
      </w:r>
    </w:p>
    <w:p>
      <w:pPr>
        <w:spacing w:after="0" w:line="150" w:lineRule="exact"/>
        <w:rPr>
          <w:sz w:val="20"/>
          <w:szCs w:val="20"/>
          <w:color w:val="auto"/>
        </w:rPr>
      </w:pPr>
    </w:p>
    <w:p>
      <w:pPr>
        <w:ind w:right="240" w:firstLine="656"/>
        <w:spacing w:after="0" w:line="236" w:lineRule="auto"/>
        <w:tabs>
          <w:tab w:leader="none" w:pos="12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Agreement.</w:t>
      </w:r>
    </w:p>
    <w:p>
      <w:pPr>
        <w:spacing w:after="0" w:line="150" w:lineRule="exact"/>
        <w:rPr>
          <w:rFonts w:ascii="Times New Roman" w:cs="Times New Roman" w:eastAsia="Times New Roman" w:hAnsi="Times New Roman"/>
          <w:sz w:val="22"/>
          <w:szCs w:val="22"/>
          <w:color w:val="auto"/>
        </w:rPr>
      </w:pPr>
    </w:p>
    <w:p>
      <w:pPr>
        <w:ind w:right="220" w:firstLine="656"/>
        <w:spacing w:after="0" w:line="217" w:lineRule="auto"/>
        <w:tabs>
          <w:tab w:leader="none" w:pos="12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spacing w:after="0" w:line="152" w:lineRule="exact"/>
        <w:rPr>
          <w:rFonts w:ascii="Times New Roman" w:cs="Times New Roman" w:eastAsia="Times New Roman" w:hAnsi="Times New Roman"/>
          <w:sz w:val="22"/>
          <w:szCs w:val="22"/>
          <w:color w:val="auto"/>
        </w:rPr>
      </w:pPr>
    </w:p>
    <w:p>
      <w:pPr>
        <w:ind w:firstLine="656"/>
        <w:spacing w:after="0" w:line="215" w:lineRule="auto"/>
        <w:tabs>
          <w:tab w:leader="none" w:pos="12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Plan and this Agreement (including all appendices attached hereto) together constitute the entire understanding of the parties on the subjects covered. The Grantee expressly warrants that he or she is not executing this Agreement in reliance on any promises, representations, or inducements other than those contained herein. Notwithstanding the foregoing, this Agreement shall not have any impact on the Agreement Regarding Certain Conditions of Employment, which is a standalone agreement. The obligations under the Agreement Regarding Certain Conditions of Employment remain in full force and effect.</w:t>
      </w:r>
    </w:p>
    <w:p>
      <w:pPr>
        <w:spacing w:after="0" w:line="152" w:lineRule="exact"/>
        <w:rPr>
          <w:rFonts w:ascii="Times New Roman" w:cs="Times New Roman" w:eastAsia="Times New Roman" w:hAnsi="Times New Roman"/>
          <w:sz w:val="22"/>
          <w:szCs w:val="22"/>
          <w:color w:val="auto"/>
        </w:rPr>
      </w:pPr>
    </w:p>
    <w:p>
      <w:pPr>
        <w:ind w:right="40" w:firstLine="656"/>
        <w:spacing w:after="0" w:line="211" w:lineRule="auto"/>
        <w:tabs>
          <w:tab w:leader="none" w:pos="12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Agreement; Clawback</w:t>
      </w:r>
      <w:r>
        <w:rPr>
          <w:rFonts w:ascii="Times New Roman" w:cs="Times New Roman" w:eastAsia="Times New Roman" w:hAnsi="Times New Roman"/>
          <w:sz w:val="22"/>
          <w:szCs w:val="22"/>
          <w:color w:val="auto"/>
        </w:rPr>
        <w:t>. The Plan and this Agreement together constitute the entire understanding of the parties on the subjects covered. The Grantee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award of PSUs, provided that such revision would not materially reduce the economic benefits provided or intended to be provided under this Agreement.</w:t>
      </w:r>
    </w:p>
    <w:p>
      <w:pPr>
        <w:spacing w:after="0" w:line="158" w:lineRule="exact"/>
        <w:rPr>
          <w:rFonts w:ascii="Times New Roman" w:cs="Times New Roman" w:eastAsia="Times New Roman" w:hAnsi="Times New Roman"/>
          <w:sz w:val="22"/>
          <w:szCs w:val="22"/>
          <w:color w:val="auto"/>
        </w:rPr>
      </w:pPr>
    </w:p>
    <w:p>
      <w:pPr>
        <w:ind w:firstLine="656"/>
        <w:spacing w:after="0" w:line="222" w:lineRule="auto"/>
        <w:tabs>
          <w:tab w:leader="none" w:pos="129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Agreement and the PSUs are subject to any (a) clawback policy, compensation recovery policy or similar policy or arrangement that the Company may adopt from time to time, whether such policy or arrangement is mandated by law or otherwise, including (but not limited to, the Company’s Compensation Recoupment (Clawback) Policy (the “Policy”)), and (b) compensation recoupment, clawback, or recovery requirement mandated by applicable law. For example, but not by way of limitation, as provided in the Policy, the Grantee may be required to repay to the Company part or all of the Shares and any other compensation that the Grantee receives under this Agreement and/or some of the PSUs and Shares covered by this Agreement automatically may be forfeited at no cost to the Company. No clawback, recovery or recoupment of compensation contemplated under this Paragraph 25 will serve as a basis for “good reason,” “constructive termination” or similar term or concept under any employment, compensation, severance or change in control arrangement applicable to the Grantee.</w:t>
      </w:r>
    </w:p>
    <w:p>
      <w:pPr>
        <w:spacing w:after="0" w:line="149" w:lineRule="exact"/>
        <w:rPr>
          <w:rFonts w:ascii="Times New Roman" w:cs="Times New Roman" w:eastAsia="Times New Roman" w:hAnsi="Times New Roman"/>
          <w:sz w:val="21"/>
          <w:szCs w:val="21"/>
          <w:color w:val="auto"/>
        </w:rPr>
      </w:pPr>
    </w:p>
    <w:p>
      <w:pPr>
        <w:ind w:right="40" w:firstLine="656"/>
        <w:spacing w:after="0" w:line="236" w:lineRule="auto"/>
        <w:tabs>
          <w:tab w:leader="none" w:pos="129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award, the Grantee expressly warrants that he or she has received an award under the Plan, and has received, read and understood a description of the Plan. The Grantee understands that the Plan is discretionary in nature and may be modified, suspended or terminated by the Company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80"/>
          </w:cols>
          <w:pgMar w:left="320" w:top="1440" w:right="399" w:bottom="1440" w:gutter="0" w:footer="0" w:header="0"/>
        </w:sectPr>
      </w:pPr>
    </w:p>
    <w:bookmarkStart w:id="100" w:name="page101"/>
    <w:bookmarkEnd w:id="100"/>
    <w:p>
      <w:pPr>
        <w:spacing w:after="0" w:line="9" w:lineRule="exact"/>
        <w:rPr>
          <w:sz w:val="20"/>
          <w:szCs w:val="20"/>
          <w:color w:val="auto"/>
        </w:rPr>
      </w:pPr>
    </w:p>
    <w:p>
      <w:pPr>
        <w:ind w:right="100" w:firstLine="656"/>
        <w:spacing w:after="0" w:line="220"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grant of PSUs shall be governed by, and construed in accordance with, the laws of the State of Delaware, without regard to its conflicts of law provisions; provided that, notwithstanding the foregoing, Sections 13 and 14 of this Agreement shall be governed by the laws of the State of Connecticut, without regard to its conflicts of law provisions.</w:t>
      </w:r>
    </w:p>
    <w:p>
      <w:pPr>
        <w:spacing w:after="0" w:line="152" w:lineRule="exact"/>
        <w:rPr>
          <w:rFonts w:ascii="Times New Roman" w:cs="Times New Roman" w:eastAsia="Times New Roman" w:hAnsi="Times New Roman"/>
          <w:sz w:val="22"/>
          <w:szCs w:val="22"/>
          <w:color w:val="auto"/>
        </w:rPr>
      </w:pPr>
    </w:p>
    <w:p>
      <w:pPr>
        <w:ind w:right="140" w:firstLine="656"/>
        <w:spacing w:after="0" w:line="217"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 Period of Time.</w:t>
      </w:r>
      <w:r>
        <w:rPr>
          <w:rFonts w:ascii="Times New Roman" w:cs="Times New Roman" w:eastAsia="Times New Roman" w:hAnsi="Times New Roman"/>
          <w:sz w:val="22"/>
          <w:szCs w:val="22"/>
          <w:color w:val="auto"/>
        </w:rPr>
        <w:t xml:space="preserve"> The Grantee acknowledges that the Grantee was given a reasonable period of time in which to review and consider this Agreement; the Grantee has, in fact, carefully reviewed this Agreement; and the Grantee is entering into it voluntarily and of the Grantee’s own free will. The Grantee further acknowledges that the Company advised the Grantee to consult with an attorney in connection with reviewing this Agreement. The Grantee further acknowledges that the Grantee has read this Agreement in its entirety, and that the Grantee fully understand its terms and legal effect.</w:t>
      </w:r>
    </w:p>
    <w:p>
      <w:pPr>
        <w:spacing w:after="0" w:line="152" w:lineRule="exact"/>
        <w:rPr>
          <w:rFonts w:ascii="Times New Roman" w:cs="Times New Roman" w:eastAsia="Times New Roman" w:hAnsi="Times New Roman"/>
          <w:sz w:val="22"/>
          <w:szCs w:val="22"/>
          <w:color w:val="auto"/>
        </w:rPr>
      </w:pPr>
    </w:p>
    <w:p>
      <w:pPr>
        <w:ind w:right="180" w:firstLine="656"/>
        <w:spacing w:after="0" w:line="236"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without definition will have the meanings provided for in the Plan. When used in this Agreement, the following capitalized terms will have the following meanings:</w:t>
      </w:r>
    </w:p>
    <w:p>
      <w:pPr>
        <w:spacing w:after="0" w:line="177" w:lineRule="exact"/>
        <w:rPr>
          <w:sz w:val="20"/>
          <w:szCs w:val="20"/>
          <w:color w:val="auto"/>
        </w:rPr>
      </w:pPr>
    </w:p>
    <w:p>
      <w:pPr>
        <w:ind w:left="130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 becomes available in the public domain other than as a result of an unauthorized use, disclosure or action by Grantee, at Grantee’s direction or on Grantee’s behalf, or by any other person who directly or indirectly receives such information from Grantee.</w:t>
      </w:r>
    </w:p>
    <w:p>
      <w:pPr>
        <w:spacing w:after="0" w:line="195" w:lineRule="exact"/>
        <w:rPr>
          <w:sz w:val="20"/>
          <w:szCs w:val="20"/>
          <w:color w:val="auto"/>
        </w:rPr>
      </w:pPr>
    </w:p>
    <w:p>
      <w:pPr>
        <w:ind w:left="1300" w:right="14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Continued Service</w:t>
      </w:r>
      <w:r>
        <w:rPr>
          <w:rFonts w:ascii="Times New Roman" w:cs="Times New Roman" w:eastAsia="Times New Roman" w:hAnsi="Times New Roman"/>
          <w:sz w:val="21"/>
          <w:szCs w:val="21"/>
          <w:color w:val="auto"/>
        </w:rPr>
        <w:t>” 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w:t>
      </w:r>
    </w:p>
    <w:p>
      <w:pPr>
        <w:spacing w:after="0" w:line="1" w:lineRule="exact"/>
        <w:rPr>
          <w:sz w:val="20"/>
          <w:szCs w:val="20"/>
          <w:color w:val="auto"/>
        </w:rPr>
      </w:pPr>
    </w:p>
    <w:p>
      <w:pPr>
        <w:ind w:left="1300" w:right="60" w:firstLine="4"/>
        <w:spacing w:after="0" w:line="248" w:lineRule="auto"/>
        <w:tabs>
          <w:tab w:leader="none" w:pos="16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between locations of the Company or between the Company and any parent, Subsidiary or successor;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unless otherwise provided in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6" w:lineRule="exact"/>
        <w:rPr>
          <w:sz w:val="20"/>
          <w:szCs w:val="20"/>
          <w:color w:val="auto"/>
        </w:rPr>
      </w:pPr>
    </w:p>
    <w:p>
      <w:pPr>
        <w:ind w:left="1300"/>
        <w:spacing w:after="0" w:line="243" w:lineRule="auto"/>
        <w:rPr>
          <w:sz w:val="20"/>
          <w:szCs w:val="20"/>
          <w:color w:val="auto"/>
        </w:rPr>
      </w:pPr>
      <w:r>
        <w:rPr>
          <w:rFonts w:ascii="Times New Roman" w:cs="Times New Roman" w:eastAsia="Times New Roman" w:hAnsi="Times New Roman"/>
          <w:sz w:val="22"/>
          <w:szCs w:val="22"/>
          <w:color w:val="auto"/>
        </w:rPr>
        <w:t>written personnel policies, in this Agreement 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247" w:lineRule="exact"/>
        <w:rPr>
          <w:sz w:val="20"/>
          <w:szCs w:val="20"/>
          <w:color w:val="auto"/>
        </w:rPr>
      </w:pPr>
    </w:p>
    <w:p>
      <w:pPr>
        <w:ind w:left="1300" w:right="4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termination of the Grantee’s employment in accordance with the Company’s retirement policies, as in effect from time to time, if on the date of such termination, the Grantee is at least 55 years old, and his or her Continued Service has extended for at least ten (10) years.</w:t>
      </w:r>
    </w:p>
    <w:p>
      <w:pPr>
        <w:spacing w:after="0" w:line="173"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22"/>
          <w:szCs w:val="22"/>
          <w:color w:val="auto"/>
        </w:rPr>
        <w:t>Your acceptance of this grant indicates your agreement and understanding that this grant is subject to all of the terms and conditions contained in the Plan and this Agreement, which includes the notice of grant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20"/>
          </w:cols>
          <w:pgMar w:left="320" w:top="1440" w:right="4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Business &amp; Personal Conduct</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002060"/>
        </w:rPr>
        <w:t>Insider Trading Policy</w:t>
      </w:r>
    </w:p>
    <w:p>
      <w:pPr>
        <w:spacing w:after="0" w:line="65" w:lineRule="exact"/>
        <w:rPr>
          <w:sz w:val="20"/>
          <w:szCs w:val="20"/>
          <w:color w:val="auto"/>
        </w:rPr>
      </w:pPr>
    </w:p>
    <w:tbl>
      <w:tblPr>
        <w:tblLayout w:type="fixed"/>
        <w:tblInd w:w="100" w:type="dxa"/>
        <w:tblCellMar>
          <w:top w:w="0" w:type="dxa"/>
          <w:left w:w="0" w:type="dxa"/>
          <w:bottom w:w="0" w:type="dxa"/>
          <w:right w:w="0" w:type="dxa"/>
        </w:tblCellMar>
      </w:tblPr>
      <w:tr>
        <w:trPr>
          <w:trHeight w:val="260"/>
        </w:trPr>
        <w:tc>
          <w:tcPr>
            <w:tcW w:w="25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Geographic Coverage</w:t>
            </w:r>
          </w:p>
        </w:tc>
        <w:tc>
          <w:tcPr>
            <w:tcW w:w="1980" w:type="dxa"/>
            <w:vAlign w:val="bottom"/>
          </w:tcPr>
          <w:p>
            <w:pPr>
              <w:ind w:left="120"/>
              <w:spacing w:after="0"/>
              <w:rPr>
                <w:sz w:val="20"/>
                <w:szCs w:val="20"/>
                <w:color w:val="auto"/>
              </w:rPr>
            </w:pPr>
            <w:r>
              <w:rPr>
                <w:rFonts w:ascii="Arial" w:cs="Arial" w:eastAsia="Arial" w:hAnsi="Arial"/>
                <w:sz w:val="18"/>
                <w:szCs w:val="18"/>
                <w:b w:val="1"/>
                <w:bCs w:val="1"/>
                <w:color w:val="auto"/>
              </w:rPr>
              <w:t>Global</w:t>
            </w:r>
          </w:p>
        </w:tc>
      </w:tr>
      <w:tr>
        <w:trPr>
          <w:trHeight w:val="247"/>
        </w:trPr>
        <w:tc>
          <w:tcPr>
            <w:tcW w:w="25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Document Owner</w:t>
            </w:r>
          </w:p>
        </w:tc>
        <w:tc>
          <w:tcPr>
            <w:tcW w:w="1980" w:type="dxa"/>
            <w:vAlign w:val="bottom"/>
          </w:tcPr>
          <w:p>
            <w:pPr>
              <w:ind w:left="120"/>
              <w:spacing w:after="0"/>
              <w:rPr>
                <w:sz w:val="20"/>
                <w:szCs w:val="20"/>
                <w:color w:val="auto"/>
              </w:rPr>
            </w:pPr>
            <w:r>
              <w:rPr>
                <w:rFonts w:ascii="Arial" w:cs="Arial" w:eastAsia="Arial" w:hAnsi="Arial"/>
                <w:sz w:val="18"/>
                <w:szCs w:val="18"/>
                <w:b w:val="1"/>
                <w:bCs w:val="1"/>
                <w:color w:val="auto"/>
                <w:w w:val="97"/>
              </w:rPr>
              <w:t>EVP, General Counsel</w:t>
            </w:r>
          </w:p>
        </w:tc>
      </w:tr>
      <w:tr>
        <w:trPr>
          <w:trHeight w:val="285"/>
        </w:trPr>
        <w:tc>
          <w:tcPr>
            <w:tcW w:w="2560" w:type="dxa"/>
            <w:vAlign w:val="bottom"/>
            <w:shd w:val="clear" w:color="auto" w:fill="F2F2F2"/>
          </w:tcPr>
          <w:p>
            <w:pPr>
              <w:ind w:left="140"/>
              <w:spacing w:after="0"/>
              <w:rPr>
                <w:sz w:val="20"/>
                <w:szCs w:val="20"/>
                <w:color w:val="auto"/>
              </w:rPr>
            </w:pPr>
            <w:r>
              <w:rPr>
                <w:rFonts w:ascii="Arial" w:cs="Arial" w:eastAsia="Arial" w:hAnsi="Arial"/>
                <w:sz w:val="18"/>
                <w:szCs w:val="18"/>
                <w:color w:val="auto"/>
              </w:rPr>
              <w:t>Last Reviewed</w:t>
            </w:r>
          </w:p>
        </w:tc>
        <w:tc>
          <w:tcPr>
            <w:tcW w:w="1980" w:type="dxa"/>
            <w:vAlign w:val="bottom"/>
          </w:tcPr>
          <w:p>
            <w:pPr>
              <w:ind w:left="120"/>
              <w:spacing w:after="0"/>
              <w:rPr>
                <w:sz w:val="20"/>
                <w:szCs w:val="20"/>
                <w:color w:val="auto"/>
              </w:rPr>
            </w:pPr>
            <w:r>
              <w:rPr>
                <w:rFonts w:ascii="Arial" w:cs="Arial" w:eastAsia="Arial" w:hAnsi="Arial"/>
                <w:sz w:val="18"/>
                <w:szCs w:val="18"/>
                <w:b w:val="1"/>
                <w:bCs w:val="1"/>
                <w:color w:val="auto"/>
              </w:rPr>
              <w:t>October 2024</w:t>
            </w:r>
          </w:p>
        </w:tc>
      </w:tr>
    </w:tbl>
    <w:p>
      <w:pPr>
        <w:spacing w:after="0" w:line="200" w:lineRule="exact"/>
        <w:rPr>
          <w:sz w:val="20"/>
          <w:szCs w:val="20"/>
          <w:color w:val="auto"/>
        </w:rPr>
      </w:pPr>
    </w:p>
    <w:p>
      <w:pPr>
        <w:spacing w:after="0" w:line="202"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32"/>
          <w:szCs w:val="32"/>
          <w:b w:val="1"/>
          <w:bCs w:val="1"/>
          <w:color w:val="002060"/>
        </w:rPr>
      </w:pPr>
      <w:r>
        <w:rPr>
          <w:rFonts w:ascii="Arial" w:cs="Arial" w:eastAsia="Arial" w:hAnsi="Arial"/>
          <w:sz w:val="32"/>
          <w:szCs w:val="32"/>
          <w:b w:val="1"/>
          <w:bCs w:val="1"/>
          <w:color w:val="002060"/>
        </w:rPr>
        <w:t>General</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Philosophy &amp; Purpose</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Generally, there are laws in each jurisdiction in which Gartner, Inc. (“Gartner” or the “Company”) conducts its business that prohibit trading in the securities of a company on the basis of “inside” information about that company or its securities and providing such “inside” information to other persons who may trade on the basis of that information. Anyone violating these laws is subject to personal liability, could face criminal penalties and could subject the Company to liability as well. Gartner takes seriously our obligation, and that of our associates, to prevent insider trading violations. In light of the severity of the possible penalties, both to you individually and to us as a company, we have established this Insider Trading Policy (the “Policy”) to assist all of us in complying with our obligations. Any violation of this or any other Company policy could subject you to disciplinary action, up to and including termination of employment.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&amp; Applicability</w:t>
      </w:r>
    </w:p>
    <w:p>
      <w:pPr>
        <w:spacing w:after="0" w:line="249"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 xml:space="preserve">This Policy applies to all Gartner employees, </w:t>
      </w:r>
      <w:r>
        <w:rPr>
          <w:rFonts w:ascii="Arial" w:cs="Arial" w:eastAsia="Arial" w:hAnsi="Arial"/>
          <w:sz w:val="21"/>
          <w:szCs w:val="21"/>
          <w:i w:val="1"/>
          <w:iCs w:val="1"/>
          <w:color w:val="auto"/>
        </w:rPr>
        <w:t>wherever located</w:t>
      </w:r>
      <w:r>
        <w:rPr>
          <w:rFonts w:ascii="Arial" w:cs="Arial" w:eastAsia="Arial" w:hAnsi="Arial"/>
          <w:sz w:val="21"/>
          <w:szCs w:val="21"/>
          <w:color w:val="auto"/>
        </w:rPr>
        <w:t xml:space="preserve"> (</w:t>
      </w:r>
      <w:r>
        <w:rPr>
          <w:rFonts w:ascii="Arial" w:cs="Arial" w:eastAsia="Arial" w:hAnsi="Arial"/>
          <w:sz w:val="21"/>
          <w:szCs w:val="21"/>
          <w:i w:val="1"/>
          <w:iCs w:val="1"/>
          <w:color w:val="auto"/>
        </w:rPr>
        <w:t>see Section 5(c)</w:t>
      </w:r>
      <w:r>
        <w:rPr>
          <w:rFonts w:ascii="Arial" w:cs="Arial" w:eastAsia="Arial" w:hAnsi="Arial"/>
          <w:sz w:val="21"/>
          <w:szCs w:val="21"/>
          <w:color w:val="auto"/>
        </w:rPr>
        <w:t xml:space="preserve">), and is not intended to replace your responsibility to understand and comply with the applicable laws and regulations on insider trading where you work or do business. In addition, our consultants and other persons associated with us and our subsidiaries, including distributors, sales agents and joint venture partners are prohibited from trading in Company securities if they are aware of Material Non-Public Information (as defined below) about the Company or its securities. If you have specific questions regarding this policy or the applicable law in your region, contact our Compliance Officer </w:t>
      </w:r>
      <w:r>
        <w:rPr>
          <w:rFonts w:ascii="Arial" w:cs="Arial" w:eastAsia="Arial" w:hAnsi="Arial"/>
          <w:sz w:val="21"/>
          <w:szCs w:val="21"/>
          <w:i w:val="1"/>
          <w:iCs w:val="1"/>
          <w:color w:val="auto"/>
        </w:rPr>
        <w:t>(see Section 7)</w:t>
      </w:r>
      <w:r>
        <w:rPr>
          <w:rFonts w:ascii="Arial" w:cs="Arial" w:eastAsia="Arial" w:hAnsi="Arial"/>
          <w:sz w:val="21"/>
          <w:szCs w:val="21"/>
          <w:color w:val="auto"/>
        </w:rPr>
        <w:t>.</w:t>
      </w:r>
    </w:p>
    <w:p>
      <w:pPr>
        <w:spacing w:after="0" w:line="196" w:lineRule="exact"/>
        <w:rPr>
          <w:sz w:val="20"/>
          <w:szCs w:val="20"/>
          <w:color w:val="auto"/>
        </w:rPr>
      </w:pPr>
    </w:p>
    <w:p>
      <w:pPr>
        <w:ind w:right="820"/>
        <w:spacing w:after="0" w:line="272" w:lineRule="auto"/>
        <w:rPr>
          <w:sz w:val="20"/>
          <w:szCs w:val="20"/>
          <w:color w:val="auto"/>
        </w:rPr>
      </w:pPr>
      <w:r>
        <w:rPr>
          <w:rFonts w:ascii="Arial" w:cs="Arial" w:eastAsia="Arial" w:hAnsi="Arial"/>
          <w:sz w:val="22"/>
          <w:szCs w:val="22"/>
          <w:color w:val="auto"/>
        </w:rPr>
        <w:t>Additionally, you should review our Regulation Fair Disclosure Policy, which is posted on Gartner At Work, for additional information concerning legal restrictions on the disclosure of information about Gartner.</w:t>
      </w:r>
    </w:p>
    <w:p>
      <w:pPr>
        <w:sectPr>
          <w:pgSz w:w="11900" w:h="16838" w:orient="portrait"/>
          <w:cols w:equalWidth="0" w:num="1">
            <w:col w:w="11240"/>
          </w:cols>
          <w:pgMar w:left="320" w:top="117" w:right="339" w:bottom="1440" w:gutter="0" w:footer="0" w:header="0"/>
        </w:sectPr>
      </w:pPr>
    </w:p>
    <w:bookmarkStart w:id="103" w:name="page104"/>
    <w:bookmarkEnd w:id="103"/>
    <w:p>
      <w:pPr>
        <w:spacing w:after="0" w:line="74"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32"/>
          <w:szCs w:val="32"/>
          <w:b w:val="1"/>
          <w:bCs w:val="1"/>
          <w:color w:val="002060"/>
        </w:rPr>
      </w:pPr>
      <w:r>
        <w:rPr>
          <w:rFonts w:ascii="Arial" w:cs="Arial" w:eastAsia="Arial" w:hAnsi="Arial"/>
          <w:sz w:val="32"/>
          <w:szCs w:val="32"/>
          <w:b w:val="1"/>
          <w:bCs w:val="1"/>
          <w:color w:val="002060"/>
        </w:rPr>
        <w:t>Policy</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Subject to the exceptions set forth in this Policy:</w:t>
      </w:r>
    </w:p>
    <w:p>
      <w:pPr>
        <w:spacing w:after="0" w:line="247" w:lineRule="exact"/>
        <w:rPr>
          <w:sz w:val="20"/>
          <w:szCs w:val="20"/>
          <w:color w:val="auto"/>
        </w:rPr>
      </w:pPr>
    </w:p>
    <w:p>
      <w:pPr>
        <w:jc w:val="both"/>
        <w:ind w:left="340" w:right="340" w:hanging="332"/>
        <w:spacing w:after="0" w:line="257" w:lineRule="auto"/>
        <w:tabs>
          <w:tab w:leader="none" w:pos="33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No Insider may buy, sell, gift or otherwise trade our securities at any time when they have Material Non-Public Information relating to us </w:t>
      </w:r>
      <w:r>
        <w:rPr>
          <w:rFonts w:ascii="Arial" w:cs="Arial" w:eastAsia="Arial" w:hAnsi="Arial"/>
          <w:sz w:val="22"/>
          <w:szCs w:val="22"/>
          <w:i w:val="1"/>
          <w:iCs w:val="1"/>
          <w:color w:val="auto"/>
        </w:rPr>
        <w:t>(see Section 5(d) and (e))</w:t>
      </w:r>
      <w:r>
        <w:rPr>
          <w:rFonts w:ascii="Arial" w:cs="Arial" w:eastAsia="Arial" w:hAnsi="Arial"/>
          <w:sz w:val="22"/>
          <w:szCs w:val="22"/>
          <w:color w:val="auto"/>
        </w:rPr>
        <w:t>, even if Gartner is not otherwise in a “Blackout Period” or special “Blackout Period” (if applicable).</w:t>
      </w:r>
    </w:p>
    <w:p>
      <w:pPr>
        <w:spacing w:after="0" w:line="212" w:lineRule="exact"/>
        <w:rPr>
          <w:rFonts w:ascii="Times New Roman" w:cs="Times New Roman" w:eastAsia="Times New Roman" w:hAnsi="Times New Roman"/>
          <w:sz w:val="22"/>
          <w:szCs w:val="22"/>
          <w:color w:val="auto"/>
        </w:rPr>
      </w:pPr>
    </w:p>
    <w:p>
      <w:pPr>
        <w:ind w:left="340" w:right="120" w:hanging="332"/>
        <w:spacing w:after="0" w:line="250" w:lineRule="auto"/>
        <w:tabs>
          <w:tab w:leader="none" w:pos="33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No Insider may buy, sell, gift or otherwise trade securities of another company which we follow in the ordinary course of our business, any of our customers, vendors or suppliers and any other company with which we do business or are negotiating a major transaction (“Business Partners”), at any time when the Insider has Material Non-Public Information about that company or that company’s securities and that information has been obtained by the Insider in the course of performing services on our behalf.</w:t>
      </w:r>
    </w:p>
    <w:p>
      <w:pPr>
        <w:spacing w:after="0" w:line="206" w:lineRule="exact"/>
        <w:rPr>
          <w:rFonts w:ascii="Times New Roman" w:cs="Times New Roman" w:eastAsia="Times New Roman" w:hAnsi="Times New Roman"/>
          <w:sz w:val="22"/>
          <w:szCs w:val="22"/>
          <w:color w:val="auto"/>
        </w:rPr>
      </w:pPr>
    </w:p>
    <w:p>
      <w:pPr>
        <w:ind w:left="340" w:hanging="332"/>
        <w:spacing w:after="0" w:line="251" w:lineRule="auto"/>
        <w:tabs>
          <w:tab w:leader="none" w:pos="33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No Insider may disclose (“tip”) Material Non-Public Information about Gartner or its securities or Business Partners or their securities to any other person (including family members), and no Insider may make recommendations or express opinions on the basis of such Material Non-Public Information with regard to trading in securities of any such company to which such information relates. This Policy does not restrict legitimate business communications to Company Personnel who require the information in order to perform their business duties.</w:t>
      </w:r>
    </w:p>
    <w:p>
      <w:pPr>
        <w:spacing w:after="0" w:line="220" w:lineRule="exact"/>
        <w:rPr>
          <w:rFonts w:ascii="Times New Roman" w:cs="Times New Roman" w:eastAsia="Times New Roman" w:hAnsi="Times New Roman"/>
          <w:sz w:val="22"/>
          <w:szCs w:val="22"/>
          <w:color w:val="auto"/>
        </w:rPr>
      </w:pPr>
    </w:p>
    <w:p>
      <w:pPr>
        <w:ind w:left="340" w:right="200" w:hanging="332"/>
        <w:spacing w:after="0" w:line="252" w:lineRule="auto"/>
        <w:tabs>
          <w:tab w:leader="none" w:pos="33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No Insider (other than the CEO, CFO and Head of Investor Relations, or their designee(s)) who receives or has access to our Material Non-Public Information about Gartner or its securities may comment on our stock price movement or rumors concerning our corporate developments that are of possible significance to the investing public.</w:t>
      </w:r>
    </w:p>
    <w:p>
      <w:pPr>
        <w:spacing w:after="0" w:line="205" w:lineRule="exact"/>
        <w:rPr>
          <w:rFonts w:ascii="Times New Roman" w:cs="Times New Roman" w:eastAsia="Times New Roman" w:hAnsi="Times New Roman"/>
          <w:sz w:val="22"/>
          <w:szCs w:val="22"/>
          <w:color w:val="auto"/>
        </w:rPr>
      </w:pPr>
    </w:p>
    <w:p>
      <w:pPr>
        <w:ind w:left="340" w:right="80" w:hanging="332"/>
        <w:spacing w:after="0" w:line="263" w:lineRule="auto"/>
        <w:tabs>
          <w:tab w:leader="none" w:pos="33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If you comment on Gartner or Business Partner’s stock price movement or rumors, or disclose related Material Non-Public Information to a third party, you must immediately contact the Compliance Officer or Head of Investor Relations to avoid legal consequences.</w:t>
      </w:r>
    </w:p>
    <w:p>
      <w:pPr>
        <w:spacing w:after="0" w:line="193" w:lineRule="exact"/>
        <w:rPr>
          <w:rFonts w:ascii="Times New Roman" w:cs="Times New Roman" w:eastAsia="Times New Roman" w:hAnsi="Times New Roman"/>
          <w:sz w:val="22"/>
          <w:szCs w:val="22"/>
          <w:color w:val="auto"/>
        </w:rPr>
      </w:pPr>
    </w:p>
    <w:p>
      <w:pPr>
        <w:jc w:val="both"/>
        <w:ind w:left="340" w:right="40" w:hanging="332"/>
        <w:spacing w:after="0" w:line="257" w:lineRule="auto"/>
        <w:tabs>
          <w:tab w:leader="none" w:pos="33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No Insider may buy, sell, gift or otherwise trade our securities during any of the four “Blackout Periods” that occur each fiscal year </w:t>
      </w:r>
      <w:r>
        <w:rPr>
          <w:rFonts w:ascii="Arial" w:cs="Arial" w:eastAsia="Arial" w:hAnsi="Arial"/>
          <w:sz w:val="22"/>
          <w:szCs w:val="22"/>
          <w:i w:val="1"/>
          <w:iCs w:val="1"/>
          <w:color w:val="auto"/>
        </w:rPr>
        <w:t>(see Section 5(a))</w:t>
      </w:r>
      <w:r>
        <w:rPr>
          <w:rFonts w:ascii="Arial" w:cs="Arial" w:eastAsia="Arial" w:hAnsi="Arial"/>
          <w:sz w:val="22"/>
          <w:szCs w:val="22"/>
          <w:color w:val="auto"/>
        </w:rPr>
        <w:t xml:space="preserve"> or during any applicable “Special Blackouts” which may be imposed from time to time and the Insider is so notified and advised </w:t>
      </w:r>
      <w:r>
        <w:rPr>
          <w:rFonts w:ascii="Arial" w:cs="Arial" w:eastAsia="Arial" w:hAnsi="Arial"/>
          <w:sz w:val="22"/>
          <w:szCs w:val="22"/>
          <w:i w:val="1"/>
          <w:iCs w:val="1"/>
          <w:color w:val="auto"/>
        </w:rPr>
        <w:t>(see Section 4(c)).</w:t>
      </w:r>
    </w:p>
    <w:p>
      <w:pPr>
        <w:spacing w:after="0" w:line="198" w:lineRule="exact"/>
        <w:rPr>
          <w:rFonts w:ascii="Times New Roman" w:cs="Times New Roman" w:eastAsia="Times New Roman" w:hAnsi="Times New Roman"/>
          <w:sz w:val="22"/>
          <w:szCs w:val="22"/>
          <w:color w:val="auto"/>
        </w:rPr>
      </w:pPr>
    </w:p>
    <w:p>
      <w:pPr>
        <w:ind w:left="340" w:right="500" w:hanging="332"/>
        <w:spacing w:after="0" w:line="309" w:lineRule="auto"/>
        <w:tabs>
          <w:tab w:leader="none" w:pos="335" w:val="left"/>
        </w:tabs>
        <w:numPr>
          <w:ilvl w:val="0"/>
          <w:numId w:val="80"/>
        </w:numPr>
        <w:rPr>
          <w:rFonts w:ascii="Times New Roman" w:cs="Times New Roman" w:eastAsia="Times New Roman" w:hAnsi="Times New Roman"/>
          <w:sz w:val="21"/>
          <w:szCs w:val="21"/>
          <w:color w:val="auto"/>
        </w:rPr>
      </w:pPr>
      <w:r>
        <w:rPr>
          <w:rFonts w:ascii="Arial" w:cs="Arial" w:eastAsia="Arial" w:hAnsi="Arial"/>
          <w:sz w:val="21"/>
          <w:szCs w:val="21"/>
          <w:color w:val="auto"/>
        </w:rPr>
        <w:t>Any Insider subject to “pre-clearance” (</w:t>
      </w:r>
      <w:r>
        <w:rPr>
          <w:rFonts w:ascii="Arial" w:cs="Arial" w:eastAsia="Arial" w:hAnsi="Arial"/>
          <w:sz w:val="21"/>
          <w:szCs w:val="21"/>
          <w:i w:val="1"/>
          <w:iCs w:val="1"/>
          <w:color w:val="auto"/>
        </w:rPr>
        <w:t>see Section 4</w:t>
      </w:r>
      <w:r>
        <w:rPr>
          <w:rFonts w:ascii="Arial" w:cs="Arial" w:eastAsia="Arial" w:hAnsi="Arial"/>
          <w:sz w:val="21"/>
          <w:szCs w:val="21"/>
          <w:color w:val="auto"/>
        </w:rPr>
        <w:t>) may not buy, sell, gift or otherwise trade our securities during any of the four “Extended Blackout Periods” that occur each fiscal year (</w:t>
      </w:r>
      <w:r>
        <w:rPr>
          <w:rFonts w:ascii="Arial" w:cs="Arial" w:eastAsia="Arial" w:hAnsi="Arial"/>
          <w:sz w:val="21"/>
          <w:szCs w:val="21"/>
          <w:i w:val="1"/>
          <w:iCs w:val="1"/>
          <w:color w:val="auto"/>
        </w:rPr>
        <w:t>see Section 5(b)</w:t>
      </w:r>
      <w:r>
        <w:rPr>
          <w:rFonts w:ascii="Arial" w:cs="Arial" w:eastAsia="Arial" w:hAnsi="Arial"/>
          <w:sz w:val="21"/>
          <w:szCs w:val="21"/>
          <w:color w:val="auto"/>
        </w:rPr>
        <w:t>).</w:t>
      </w:r>
    </w:p>
    <w:p>
      <w:pPr>
        <w:sectPr>
          <w:pgSz w:w="11900" w:h="16838" w:orient="portrait"/>
          <w:cols w:equalWidth="0" w:num="1">
            <w:col w:w="11140"/>
          </w:cols>
          <w:pgMar w:left="320" w:top="1440" w:right="439" w:bottom="1440" w:gutter="0" w:footer="0" w:header="0"/>
        </w:sectPr>
      </w:pPr>
    </w:p>
    <w:bookmarkStart w:id="104" w:name="page105"/>
    <w:bookmarkEnd w:id="104"/>
    <w:p>
      <w:pPr>
        <w:spacing w:after="0" w:line="334" w:lineRule="exact"/>
        <w:rPr>
          <w:sz w:val="20"/>
          <w:szCs w:val="20"/>
          <w:color w:val="auto"/>
        </w:rPr>
      </w:pPr>
    </w:p>
    <w:p>
      <w:pPr>
        <w:jc w:val="both"/>
        <w:ind w:left="340" w:right="120" w:hanging="332"/>
        <w:spacing w:after="0" w:line="257" w:lineRule="auto"/>
        <w:tabs>
          <w:tab w:leader="none" w:pos="335"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No Insider may buy, sell, gift or otherwise trade our securities at any time after termination of service to Gartner if the Insider is in possession of Material Non-Public Information obtained about Gartner in the course of his or her association with Gartner, until that information has become public or is no longer material.</w:t>
      </w:r>
    </w:p>
    <w:p>
      <w:pPr>
        <w:spacing w:after="0" w:line="212" w:lineRule="exact"/>
        <w:rPr>
          <w:rFonts w:ascii="Times New Roman" w:cs="Times New Roman" w:eastAsia="Times New Roman" w:hAnsi="Times New Roman"/>
          <w:sz w:val="22"/>
          <w:szCs w:val="22"/>
          <w:color w:val="auto"/>
        </w:rPr>
      </w:pPr>
    </w:p>
    <w:p>
      <w:pPr>
        <w:ind w:left="340" w:right="80" w:hanging="332"/>
        <w:spacing w:after="0" w:line="257" w:lineRule="auto"/>
        <w:tabs>
          <w:tab w:leader="none" w:pos="335"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color w:val="auto"/>
        </w:rPr>
        <w:t>If your last day of employment or service falls in a Blackout Period (or Extended Blackout Period), you may not buy, gift, sell or otherwise trade our securities until the end of that Blackout Period (or Extended Blackout Period), even though you have left the employ of the Company.</w:t>
      </w:r>
    </w:p>
    <w:p>
      <w:pPr>
        <w:spacing w:after="0" w:line="199"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From time to time, Gartner may engage in transactions in its own securities. It is Gartner’s policy to comply with all applicable federal and state securities laws (including appropriate approvals by the Board of Directors or appropriate committee, if required) when engaging in transactions in its securities (subject to transactions under equity-based compensation plans being in accordance with terms of plans and award agreements).</w:t>
      </w:r>
    </w:p>
    <w:p>
      <w:pPr>
        <w:spacing w:after="0" w:line="182" w:lineRule="exact"/>
        <w:rPr>
          <w:sz w:val="20"/>
          <w:szCs w:val="20"/>
          <w:color w:val="auto"/>
        </w:rPr>
      </w:pPr>
    </w:p>
    <w:p>
      <w:pPr>
        <w:ind w:left="640" w:hanging="632"/>
        <w:spacing w:after="0"/>
        <w:tabs>
          <w:tab w:leader="none" w:pos="640" w:val="left"/>
        </w:tabs>
        <w:numPr>
          <w:ilvl w:val="0"/>
          <w:numId w:val="82"/>
        </w:numPr>
        <w:rPr>
          <w:rFonts w:ascii="Arial" w:cs="Arial" w:eastAsia="Arial" w:hAnsi="Arial"/>
          <w:sz w:val="32"/>
          <w:szCs w:val="32"/>
          <w:b w:val="1"/>
          <w:bCs w:val="1"/>
          <w:color w:val="002060"/>
        </w:rPr>
      </w:pPr>
      <w:r>
        <w:rPr>
          <w:rFonts w:ascii="Arial" w:cs="Arial" w:eastAsia="Arial" w:hAnsi="Arial"/>
          <w:sz w:val="32"/>
          <w:szCs w:val="32"/>
          <w:b w:val="1"/>
          <w:bCs w:val="1"/>
          <w:color w:val="002060"/>
        </w:rPr>
        <w:t>Certain Exceptions</w:t>
      </w:r>
    </w:p>
    <w:p>
      <w:pPr>
        <w:spacing w:after="0" w:line="284"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An exception to the trading restrictions described in this Policy is available for transactions entered into pursuant to a binding, written contract, instruction or plan (a “Plan”) to purchase or sell securities that complies with Rule 10b5-1 of the Securities Exchange Act of 1934, as amended (the “1934 Act”). Any such Plan may only be adopted or modified during an open trading window and while the individual is not in possession of Material Non-Public Information about Gartner or its securities. Our Compliance Officer must pre-approve any Plan prior to its execution. Individuals are discouraged from modifying, suspending and/or terminating Plans once adopted, as this may result in loss of the protections offered by the Plan. A final executed copy of such Plan must be provided to our Compliance Officer. Please contact our Compliance Officer for any questions regarding Plans, or if you are considering any similar plan or trading arrangement, as 10b5-1 rules are complex.</w:t>
      </w:r>
    </w:p>
    <w:p>
      <w:pPr>
        <w:spacing w:after="0" w:line="226"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PLEASE NOTE THAT GARTNER CANNOT AND DOES NOT GUARANTEE AND MAKES NO REPRESENTATION THAT CONTRACTS, INSTRUCTIONS OR PLANS INTENDED OR DESIGNED TO TAKE ADVANTAGE OF RULE 10b5-1 OF THE 1934 ACT WILL PREVENT CIVIL OR CRIMINAL LIABILITY UNDER STATE OR FEDERAL INSIDER TRADING LAWS. RULE 10b5-1 PURPORTS TO PROTECT INSIDERS FROM FEDERAL INSIDER TRADING LIABILITY WHEN PURCHASES AND SALES ARE MADE PURSUANT TO PLANS THAT COMPLY WITH SUCH RULE. SOME STATES AND OTHER JURISDICTIONS DO NOT PROVIDE SUCH PROTECTION, EVEN THOUGH THE PROTECTION MAY BE AVAILABLE ON THE UNITED STATES FEDERAL LEVEL, PERSONS ELECTING TO PURCHASE OR SELL SECURITIES PURSUANT TO THESE PLANS DO SO AT THEIR OWN RISK.</w:t>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In addition, unless clearly specified otherwise, the general prohibitions set forth in this Policy do not apply to:</w:t>
      </w:r>
    </w:p>
    <w:p>
      <w:pPr>
        <w:spacing w:after="0" w:line="247" w:lineRule="exact"/>
        <w:rPr>
          <w:sz w:val="20"/>
          <w:szCs w:val="20"/>
          <w:color w:val="auto"/>
        </w:rPr>
      </w:pPr>
    </w:p>
    <w:p>
      <w:pPr>
        <w:ind w:left="660" w:right="20" w:hanging="328"/>
        <w:spacing w:after="0" w:line="253" w:lineRule="auto"/>
        <w:tabs>
          <w:tab w:leader="none" w:pos="655" w:val="left"/>
        </w:tabs>
        <w:numPr>
          <w:ilvl w:val="1"/>
          <w:numId w:val="83"/>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The exercise of stock options or stock appreciation rights (“SARs”) (with no related sale on the market) and the release of shares upon vesting of restricted stock and/or settlement of restricted stock units granted under Gartner’s equity compensation plan(s) (but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the sale of any resultant shares), since we are the other party to the transaction and, in the case of options and SARs, the price does not vary with the market but is fixed by the terms of the option agreement or stock appreciation right agreement.</w:t>
      </w:r>
    </w:p>
    <w:p>
      <w:pPr>
        <w:spacing w:after="0" w:line="204" w:lineRule="exact"/>
        <w:rPr>
          <w:rFonts w:ascii="Times New Roman" w:cs="Times New Roman" w:eastAsia="Times New Roman" w:hAnsi="Times New Roman"/>
          <w:sz w:val="22"/>
          <w:szCs w:val="22"/>
          <w:color w:val="auto"/>
        </w:rPr>
      </w:pPr>
    </w:p>
    <w:p>
      <w:pPr>
        <w:ind w:left="660" w:right="540" w:hanging="328"/>
        <w:spacing w:after="0" w:line="271" w:lineRule="auto"/>
        <w:tabs>
          <w:tab w:leader="none" w:pos="655" w:val="left"/>
        </w:tabs>
        <w:numPr>
          <w:ilvl w:val="1"/>
          <w:numId w:val="83"/>
        </w:numPr>
        <w:rPr>
          <w:rFonts w:ascii="Times New Roman" w:cs="Times New Roman" w:eastAsia="Times New Roman" w:hAnsi="Times New Roman"/>
          <w:sz w:val="22"/>
          <w:szCs w:val="22"/>
          <w:color w:val="auto"/>
        </w:rPr>
      </w:pPr>
      <w:r>
        <w:rPr>
          <w:rFonts w:ascii="Arial" w:cs="Arial" w:eastAsia="Arial" w:hAnsi="Arial"/>
          <w:sz w:val="22"/>
          <w:szCs w:val="22"/>
          <w:color w:val="auto"/>
        </w:rPr>
        <w:t>Withholding of shares upon settlement of restricted stock units or vesting of restricted stock or exercise of options or SARs, in each case without any sale on the market (for reasons described above).</w:t>
      </w:r>
    </w:p>
    <w:p>
      <w:pPr>
        <w:spacing w:after="0" w:line="197" w:lineRule="exact"/>
        <w:rPr>
          <w:rFonts w:ascii="Times New Roman" w:cs="Times New Roman" w:eastAsia="Times New Roman" w:hAnsi="Times New Roman"/>
          <w:sz w:val="22"/>
          <w:szCs w:val="22"/>
          <w:color w:val="auto"/>
        </w:rPr>
      </w:pPr>
    </w:p>
    <w:p>
      <w:pPr>
        <w:ind w:left="660" w:hanging="328"/>
        <w:spacing w:after="0" w:line="250" w:lineRule="auto"/>
        <w:tabs>
          <w:tab w:leader="none" w:pos="655" w:val="left"/>
        </w:tabs>
        <w:numPr>
          <w:ilvl w:val="1"/>
          <w:numId w:val="83"/>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The purchase of stock through our Employee Stock Purchase Plan (“ESPP”) (but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the sale of any such shares), since we are the other party to the transaction and the shares are purchased as specified in the plan regardless of the stock price. However, while in possession of Material, Non-Public Information relating to us or being subject to a Special Blackout described in Section 4(c), Insiders may not elect to enroll in the ESPP or make any changes in pre-existing elections under the ESPP.</w:t>
      </w:r>
    </w:p>
    <w:p>
      <w:pPr>
        <w:spacing w:after="0" w:line="189"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83"/>
        </w:numPr>
        <w:rPr>
          <w:rFonts w:ascii="Arial" w:cs="Arial" w:eastAsia="Arial" w:hAnsi="Arial"/>
          <w:sz w:val="32"/>
          <w:szCs w:val="32"/>
          <w:b w:val="1"/>
          <w:bCs w:val="1"/>
          <w:color w:val="002060"/>
        </w:rPr>
      </w:pPr>
      <w:r>
        <w:rPr>
          <w:rFonts w:ascii="Arial" w:cs="Arial" w:eastAsia="Arial" w:hAnsi="Arial"/>
          <w:sz w:val="32"/>
          <w:szCs w:val="32"/>
          <w:b w:val="1"/>
          <w:bCs w:val="1"/>
          <w:color w:val="002060"/>
        </w:rPr>
        <w:t>Pre-Clearance of Trades / Suspension of Trading/Disclosure</w:t>
      </w:r>
    </w:p>
    <w:p>
      <w:pPr>
        <w:spacing w:after="0" w:line="284" w:lineRule="exact"/>
        <w:rPr>
          <w:sz w:val="20"/>
          <w:szCs w:val="20"/>
          <w:color w:val="auto"/>
        </w:rPr>
      </w:pPr>
    </w:p>
    <w:p>
      <w:pPr>
        <w:ind w:left="660" w:right="40" w:hanging="328"/>
        <w:spacing w:after="0" w:line="257" w:lineRule="auto"/>
        <w:tabs>
          <w:tab w:leader="none" w:pos="649"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Insiders Requiring Pre-Clearance</w:t>
      </w:r>
      <w:r>
        <w:rPr>
          <w:rFonts w:ascii="Arial" w:cs="Arial" w:eastAsia="Arial" w:hAnsi="Arial"/>
          <w:sz w:val="22"/>
          <w:szCs w:val="22"/>
          <w:color w:val="auto"/>
        </w:rPr>
        <w:t xml:space="preserve">. Subject to the exceptions specified above, certain Insiders must contact our Compliance Officer to obtain “pre-clearance” </w:t>
      </w:r>
      <w:r>
        <w:rPr>
          <w:rFonts w:ascii="Arial" w:cs="Arial" w:eastAsia="Arial" w:hAnsi="Arial"/>
          <w:sz w:val="22"/>
          <w:szCs w:val="22"/>
          <w:i w:val="1"/>
          <w:iCs w:val="1"/>
          <w:color w:val="auto"/>
        </w:rPr>
        <w:t>at any time</w:t>
      </w:r>
      <w:r>
        <w:rPr>
          <w:rFonts w:ascii="Arial" w:cs="Arial" w:eastAsia="Arial" w:hAnsi="Arial"/>
          <w:sz w:val="22"/>
          <w:szCs w:val="22"/>
          <w:color w:val="auto"/>
        </w:rPr>
        <w:t xml:space="preserve"> prior to buying, selling, gifting or otherwise trading our securities (even if the window is open). Individuals subject to this pre-clearance requirement are the individuals listed below as well as their Family Members and Controlled Entities:</w:t>
      </w:r>
    </w:p>
    <w:p>
      <w:pPr>
        <w:spacing w:after="0" w:line="198" w:lineRule="exact"/>
        <w:rPr>
          <w:rFonts w:ascii="Arial" w:cs="Arial" w:eastAsia="Arial" w:hAnsi="Arial"/>
          <w:sz w:val="22"/>
          <w:szCs w:val="22"/>
          <w:color w:val="auto"/>
        </w:rPr>
      </w:pPr>
    </w:p>
    <w:p>
      <w:pPr>
        <w:ind w:left="1300" w:right="100" w:hanging="320"/>
        <w:spacing w:after="0" w:line="249" w:lineRule="auto"/>
        <w:tabs>
          <w:tab w:leader="none" w:pos="130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Section 16 Individuals</w:t>
      </w:r>
      <w:r>
        <w:rPr>
          <w:rFonts w:ascii="Arial" w:cs="Arial" w:eastAsia="Arial" w:hAnsi="Arial"/>
          <w:sz w:val="22"/>
          <w:szCs w:val="22"/>
          <w:color w:val="auto"/>
        </w:rPr>
        <w:t>. All members of our Board of Directors and our executive officers, as determined by the Board of Directors in accordance with Section 16 under the 1934 Act, are our Section 16 Individuals. We will inform each person who is designated as a “</w:t>
      </w:r>
      <w:r>
        <w:rPr>
          <w:rFonts w:ascii="Arial" w:cs="Arial" w:eastAsia="Arial" w:hAnsi="Arial"/>
          <w:sz w:val="22"/>
          <w:szCs w:val="22"/>
          <w:u w:val="single" w:color="auto"/>
          <w:color w:val="auto"/>
        </w:rPr>
        <w:t>Section 16 Individual</w:t>
      </w:r>
      <w:r>
        <w:rPr>
          <w:rFonts w:ascii="Arial" w:cs="Arial" w:eastAsia="Arial" w:hAnsi="Arial"/>
          <w:sz w:val="22"/>
          <w:szCs w:val="22"/>
          <w:color w:val="auto"/>
        </w:rPr>
        <w:t xml:space="preserve">”, and provide them with additional information concerning their obligations under Section 16 of the 1934 Act. This information is summarized in </w:t>
      </w:r>
      <w:r>
        <w:rPr>
          <w:rFonts w:ascii="Arial" w:cs="Arial" w:eastAsia="Arial" w:hAnsi="Arial"/>
          <w:sz w:val="22"/>
          <w:szCs w:val="22"/>
          <w:i w:val="1"/>
          <w:iCs w:val="1"/>
          <w:color w:val="auto"/>
        </w:rPr>
        <w:t>Section 8</w:t>
      </w:r>
      <w:r>
        <w:rPr>
          <w:rFonts w:ascii="Arial" w:cs="Arial" w:eastAsia="Arial" w:hAnsi="Arial"/>
          <w:sz w:val="22"/>
          <w:szCs w:val="22"/>
          <w:color w:val="auto"/>
        </w:rPr>
        <w:t xml:space="preserve"> below.</w:t>
      </w:r>
    </w:p>
    <w:p>
      <w:pPr>
        <w:spacing w:after="0" w:line="3" w:lineRule="exact"/>
        <w:rPr>
          <w:rFonts w:ascii="Arial" w:cs="Arial" w:eastAsia="Arial" w:hAnsi="Arial"/>
          <w:sz w:val="22"/>
          <w:szCs w:val="22"/>
          <w:color w:val="auto"/>
        </w:rPr>
      </w:pPr>
    </w:p>
    <w:p>
      <w:pPr>
        <w:ind w:left="1300" w:right="660" w:hanging="320"/>
        <w:spacing w:after="0" w:line="253" w:lineRule="auto"/>
        <w:tabs>
          <w:tab w:leader="none" w:pos="1294"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Other Restricted Persons</w:t>
      </w:r>
      <w:r>
        <w:rPr>
          <w:rFonts w:ascii="Arial" w:cs="Arial" w:eastAsia="Arial" w:hAnsi="Arial"/>
          <w:sz w:val="22"/>
          <w:szCs w:val="22"/>
          <w:color w:val="auto"/>
        </w:rPr>
        <w:t>. Other persons who are designated by the Compliance Officer as being subject to the pre-clearance requirements (“</w:t>
      </w:r>
      <w:r>
        <w:rPr>
          <w:rFonts w:ascii="Arial" w:cs="Arial" w:eastAsia="Arial" w:hAnsi="Arial"/>
          <w:sz w:val="22"/>
          <w:szCs w:val="22"/>
          <w:u w:val="single" w:color="auto"/>
          <w:color w:val="auto"/>
        </w:rPr>
        <w:t>Other Insiders</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34" w:lineRule="exact"/>
        <w:rPr>
          <w:sz w:val="20"/>
          <w:szCs w:val="20"/>
          <w:color w:val="auto"/>
        </w:rPr>
      </w:pPr>
    </w:p>
    <w:p>
      <w:pPr>
        <w:jc w:val="both"/>
        <w:ind w:left="652" w:right="40" w:hanging="328"/>
        <w:spacing w:after="0" w:line="257" w:lineRule="auto"/>
        <w:tabs>
          <w:tab w:leader="none" w:pos="641"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Duration of Pre-Clearance</w:t>
      </w:r>
      <w:r>
        <w:rPr>
          <w:rFonts w:ascii="Arial" w:cs="Arial" w:eastAsia="Arial" w:hAnsi="Arial"/>
          <w:sz w:val="22"/>
          <w:szCs w:val="22"/>
          <w:color w:val="auto"/>
        </w:rPr>
        <w:t>: Unless advised otherwise, pre-clearance of any transaction is valid for one week. If a transaction is not completed within that timeframe, pre-clearance must be obtained again in accordance with this Policy.</w:t>
      </w:r>
    </w:p>
    <w:p>
      <w:pPr>
        <w:spacing w:after="0" w:line="213" w:lineRule="exact"/>
        <w:rPr>
          <w:rFonts w:ascii="Arial" w:cs="Arial" w:eastAsia="Arial" w:hAnsi="Arial"/>
          <w:sz w:val="22"/>
          <w:szCs w:val="22"/>
          <w:color w:val="auto"/>
        </w:rPr>
      </w:pPr>
    </w:p>
    <w:p>
      <w:pPr>
        <w:ind w:left="652" w:right="120" w:hanging="328"/>
        <w:spacing w:after="0" w:line="250" w:lineRule="auto"/>
        <w:tabs>
          <w:tab w:leader="none" w:pos="643"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Suspension of Trading (“Special Blackouts”)</w:t>
      </w:r>
      <w:r>
        <w:rPr>
          <w:rFonts w:ascii="Arial" w:cs="Arial" w:eastAsia="Arial" w:hAnsi="Arial"/>
          <w:sz w:val="22"/>
          <w:szCs w:val="22"/>
          <w:color w:val="auto"/>
        </w:rPr>
        <w:t>. From time-to-time, we may recommend that Directors, officers, selected associates and others suspend trading in our securities because of developments that have not yet been disclosed to the public (so-called “Special Blackouts”). The persons involved may be asked to sign a project non-disclosure agreement. All those affected should not trade in our securities while the suspension is in effect.</w:t>
      </w:r>
    </w:p>
    <w:p>
      <w:pPr>
        <w:spacing w:after="0" w:line="221" w:lineRule="exact"/>
        <w:rPr>
          <w:rFonts w:ascii="Arial" w:cs="Arial" w:eastAsia="Arial" w:hAnsi="Arial"/>
          <w:sz w:val="22"/>
          <w:szCs w:val="22"/>
          <w:color w:val="auto"/>
        </w:rPr>
      </w:pPr>
    </w:p>
    <w:p>
      <w:pPr>
        <w:ind w:left="652" w:right="180" w:hanging="328"/>
        <w:spacing w:after="0" w:line="253" w:lineRule="auto"/>
        <w:tabs>
          <w:tab w:leader="none" w:pos="641"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Disclosure</w:t>
      </w:r>
      <w:r>
        <w:rPr>
          <w:rFonts w:ascii="Arial" w:cs="Arial" w:eastAsia="Arial" w:hAnsi="Arial"/>
          <w:sz w:val="22"/>
          <w:szCs w:val="22"/>
          <w:color w:val="auto"/>
        </w:rPr>
        <w:t>. Insiders should not disclose to others that we have denied their pre-clearance request, that they have signed a project non-disclosure agreement or that we have suspended trading for them or for certain other individuals. These facts in and of themselves may constitute Material Non-Public Information relating to Gartner or other Business Partners.</w:t>
      </w:r>
    </w:p>
    <w:p>
      <w:pPr>
        <w:spacing w:after="0" w:line="185" w:lineRule="exact"/>
        <w:rPr>
          <w:rFonts w:ascii="Arial" w:cs="Arial" w:eastAsia="Arial" w:hAnsi="Arial"/>
          <w:sz w:val="22"/>
          <w:szCs w:val="22"/>
          <w:color w:val="auto"/>
        </w:rPr>
      </w:pPr>
    </w:p>
    <w:p>
      <w:pPr>
        <w:ind w:left="632" w:hanging="632"/>
        <w:spacing w:after="0"/>
        <w:tabs>
          <w:tab w:leader="none" w:pos="632" w:val="left"/>
        </w:tabs>
        <w:numPr>
          <w:ilvl w:val="0"/>
          <w:numId w:val="86"/>
        </w:numPr>
        <w:rPr>
          <w:rFonts w:ascii="Arial" w:cs="Arial" w:eastAsia="Arial" w:hAnsi="Arial"/>
          <w:sz w:val="32"/>
          <w:szCs w:val="32"/>
          <w:b w:val="1"/>
          <w:bCs w:val="1"/>
          <w:color w:val="063D89"/>
        </w:rPr>
      </w:pPr>
      <w:r>
        <w:rPr>
          <w:rFonts w:ascii="Arial" w:cs="Arial" w:eastAsia="Arial" w:hAnsi="Arial"/>
          <w:sz w:val="32"/>
          <w:szCs w:val="32"/>
          <w:b w:val="1"/>
          <w:bCs w:val="1"/>
          <w:color w:val="002060"/>
        </w:rPr>
        <w:t>Definitions</w:t>
      </w:r>
    </w:p>
    <w:p>
      <w:pPr>
        <w:spacing w:after="0" w:line="283" w:lineRule="exact"/>
        <w:rPr>
          <w:rFonts w:ascii="Arial" w:cs="Arial" w:eastAsia="Arial" w:hAnsi="Arial"/>
          <w:sz w:val="32"/>
          <w:szCs w:val="32"/>
          <w:b w:val="1"/>
          <w:bCs w:val="1"/>
          <w:color w:val="063D89"/>
        </w:rPr>
      </w:pPr>
    </w:p>
    <w:p>
      <w:pPr>
        <w:ind w:left="652" w:right="20" w:hanging="328"/>
        <w:spacing w:after="0" w:line="238" w:lineRule="auto"/>
        <w:tabs>
          <w:tab w:leader="none" w:pos="641"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Black-Out Periods.</w:t>
      </w:r>
      <w:r>
        <w:rPr>
          <w:rFonts w:ascii="Arial" w:cs="Arial" w:eastAsia="Arial" w:hAnsi="Arial"/>
          <w:sz w:val="22"/>
          <w:szCs w:val="22"/>
          <w:color w:val="auto"/>
        </w:rPr>
        <w:t xml:space="preserve"> The four Blackout Periods begin when the New York Stock Exchange (“NYSE”) closes on March 31</w:t>
      </w:r>
      <w:r>
        <w:rPr>
          <w:rFonts w:ascii="Arial" w:cs="Arial" w:eastAsia="Arial" w:hAnsi="Arial"/>
          <w:sz w:val="28"/>
          <w:szCs w:val="28"/>
          <w:color w:val="auto"/>
          <w:vertAlign w:val="superscript"/>
        </w:rPr>
        <w:t>st</w:t>
      </w:r>
      <w:r>
        <w:rPr>
          <w:rFonts w:ascii="Arial" w:cs="Arial" w:eastAsia="Arial" w:hAnsi="Arial"/>
          <w:sz w:val="22"/>
          <w:szCs w:val="22"/>
          <w:color w:val="auto"/>
        </w:rPr>
        <w:t>, June 30</w:t>
      </w:r>
      <w:r>
        <w:rPr>
          <w:rFonts w:ascii="Arial" w:cs="Arial" w:eastAsia="Arial" w:hAnsi="Arial"/>
          <w:sz w:val="28"/>
          <w:szCs w:val="28"/>
          <w:color w:val="auto"/>
          <w:vertAlign w:val="superscript"/>
        </w:rPr>
        <w:t>th</w:t>
      </w:r>
      <w:r>
        <w:rPr>
          <w:rFonts w:ascii="Arial" w:cs="Arial" w:eastAsia="Arial" w:hAnsi="Arial"/>
          <w:sz w:val="22"/>
          <w:szCs w:val="22"/>
          <w:color w:val="auto"/>
        </w:rPr>
        <w:t>, September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and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each year (or the immediately preceding trading day), and end one full trading day on the NYSE </w:t>
      </w:r>
      <w:r>
        <w:rPr>
          <w:rFonts w:ascii="Arial" w:cs="Arial" w:eastAsia="Arial" w:hAnsi="Arial"/>
          <w:sz w:val="22"/>
          <w:szCs w:val="22"/>
          <w:i w:val="1"/>
          <w:iCs w:val="1"/>
          <w:color w:val="auto"/>
        </w:rPr>
        <w:t>after</w:t>
      </w:r>
      <w:r>
        <w:rPr>
          <w:rFonts w:ascii="Arial" w:cs="Arial" w:eastAsia="Arial" w:hAnsi="Arial"/>
          <w:sz w:val="22"/>
          <w:szCs w:val="22"/>
          <w:color w:val="auto"/>
        </w:rPr>
        <w:t xml:space="preserve"> we announce our earnings results for the preceding fiscal period. If the last day of the month falls on a weekend or a NYSE holiday, the Blackout Period will start when the NYSE closes on the last trading day prior to the weekend or NYSE holiday. The Blackout Period, and the Extended Black-Out Period – see below, are noted on Inside Gartner.</w:t>
      </w:r>
    </w:p>
    <w:p>
      <w:pPr>
        <w:spacing w:after="0" w:line="22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Assuming the NYSE is open each day, below is an example of when you can trade:</w:t>
      </w:r>
    </w:p>
    <w:p>
      <w:pPr>
        <w:spacing w:after="0" w:line="223" w:lineRule="exact"/>
        <w:rPr>
          <w:sz w:val="20"/>
          <w:szCs w:val="20"/>
          <w:color w:val="auto"/>
        </w:rPr>
      </w:pPr>
    </w:p>
    <w:tbl>
      <w:tblPr>
        <w:tblLayout w:type="fixed"/>
        <w:tblInd w:w="1292" w:type="dxa"/>
        <w:tblCellMar>
          <w:top w:w="0" w:type="dxa"/>
          <w:left w:w="0" w:type="dxa"/>
          <w:bottom w:w="0" w:type="dxa"/>
          <w:right w:w="0" w:type="dxa"/>
        </w:tblCellMar>
      </w:tblPr>
      <w:tr>
        <w:trPr>
          <w:trHeight w:val="253"/>
        </w:trPr>
        <w:tc>
          <w:tcPr>
            <w:tcW w:w="2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Announcement on</w:t>
            </w:r>
          </w:p>
        </w:tc>
        <w:tc>
          <w:tcPr>
            <w:tcW w:w="720" w:type="dxa"/>
            <w:vAlign w:val="bottom"/>
          </w:tcPr>
          <w:p>
            <w:pPr>
              <w:spacing w:after="0"/>
              <w:rPr>
                <w:sz w:val="21"/>
                <w:szCs w:val="21"/>
                <w:color w:val="auto"/>
              </w:rPr>
            </w:pP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6"/>
              </w:rPr>
              <w:t>First Day You Can Trade</w:t>
            </w:r>
          </w:p>
        </w:tc>
      </w:tr>
      <w:tr>
        <w:trPr>
          <w:trHeight w:val="278"/>
        </w:trPr>
        <w:tc>
          <w:tcPr>
            <w:tcW w:w="3340" w:type="dxa"/>
            <w:vAlign w:val="bottom"/>
            <w:gridSpan w:val="3"/>
          </w:tcPr>
          <w:p>
            <w:pPr>
              <w:spacing w:after="0"/>
              <w:rPr>
                <w:sz w:val="20"/>
                <w:szCs w:val="20"/>
                <w:color w:val="auto"/>
              </w:rPr>
            </w:pPr>
            <w:r>
              <w:rPr>
                <w:rFonts w:ascii="Arial" w:cs="Arial" w:eastAsia="Arial" w:hAnsi="Arial"/>
                <w:sz w:val="22"/>
                <w:szCs w:val="22"/>
                <w:color w:val="auto"/>
              </w:rPr>
              <w:t>Tuesday, Before Market Opens</w:t>
            </w:r>
          </w:p>
        </w:tc>
        <w:tc>
          <w:tcPr>
            <w:tcW w:w="1980" w:type="dxa"/>
            <w:vAlign w:val="bottom"/>
          </w:tcPr>
          <w:p>
            <w:pPr>
              <w:ind w:left="360"/>
              <w:spacing w:after="0"/>
              <w:rPr>
                <w:sz w:val="20"/>
                <w:szCs w:val="20"/>
                <w:color w:val="auto"/>
              </w:rPr>
            </w:pPr>
            <w:r>
              <w:rPr>
                <w:rFonts w:ascii="Arial" w:cs="Arial" w:eastAsia="Arial" w:hAnsi="Arial"/>
                <w:sz w:val="22"/>
                <w:szCs w:val="22"/>
                <w:color w:val="auto"/>
              </w:rPr>
              <w:t>Wednesday</w:t>
            </w:r>
          </w:p>
        </w:tc>
      </w:tr>
      <w:tr>
        <w:trPr>
          <w:trHeight w:val="256"/>
        </w:trPr>
        <w:tc>
          <w:tcPr>
            <w:tcW w:w="3340" w:type="dxa"/>
            <w:vAlign w:val="bottom"/>
            <w:gridSpan w:val="3"/>
          </w:tcPr>
          <w:p>
            <w:pPr>
              <w:spacing w:after="0"/>
              <w:rPr>
                <w:sz w:val="20"/>
                <w:szCs w:val="20"/>
                <w:color w:val="auto"/>
              </w:rPr>
            </w:pPr>
            <w:r>
              <w:rPr>
                <w:rFonts w:ascii="Arial" w:cs="Arial" w:eastAsia="Arial" w:hAnsi="Arial"/>
                <w:sz w:val="22"/>
                <w:szCs w:val="22"/>
                <w:color w:val="auto"/>
              </w:rPr>
              <w:t>Tuesday, While Market is Open</w:t>
            </w:r>
          </w:p>
        </w:tc>
        <w:tc>
          <w:tcPr>
            <w:tcW w:w="1980" w:type="dxa"/>
            <w:vAlign w:val="bottom"/>
          </w:tcPr>
          <w:p>
            <w:pPr>
              <w:ind w:left="420"/>
              <w:spacing w:after="0"/>
              <w:rPr>
                <w:sz w:val="20"/>
                <w:szCs w:val="20"/>
                <w:color w:val="auto"/>
              </w:rPr>
            </w:pPr>
            <w:r>
              <w:rPr>
                <w:rFonts w:ascii="Arial" w:cs="Arial" w:eastAsia="Arial" w:hAnsi="Arial"/>
                <w:sz w:val="22"/>
                <w:szCs w:val="22"/>
                <w:color w:val="auto"/>
              </w:rPr>
              <w:t>Thursday</w:t>
            </w:r>
          </w:p>
        </w:tc>
      </w:tr>
      <w:tr>
        <w:trPr>
          <w:trHeight w:val="257"/>
        </w:trPr>
        <w:tc>
          <w:tcPr>
            <w:tcW w:w="2960" w:type="dxa"/>
            <w:vAlign w:val="bottom"/>
            <w:gridSpan w:val="2"/>
          </w:tcPr>
          <w:p>
            <w:pPr>
              <w:spacing w:after="0"/>
              <w:rPr>
                <w:sz w:val="20"/>
                <w:szCs w:val="20"/>
                <w:color w:val="auto"/>
              </w:rPr>
            </w:pPr>
            <w:r>
              <w:rPr>
                <w:rFonts w:ascii="Arial" w:cs="Arial" w:eastAsia="Arial" w:hAnsi="Arial"/>
                <w:sz w:val="22"/>
                <w:szCs w:val="22"/>
                <w:color w:val="auto"/>
              </w:rPr>
              <w:t>Tuesday, After Market Closes</w:t>
            </w:r>
          </w:p>
        </w:tc>
        <w:tc>
          <w:tcPr>
            <w:tcW w:w="380" w:type="dxa"/>
            <w:vAlign w:val="bottom"/>
          </w:tcPr>
          <w:p>
            <w:pPr>
              <w:spacing w:after="0"/>
              <w:rPr>
                <w:sz w:val="22"/>
                <w:szCs w:val="22"/>
                <w:color w:val="auto"/>
              </w:rPr>
            </w:pPr>
          </w:p>
        </w:tc>
        <w:tc>
          <w:tcPr>
            <w:tcW w:w="1980" w:type="dxa"/>
            <w:vAlign w:val="bottom"/>
          </w:tcPr>
          <w:p>
            <w:pPr>
              <w:ind w:left="260"/>
              <w:spacing w:after="0"/>
              <w:rPr>
                <w:sz w:val="20"/>
                <w:szCs w:val="20"/>
                <w:color w:val="auto"/>
              </w:rPr>
            </w:pPr>
            <w:r>
              <w:rPr>
                <w:rFonts w:ascii="Arial" w:cs="Arial" w:eastAsia="Arial" w:hAnsi="Arial"/>
                <w:sz w:val="22"/>
                <w:szCs w:val="22"/>
                <w:color w:val="auto"/>
              </w:rPr>
              <w:t>Thursday</w:t>
            </w:r>
          </w:p>
        </w:tc>
      </w:tr>
      <w:tr>
        <w:trPr>
          <w:trHeight w:val="256"/>
        </w:trPr>
        <w:tc>
          <w:tcPr>
            <w:tcW w:w="3340" w:type="dxa"/>
            <w:vAlign w:val="bottom"/>
            <w:gridSpan w:val="3"/>
          </w:tcPr>
          <w:p>
            <w:pPr>
              <w:spacing w:after="0"/>
              <w:rPr>
                <w:sz w:val="20"/>
                <w:szCs w:val="20"/>
                <w:color w:val="auto"/>
              </w:rPr>
            </w:pPr>
            <w:r>
              <w:rPr>
                <w:rFonts w:ascii="Arial" w:cs="Arial" w:eastAsia="Arial" w:hAnsi="Arial"/>
                <w:sz w:val="22"/>
                <w:szCs w:val="22"/>
                <w:color w:val="auto"/>
              </w:rPr>
              <w:t>Thursday, Before Market Opens</w:t>
            </w:r>
          </w:p>
        </w:tc>
        <w:tc>
          <w:tcPr>
            <w:tcW w:w="1980" w:type="dxa"/>
            <w:vAlign w:val="bottom"/>
          </w:tcPr>
          <w:p>
            <w:pPr>
              <w:ind w:left="500"/>
              <w:spacing w:after="0"/>
              <w:rPr>
                <w:sz w:val="20"/>
                <w:szCs w:val="20"/>
                <w:color w:val="auto"/>
              </w:rPr>
            </w:pPr>
            <w:r>
              <w:rPr>
                <w:rFonts w:ascii="Arial" w:cs="Arial" w:eastAsia="Arial" w:hAnsi="Arial"/>
                <w:sz w:val="22"/>
                <w:szCs w:val="22"/>
                <w:color w:val="auto"/>
              </w:rPr>
              <w:t>Friday</w:t>
            </w:r>
          </w:p>
        </w:tc>
      </w:tr>
      <w:tr>
        <w:trPr>
          <w:trHeight w:val="257"/>
        </w:trPr>
        <w:tc>
          <w:tcPr>
            <w:tcW w:w="3340" w:type="dxa"/>
            <w:vAlign w:val="bottom"/>
            <w:gridSpan w:val="3"/>
          </w:tcPr>
          <w:p>
            <w:pPr>
              <w:spacing w:after="0"/>
              <w:rPr>
                <w:sz w:val="20"/>
                <w:szCs w:val="20"/>
                <w:color w:val="auto"/>
              </w:rPr>
            </w:pPr>
            <w:r>
              <w:rPr>
                <w:rFonts w:ascii="Arial" w:cs="Arial" w:eastAsia="Arial" w:hAnsi="Arial"/>
                <w:sz w:val="22"/>
                <w:szCs w:val="22"/>
                <w:color w:val="auto"/>
              </w:rPr>
              <w:t>Thursday, While Market is Open</w:t>
            </w:r>
          </w:p>
        </w:tc>
        <w:tc>
          <w:tcPr>
            <w:tcW w:w="1980" w:type="dxa"/>
            <w:vAlign w:val="bottom"/>
          </w:tcPr>
          <w:p>
            <w:pPr>
              <w:ind w:left="520"/>
              <w:spacing w:after="0"/>
              <w:rPr>
                <w:sz w:val="20"/>
                <w:szCs w:val="20"/>
                <w:color w:val="auto"/>
              </w:rPr>
            </w:pPr>
            <w:r>
              <w:rPr>
                <w:rFonts w:ascii="Arial" w:cs="Arial" w:eastAsia="Arial" w:hAnsi="Arial"/>
                <w:sz w:val="22"/>
                <w:szCs w:val="22"/>
                <w:color w:val="auto"/>
              </w:rPr>
              <w:t>Monday</w:t>
            </w:r>
          </w:p>
        </w:tc>
      </w:tr>
      <w:tr>
        <w:trPr>
          <w:trHeight w:val="283"/>
        </w:trPr>
        <w:tc>
          <w:tcPr>
            <w:tcW w:w="2960" w:type="dxa"/>
            <w:vAlign w:val="bottom"/>
            <w:gridSpan w:val="2"/>
          </w:tcPr>
          <w:p>
            <w:pPr>
              <w:spacing w:after="0"/>
              <w:rPr>
                <w:sz w:val="20"/>
                <w:szCs w:val="20"/>
                <w:color w:val="auto"/>
              </w:rPr>
            </w:pPr>
            <w:r>
              <w:rPr>
                <w:rFonts w:ascii="Arial" w:cs="Arial" w:eastAsia="Arial" w:hAnsi="Arial"/>
                <w:sz w:val="22"/>
                <w:szCs w:val="22"/>
                <w:color w:val="auto"/>
                <w:w w:val="98"/>
              </w:rPr>
              <w:t>Thursday, After Market Closes</w:t>
            </w:r>
          </w:p>
        </w:tc>
        <w:tc>
          <w:tcPr>
            <w:tcW w:w="380" w:type="dxa"/>
            <w:vAlign w:val="bottom"/>
          </w:tcPr>
          <w:p>
            <w:pPr>
              <w:spacing w:after="0"/>
              <w:rPr>
                <w:sz w:val="24"/>
                <w:szCs w:val="24"/>
                <w:color w:val="auto"/>
              </w:rPr>
            </w:pPr>
          </w:p>
        </w:tc>
        <w:tc>
          <w:tcPr>
            <w:tcW w:w="1980" w:type="dxa"/>
            <w:vAlign w:val="bottom"/>
          </w:tcPr>
          <w:p>
            <w:pPr>
              <w:ind w:left="340"/>
              <w:spacing w:after="0"/>
              <w:rPr>
                <w:sz w:val="20"/>
                <w:szCs w:val="20"/>
                <w:color w:val="auto"/>
              </w:rPr>
            </w:pPr>
            <w:r>
              <w:rPr>
                <w:rFonts w:ascii="Arial" w:cs="Arial" w:eastAsia="Arial" w:hAnsi="Arial"/>
                <w:sz w:val="22"/>
                <w:szCs w:val="22"/>
                <w:color w:val="auto"/>
              </w:rPr>
              <w:t>Monday</w:t>
            </w:r>
          </w:p>
        </w:tc>
      </w:tr>
    </w:tbl>
    <w:p>
      <w:pPr>
        <w:spacing w:after="0" w:line="223" w:lineRule="exact"/>
        <w:rPr>
          <w:sz w:val="20"/>
          <w:szCs w:val="20"/>
          <w:color w:val="auto"/>
        </w:rPr>
      </w:pPr>
    </w:p>
    <w:p>
      <w:pPr>
        <w:ind w:left="652" w:hanging="328"/>
        <w:spacing w:after="0" w:line="223" w:lineRule="auto"/>
        <w:tabs>
          <w:tab w:leader="none" w:pos="641"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Extended Black-Out Periods</w:t>
      </w:r>
      <w:r>
        <w:rPr>
          <w:rFonts w:ascii="Arial" w:cs="Arial" w:eastAsia="Arial" w:hAnsi="Arial"/>
          <w:sz w:val="21"/>
          <w:szCs w:val="21"/>
          <w:color w:val="auto"/>
        </w:rPr>
        <w:t>. The four Extended Blackout Periods begin when the NYSE closes on March 15</w:t>
      </w:r>
      <w:r>
        <w:rPr>
          <w:rFonts w:ascii="Arial" w:cs="Arial" w:eastAsia="Arial" w:hAnsi="Arial"/>
          <w:sz w:val="27"/>
          <w:szCs w:val="27"/>
          <w:color w:val="auto"/>
          <w:vertAlign w:val="superscript"/>
        </w:rPr>
        <w:t>th</w:t>
      </w:r>
      <w:r>
        <w:rPr>
          <w:rFonts w:ascii="Arial" w:cs="Arial" w:eastAsia="Arial" w:hAnsi="Arial"/>
          <w:sz w:val="21"/>
          <w:szCs w:val="21"/>
          <w:color w:val="auto"/>
        </w:rPr>
        <w:t>, June 15</w:t>
      </w:r>
      <w:r>
        <w:rPr>
          <w:rFonts w:ascii="Arial" w:cs="Arial" w:eastAsia="Arial" w:hAnsi="Arial"/>
          <w:sz w:val="27"/>
          <w:szCs w:val="27"/>
          <w:color w:val="auto"/>
          <w:vertAlign w:val="superscript"/>
        </w:rPr>
        <w:t>th</w:t>
      </w:r>
      <w:r>
        <w:rPr>
          <w:rFonts w:ascii="Arial" w:cs="Arial" w:eastAsia="Arial" w:hAnsi="Arial"/>
          <w:sz w:val="21"/>
          <w:szCs w:val="21"/>
          <w:color w:val="auto"/>
        </w:rPr>
        <w:t>, September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and December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each year (or the immediately preceding trading day), and end one full trading day on the NYSE </w:t>
      </w:r>
      <w:r>
        <w:rPr>
          <w:rFonts w:ascii="Arial" w:cs="Arial" w:eastAsia="Arial" w:hAnsi="Arial"/>
          <w:sz w:val="21"/>
          <w:szCs w:val="21"/>
          <w:i w:val="1"/>
          <w:iCs w:val="1"/>
          <w:color w:val="auto"/>
        </w:rPr>
        <w:t>after</w:t>
      </w:r>
      <w:r>
        <w:rPr>
          <w:rFonts w:ascii="Arial" w:cs="Arial" w:eastAsia="Arial" w:hAnsi="Arial"/>
          <w:sz w:val="21"/>
          <w:szCs w:val="21"/>
          <w:color w:val="auto"/>
        </w:rPr>
        <w:t xml:space="preserve"> we announce our earnings results for the preceding fiscal</w:t>
      </w:r>
    </w:p>
    <w:p>
      <w:pPr>
        <w:sectPr>
          <w:pgSz w:w="11900" w:h="16838" w:orient="portrait"/>
          <w:cols w:equalWidth="0" w:num="1">
            <w:col w:w="11212"/>
          </w:cols>
          <w:pgMar w:left="328" w:top="1440" w:right="359" w:bottom="1440" w:gutter="0" w:footer="0" w:header="0"/>
        </w:sectPr>
      </w:pPr>
    </w:p>
    <w:bookmarkStart w:id="107" w:name="page108"/>
    <w:bookmarkEnd w:id="107"/>
    <w:p>
      <w:pPr>
        <w:spacing w:after="0" w:line="91" w:lineRule="exact"/>
        <w:rPr>
          <w:sz w:val="20"/>
          <w:szCs w:val="20"/>
          <w:color w:val="auto"/>
        </w:rPr>
      </w:pPr>
    </w:p>
    <w:p>
      <w:pPr>
        <w:ind w:left="328" w:right="320"/>
        <w:spacing w:after="0" w:line="272" w:lineRule="auto"/>
        <w:rPr>
          <w:sz w:val="20"/>
          <w:szCs w:val="20"/>
          <w:color w:val="auto"/>
        </w:rPr>
      </w:pPr>
      <w:r>
        <w:rPr>
          <w:rFonts w:ascii="Arial" w:cs="Arial" w:eastAsia="Arial" w:hAnsi="Arial"/>
          <w:sz w:val="22"/>
          <w:szCs w:val="22"/>
          <w:color w:val="auto"/>
        </w:rPr>
        <w:t>period. If the 15th of the month falls on a weekend or NYSE holiday, the Extended Blackout Period will start when the NYSE closes on the last trading day prior to the weekend or NYSE holiday.</w:t>
      </w:r>
    </w:p>
    <w:p>
      <w:pPr>
        <w:spacing w:after="0" w:line="183" w:lineRule="exact"/>
        <w:rPr>
          <w:sz w:val="20"/>
          <w:szCs w:val="20"/>
          <w:color w:val="auto"/>
        </w:rPr>
      </w:pPr>
    </w:p>
    <w:p>
      <w:pPr>
        <w:ind w:left="328" w:right="260" w:hanging="328"/>
        <w:spacing w:after="0" w:line="253" w:lineRule="auto"/>
        <w:tabs>
          <w:tab w:leader="none" w:pos="319"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Insiders</w:t>
      </w:r>
      <w:r>
        <w:rPr>
          <w:rFonts w:ascii="Arial" w:cs="Arial" w:eastAsia="Arial" w:hAnsi="Arial"/>
          <w:sz w:val="22"/>
          <w:szCs w:val="22"/>
          <w:color w:val="auto"/>
        </w:rPr>
        <w:t>. Gartner “Insiders” are (i) members of our Board of Directors, our executive officers and our employees, wherever located (“Company Personnel”); (ii) immediate family members (spouse and children) and other household members of Company Personnel (“Family Members”) and (iii) other persons or entities whose investment decisions are managed or controlled by those listed in clauses (i) and (ii) (“Controlled Entities”).</w:t>
      </w:r>
    </w:p>
    <w:p>
      <w:pPr>
        <w:spacing w:after="0" w:line="205" w:lineRule="exact"/>
        <w:rPr>
          <w:rFonts w:ascii="Arial" w:cs="Arial" w:eastAsia="Arial" w:hAnsi="Arial"/>
          <w:sz w:val="22"/>
          <w:szCs w:val="22"/>
          <w:color w:val="auto"/>
        </w:rPr>
      </w:pPr>
    </w:p>
    <w:p>
      <w:pPr>
        <w:ind w:left="328" w:right="120" w:hanging="328"/>
        <w:spacing w:after="0" w:line="249" w:lineRule="auto"/>
        <w:tabs>
          <w:tab w:leader="none" w:pos="317"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Material Information</w:t>
      </w:r>
      <w:r>
        <w:rPr>
          <w:rFonts w:ascii="Arial" w:cs="Arial" w:eastAsia="Arial" w:hAnsi="Arial"/>
          <w:sz w:val="22"/>
          <w:szCs w:val="22"/>
          <w:color w:val="auto"/>
        </w:rPr>
        <w:t>. Information is deemed to be material if there is a reasonable likelihood that it would be considered important to an investor in making a decision regarding the purchase or sale of securities. While it is not possible to define all categories of material information, there are various categories of information that are particularly sensitive and, as a general rule, should generally be considered material. Examples of such information include:</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Unannounced financial results</w:t>
      </w:r>
    </w:p>
    <w:p>
      <w:pPr>
        <w:spacing w:after="0" w:line="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Projections of future earnings or losses</w:t>
      </w:r>
    </w:p>
    <w:p>
      <w:pPr>
        <w:spacing w:after="0" w:line="10"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News of a pending or proposed merger</w:t>
      </w:r>
    </w:p>
    <w:p>
      <w:pPr>
        <w:spacing w:after="0" w:line="10"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Major acquisitions / divestitures</w:t>
      </w:r>
    </w:p>
    <w:p>
      <w:pPr>
        <w:spacing w:after="0" w:line="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Impending bankruptcy or financial liquidity problems</w:t>
      </w:r>
    </w:p>
    <w:p>
      <w:pPr>
        <w:spacing w:after="0" w:line="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Gain or loss of a substantial customer or supplier</w:t>
      </w:r>
    </w:p>
    <w:p>
      <w:pPr>
        <w:spacing w:after="0" w:line="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Major changes in dividend policy</w:t>
      </w:r>
    </w:p>
    <w:p>
      <w:pPr>
        <w:spacing w:after="0" w:line="10"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New product announcements of a significant nature</w:t>
      </w:r>
    </w:p>
    <w:p>
      <w:pPr>
        <w:spacing w:after="0" w:line="10"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Significant pricing changes</w:t>
      </w:r>
    </w:p>
    <w:p>
      <w:pPr>
        <w:spacing w:after="0" w:line="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Stock splits</w:t>
      </w:r>
    </w:p>
    <w:p>
      <w:pPr>
        <w:spacing w:after="0" w:line="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New significant equity or debt offerings</w:t>
      </w:r>
    </w:p>
    <w:p>
      <w:pPr>
        <w:spacing w:after="0" w:line="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Significant litigation exposure due to actual or threatened litigation</w:t>
      </w:r>
    </w:p>
    <w:p>
      <w:pPr>
        <w:spacing w:after="0" w:line="10"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Major changes in senior management</w:t>
      </w:r>
    </w:p>
    <w:p>
      <w:pPr>
        <w:spacing w:after="0" w:line="10"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8"/>
        </w:numPr>
        <w:rPr>
          <w:rFonts w:ascii="Times New Roman" w:cs="Times New Roman" w:eastAsia="Times New Roman" w:hAnsi="Times New Roman"/>
          <w:sz w:val="18"/>
          <w:szCs w:val="18"/>
          <w:color w:val="auto"/>
        </w:rPr>
      </w:pPr>
      <w:r>
        <w:rPr>
          <w:rFonts w:ascii="Arial" w:cs="Arial" w:eastAsia="Arial" w:hAnsi="Arial"/>
          <w:sz w:val="22"/>
          <w:szCs w:val="22"/>
          <w:color w:val="auto"/>
        </w:rPr>
        <w:t>Significant cybersecurity risks and incidents, including vulnerabilities and breaches.</w:t>
      </w:r>
    </w:p>
    <w:p>
      <w:pPr>
        <w:spacing w:after="0" w:line="227" w:lineRule="exact"/>
        <w:rPr>
          <w:sz w:val="20"/>
          <w:szCs w:val="20"/>
          <w:color w:val="auto"/>
        </w:rPr>
      </w:pPr>
    </w:p>
    <w:p>
      <w:pPr>
        <w:ind w:left="648"/>
        <w:spacing w:after="0"/>
        <w:rPr>
          <w:sz w:val="20"/>
          <w:szCs w:val="20"/>
          <w:color w:val="auto"/>
        </w:rPr>
      </w:pPr>
      <w:r>
        <w:rPr>
          <w:rFonts w:ascii="Arial" w:cs="Arial" w:eastAsia="Arial" w:hAnsi="Arial"/>
          <w:sz w:val="22"/>
          <w:szCs w:val="22"/>
          <w:color w:val="auto"/>
        </w:rPr>
        <w:t>Either positive or negative information may be material.</w:t>
      </w:r>
    </w:p>
    <w:p>
      <w:pPr>
        <w:spacing w:after="0" w:line="247" w:lineRule="exact"/>
        <w:rPr>
          <w:sz w:val="20"/>
          <w:szCs w:val="20"/>
          <w:color w:val="auto"/>
        </w:rPr>
      </w:pPr>
    </w:p>
    <w:p>
      <w:pPr>
        <w:ind w:left="328" w:hanging="328"/>
        <w:spacing w:after="0" w:line="249" w:lineRule="auto"/>
        <w:tabs>
          <w:tab w:leader="none" w:pos="317"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Non-Public Information</w:t>
      </w:r>
      <w:r>
        <w:rPr>
          <w:rFonts w:ascii="Arial" w:cs="Arial" w:eastAsia="Arial" w:hAnsi="Arial"/>
          <w:sz w:val="22"/>
          <w:szCs w:val="22"/>
          <w:color w:val="auto"/>
        </w:rPr>
        <w:t xml:space="preserve">. Non-Public Information is information that has not been disclosed to the general public and is not available to the general public. Public disclosure is generally accomplished via press release over the wire and/or filings with the Securities and Exchange Commission (“SEC”), as well as posting on our website, or Regulation FD-compliant webcast. For purposes of this Policy, Non-Public Information will be deemed to be public after one full trading day on the NYSE after the information is disclosed publicly. See the examples above in </w:t>
      </w:r>
      <w:r>
        <w:rPr>
          <w:rFonts w:ascii="Arial" w:cs="Arial" w:eastAsia="Arial" w:hAnsi="Arial"/>
          <w:sz w:val="22"/>
          <w:szCs w:val="22"/>
          <w:i w:val="1"/>
          <w:iCs w:val="1"/>
          <w:color w:val="auto"/>
        </w:rPr>
        <w:t>Section 5(a)</w:t>
      </w:r>
      <w:r>
        <w:rPr>
          <w:rFonts w:ascii="Arial" w:cs="Arial" w:eastAsia="Arial" w:hAnsi="Arial"/>
          <w:sz w:val="22"/>
          <w:szCs w:val="22"/>
          <w:color w:val="auto"/>
        </w:rPr>
        <w:t xml:space="preserve"> for assistance in determining when you can trade (assuming you are not otherwise in possession of Material Non-Public Information that would restrict you from trading under this Policy).</w:t>
      </w:r>
    </w:p>
    <w:p>
      <w:pPr>
        <w:sectPr>
          <w:pgSz w:w="11900" w:h="16838" w:orient="portrait"/>
          <w:cols w:equalWidth="0" w:num="1">
            <w:col w:w="10868"/>
          </w:cols>
          <w:pgMar w:left="652" w:top="1440" w:right="379" w:bottom="1440" w:gutter="0" w:footer="0" w:header="0"/>
        </w:sectPr>
      </w:pPr>
    </w:p>
    <w:bookmarkStart w:id="108" w:name="page109"/>
    <w:bookmarkEnd w:id="108"/>
    <w:p>
      <w:pPr>
        <w:spacing w:after="0" w:line="334" w:lineRule="exact"/>
        <w:rPr>
          <w:sz w:val="20"/>
          <w:szCs w:val="20"/>
          <w:color w:val="auto"/>
        </w:rPr>
      </w:pPr>
    </w:p>
    <w:p>
      <w:pPr>
        <w:ind w:left="652" w:right="420" w:hanging="328"/>
        <w:spacing w:after="0" w:line="296" w:lineRule="auto"/>
        <w:tabs>
          <w:tab w:leader="none" w:pos="649"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Securities</w:t>
      </w:r>
      <w:r>
        <w:rPr>
          <w:rFonts w:ascii="Arial" w:cs="Arial" w:eastAsia="Arial" w:hAnsi="Arial"/>
          <w:sz w:val="21"/>
          <w:szCs w:val="21"/>
          <w:color w:val="auto"/>
        </w:rPr>
        <w:t>. Securities include common stock, common stock equivalents, restricted stock units, preferred stock, options, stock appreciation rights, warrants, convertible debentures and derivative securities.</w:t>
      </w:r>
    </w:p>
    <w:p>
      <w:pPr>
        <w:spacing w:after="0" w:line="143" w:lineRule="exact"/>
        <w:rPr>
          <w:rFonts w:ascii="Arial" w:cs="Arial" w:eastAsia="Arial" w:hAnsi="Arial"/>
          <w:sz w:val="21"/>
          <w:szCs w:val="21"/>
          <w:color w:val="auto"/>
        </w:rPr>
      </w:pPr>
    </w:p>
    <w:p>
      <w:pPr>
        <w:ind w:left="632" w:hanging="632"/>
        <w:spacing w:after="0"/>
        <w:tabs>
          <w:tab w:leader="none" w:pos="632" w:val="left"/>
        </w:tabs>
        <w:numPr>
          <w:ilvl w:val="0"/>
          <w:numId w:val="91"/>
        </w:numPr>
        <w:rPr>
          <w:rFonts w:ascii="Arial" w:cs="Arial" w:eastAsia="Arial" w:hAnsi="Arial"/>
          <w:sz w:val="32"/>
          <w:szCs w:val="32"/>
          <w:b w:val="1"/>
          <w:bCs w:val="1"/>
          <w:color w:val="002060"/>
        </w:rPr>
      </w:pPr>
      <w:r>
        <w:rPr>
          <w:rFonts w:ascii="Arial" w:cs="Arial" w:eastAsia="Arial" w:hAnsi="Arial"/>
          <w:sz w:val="32"/>
          <w:szCs w:val="32"/>
          <w:b w:val="1"/>
          <w:bCs w:val="1"/>
          <w:color w:val="002060"/>
        </w:rPr>
        <w:t>Potential Criminal and Civil Liability and/or Disciplinary Action</w:t>
      </w:r>
    </w:p>
    <w:p>
      <w:pPr>
        <w:spacing w:after="0" w:line="283" w:lineRule="exact"/>
        <w:rPr>
          <w:rFonts w:ascii="Arial" w:cs="Arial" w:eastAsia="Arial" w:hAnsi="Arial"/>
          <w:sz w:val="32"/>
          <w:szCs w:val="32"/>
          <w:b w:val="1"/>
          <w:bCs w:val="1"/>
          <w:color w:val="002060"/>
        </w:rPr>
      </w:pPr>
    </w:p>
    <w:p>
      <w:pPr>
        <w:ind w:left="652" w:hanging="328"/>
        <w:spacing w:after="0" w:line="248" w:lineRule="auto"/>
        <w:tabs>
          <w:tab w:leader="none" w:pos="641"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Individual Responsibility</w:t>
      </w:r>
      <w:r>
        <w:rPr>
          <w:rFonts w:ascii="Arial" w:cs="Arial" w:eastAsia="Arial" w:hAnsi="Arial"/>
          <w:sz w:val="22"/>
          <w:szCs w:val="22"/>
          <w:color w:val="auto"/>
        </w:rPr>
        <w:t xml:space="preserve">. Each person is individually responsible for complying with the securities laws applicable to their region and this Policy, regardless of whether we have prohibited trading by that person or any other Insiders. Trading in securities outside the Blackout Periods, Extended Blackout Periods or suspension periods should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be considered a “safe harbor”, although the safest period for trading in the Company's securities, assuming the absence of Material Non-Public Information related to such securities, is generally the first ten (10) trading days following the end of the Blackout Period. The Blackout Periods are particularly sensitive for transactions in the Company's stock for compliance with applicable securities laws and, as noted above, all trading (subject to exceptions specified in this Policy) is prohibited during these periods. This is because officers, directors and certain other associates will, as any quarter progresses, be increasingly likely to possess Material Non-Public Information about the expected financial results for the quarter. In all cases, the responsibility for determining whether an Insider possesses Material Non-Public Information relating to Gartner securities or those of our Business Partners rests with the Insider, and pre-clearance of a transaction, if applicable, does not constitute legal advice and does not in any way insulate an Insider from liability under the securities laws.</w:t>
      </w:r>
    </w:p>
    <w:p>
      <w:pPr>
        <w:spacing w:after="0" w:line="214" w:lineRule="exact"/>
        <w:rPr>
          <w:rFonts w:ascii="Arial" w:cs="Arial" w:eastAsia="Arial" w:hAnsi="Arial"/>
          <w:sz w:val="22"/>
          <w:szCs w:val="22"/>
          <w:color w:val="auto"/>
        </w:rPr>
      </w:pPr>
    </w:p>
    <w:p>
      <w:pPr>
        <w:ind w:left="652" w:right="60"/>
        <w:spacing w:after="0" w:line="249" w:lineRule="auto"/>
        <w:rPr>
          <w:rFonts w:ascii="Arial" w:cs="Arial" w:eastAsia="Arial" w:hAnsi="Arial"/>
          <w:sz w:val="22"/>
          <w:szCs w:val="22"/>
          <w:color w:val="auto"/>
        </w:rPr>
      </w:pPr>
      <w:r>
        <w:rPr>
          <w:rFonts w:ascii="Arial" w:cs="Arial" w:eastAsia="Arial" w:hAnsi="Arial"/>
          <w:sz w:val="22"/>
          <w:szCs w:val="22"/>
          <w:color w:val="auto"/>
        </w:rPr>
        <w:t>The matters set forth in this policy are guidelines only, and appropriate judgment should be exercised in connection with all securities trading. Also, these guidelines are not a substitute for any applicable laws and regulations which may apply in the jurisdictions where you work or do business. In addition, Insiders are expected to remain familiar with, and comply with, all applicable laws and regulations in their region. If there are any inconsistencies between this Policy and the laws in the Insider’s region, then the local laws, to the extent they are more stringent than this Policy, will apply to the extent of the inconsistency. Insiders should also be aware that criminal and civil penalties can vary from jurisdiction to jurisdiction and that, in some circumstances, laws of a particular country may apply to Insiders on an extraterritorial basis.</w:t>
      </w:r>
    </w:p>
    <w:p>
      <w:pPr>
        <w:spacing w:after="0" w:line="208" w:lineRule="exact"/>
        <w:rPr>
          <w:rFonts w:ascii="Arial" w:cs="Arial" w:eastAsia="Arial" w:hAnsi="Arial"/>
          <w:sz w:val="22"/>
          <w:szCs w:val="22"/>
          <w:color w:val="auto"/>
        </w:rPr>
      </w:pPr>
    </w:p>
    <w:p>
      <w:pPr>
        <w:ind w:left="632" w:hanging="308"/>
        <w:spacing w:after="0"/>
        <w:tabs>
          <w:tab w:leader="none" w:pos="632"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Potential Penalties.</w:t>
      </w:r>
    </w:p>
    <w:p>
      <w:pPr>
        <w:spacing w:after="0" w:line="246" w:lineRule="exact"/>
        <w:rPr>
          <w:rFonts w:ascii="Arial" w:cs="Arial" w:eastAsia="Arial" w:hAnsi="Arial"/>
          <w:sz w:val="22"/>
          <w:szCs w:val="22"/>
          <w:color w:val="auto"/>
        </w:rPr>
      </w:pPr>
    </w:p>
    <w:p>
      <w:pPr>
        <w:ind w:left="1292" w:hanging="320"/>
        <w:spacing w:after="0" w:line="285" w:lineRule="auto"/>
        <w:tabs>
          <w:tab w:leader="none" w:pos="1292" w:val="left"/>
        </w:tabs>
        <w:numPr>
          <w:ilvl w:val="2"/>
          <w:numId w:val="91"/>
        </w:numPr>
        <w:rPr>
          <w:rFonts w:ascii="Arial" w:cs="Arial" w:eastAsia="Arial" w:hAnsi="Arial"/>
          <w:sz w:val="22"/>
          <w:szCs w:val="22"/>
          <w:color w:val="auto"/>
        </w:rPr>
      </w:pPr>
      <w:r>
        <w:rPr>
          <w:rFonts w:ascii="Arial" w:cs="Arial" w:eastAsia="Arial" w:hAnsi="Arial"/>
          <w:sz w:val="22"/>
          <w:szCs w:val="22"/>
          <w:color w:val="auto"/>
        </w:rPr>
        <w:t>Liability for Insider Trading. Insiders may be subject to significant financial penalties and imprisonment for trading in securities when they have</w:t>
      </w:r>
    </w:p>
    <w:p>
      <w:pPr>
        <w:sectPr>
          <w:pgSz w:w="11900" w:h="16838" w:orient="portrait"/>
          <w:cols w:equalWidth="0" w:num="1">
            <w:col w:w="11032"/>
          </w:cols>
          <w:pgMar w:left="328" w:top="1440" w:right="539" w:bottom="1440" w:gutter="0" w:footer="0" w:header="0"/>
        </w:sectPr>
      </w:pPr>
    </w:p>
    <w:bookmarkStart w:id="109" w:name="page110"/>
    <w:bookmarkEnd w:id="109"/>
    <w:p>
      <w:pPr>
        <w:spacing w:after="0" w:line="91"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Material Non-Public Information relating to Gartner securities or those of their Business Partners.</w:t>
      </w:r>
    </w:p>
    <w:p>
      <w:pPr>
        <w:spacing w:after="0" w:line="247" w:lineRule="exact"/>
        <w:rPr>
          <w:sz w:val="20"/>
          <w:szCs w:val="20"/>
          <w:color w:val="auto"/>
        </w:rPr>
      </w:pPr>
    </w:p>
    <w:p>
      <w:pPr>
        <w:ind w:left="1292" w:right="20" w:hanging="320"/>
        <w:spacing w:after="0" w:line="264" w:lineRule="auto"/>
        <w:tabs>
          <w:tab w:leader="none" w:pos="1286" w:val="left"/>
        </w:tabs>
        <w:numPr>
          <w:ilvl w:val="2"/>
          <w:numId w:val="92"/>
        </w:numPr>
        <w:rPr>
          <w:rFonts w:ascii="Arial" w:cs="Arial" w:eastAsia="Arial" w:hAnsi="Arial"/>
          <w:sz w:val="21"/>
          <w:szCs w:val="21"/>
          <w:color w:val="auto"/>
        </w:rPr>
      </w:pPr>
      <w:r>
        <w:rPr>
          <w:rFonts w:ascii="Arial" w:cs="Arial" w:eastAsia="Arial" w:hAnsi="Arial"/>
          <w:sz w:val="21"/>
          <w:szCs w:val="21"/>
          <w:color w:val="auto"/>
        </w:rPr>
        <w:t>Liability for Tipping. Insiders may also be liable for improper transactions by any person (commonly referred to as a “tippee”) to whom they have disclosed (“tipped) Material Non-Public Information relating to Gartner securities or those of their Business Partners, or to whom they have made recommendations or expressed opinions on the basis of such information about trading securities. The SEC has imposed large penalties even when the disclosing person did not profit from the trading. Be aware that the SEC, the NYSE and other stock exchanges and the National Association of Securities Dealers, Inc. use sophisticated electronic surveillance techniques to uncover insider trading.</w:t>
      </w:r>
    </w:p>
    <w:p>
      <w:pPr>
        <w:spacing w:after="0" w:line="206" w:lineRule="exact"/>
        <w:rPr>
          <w:rFonts w:ascii="Arial" w:cs="Arial" w:eastAsia="Arial" w:hAnsi="Arial"/>
          <w:sz w:val="21"/>
          <w:szCs w:val="21"/>
          <w:color w:val="auto"/>
        </w:rPr>
      </w:pPr>
    </w:p>
    <w:p>
      <w:pPr>
        <w:ind w:left="1292" w:hanging="320"/>
        <w:spacing w:after="0" w:line="257" w:lineRule="auto"/>
        <w:tabs>
          <w:tab w:leader="none" w:pos="1280" w:val="left"/>
        </w:tabs>
        <w:numPr>
          <w:ilvl w:val="2"/>
          <w:numId w:val="92"/>
        </w:numPr>
        <w:rPr>
          <w:rFonts w:ascii="Arial" w:cs="Arial" w:eastAsia="Arial" w:hAnsi="Arial"/>
          <w:sz w:val="22"/>
          <w:szCs w:val="22"/>
          <w:color w:val="auto"/>
        </w:rPr>
      </w:pPr>
      <w:r>
        <w:rPr>
          <w:rFonts w:ascii="Arial" w:cs="Arial" w:eastAsia="Arial" w:hAnsi="Arial"/>
          <w:sz w:val="22"/>
          <w:szCs w:val="22"/>
          <w:color w:val="auto"/>
        </w:rPr>
        <w:t>Possible Disciplinary Actions. Associates who violate this Policy, or any applicable laws and regulations, will be subject to disciplinary action, which may include ineligibility for future participation in our equity incentive plans or termination of employment.</w:t>
      </w:r>
    </w:p>
    <w:p>
      <w:pPr>
        <w:spacing w:after="0" w:line="182" w:lineRule="exact"/>
        <w:rPr>
          <w:rFonts w:ascii="Arial" w:cs="Arial" w:eastAsia="Arial" w:hAnsi="Arial"/>
          <w:sz w:val="22"/>
          <w:szCs w:val="22"/>
          <w:color w:val="auto"/>
        </w:rPr>
      </w:pPr>
    </w:p>
    <w:p>
      <w:pPr>
        <w:ind w:left="632" w:hanging="632"/>
        <w:spacing w:after="0"/>
        <w:tabs>
          <w:tab w:leader="none" w:pos="632" w:val="left"/>
        </w:tabs>
        <w:numPr>
          <w:ilvl w:val="0"/>
          <w:numId w:val="93"/>
        </w:numPr>
        <w:rPr>
          <w:rFonts w:ascii="Arial" w:cs="Arial" w:eastAsia="Arial" w:hAnsi="Arial"/>
          <w:sz w:val="32"/>
          <w:szCs w:val="32"/>
          <w:b w:val="1"/>
          <w:bCs w:val="1"/>
          <w:color w:val="002060"/>
        </w:rPr>
      </w:pPr>
      <w:r>
        <w:rPr>
          <w:rFonts w:ascii="Arial" w:cs="Arial" w:eastAsia="Arial" w:hAnsi="Arial"/>
          <w:sz w:val="32"/>
          <w:szCs w:val="32"/>
          <w:b w:val="1"/>
          <w:bCs w:val="1"/>
          <w:color w:val="002060"/>
        </w:rPr>
        <w:t>Compliance Officer</w:t>
      </w:r>
    </w:p>
    <w:p>
      <w:pPr>
        <w:spacing w:after="0" w:line="283" w:lineRule="exact"/>
        <w:rPr>
          <w:rFonts w:ascii="Arial" w:cs="Arial" w:eastAsia="Arial" w:hAnsi="Arial"/>
          <w:sz w:val="32"/>
          <w:szCs w:val="32"/>
          <w:b w:val="1"/>
          <w:bCs w:val="1"/>
          <w:color w:val="002060"/>
        </w:rPr>
      </w:pPr>
    </w:p>
    <w:p>
      <w:pPr>
        <w:ind w:left="652" w:right="40" w:hanging="328"/>
        <w:spacing w:after="0" w:line="257" w:lineRule="auto"/>
        <w:tabs>
          <w:tab w:leader="none" w:pos="641"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Identity of Compliance Officer</w:t>
      </w:r>
      <w:r>
        <w:rPr>
          <w:rFonts w:ascii="Arial" w:cs="Arial" w:eastAsia="Arial" w:hAnsi="Arial"/>
          <w:sz w:val="22"/>
          <w:szCs w:val="22"/>
          <w:color w:val="auto"/>
        </w:rPr>
        <w:t>. Our Compliance Officer is our General Counsel, who may delegate some of his duties and responsibilities from time to time. Additionally, we may, in our sole discretion, change the Compliance Officer from time to time</w:t>
      </w:r>
      <w:r>
        <w:rPr>
          <w:rFonts w:ascii="Times New Roman" w:cs="Times New Roman" w:eastAsia="Times New Roman" w:hAnsi="Times New Roman"/>
          <w:sz w:val="22"/>
          <w:szCs w:val="22"/>
          <w:color w:val="auto"/>
        </w:rPr>
        <w:t>.</w:t>
      </w:r>
    </w:p>
    <w:p>
      <w:pPr>
        <w:spacing w:after="0" w:line="198" w:lineRule="exact"/>
        <w:rPr>
          <w:rFonts w:ascii="Arial" w:cs="Arial" w:eastAsia="Arial" w:hAnsi="Arial"/>
          <w:sz w:val="22"/>
          <w:szCs w:val="22"/>
          <w:color w:val="auto"/>
        </w:rPr>
      </w:pPr>
    </w:p>
    <w:p>
      <w:pPr>
        <w:ind w:left="652" w:right="540" w:hanging="328"/>
        <w:spacing w:after="0" w:line="259" w:lineRule="auto"/>
        <w:tabs>
          <w:tab w:leader="none" w:pos="641"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Duties of Compliance Officer</w:t>
      </w:r>
      <w:r>
        <w:rPr>
          <w:rFonts w:ascii="Arial" w:cs="Arial" w:eastAsia="Arial" w:hAnsi="Arial"/>
          <w:sz w:val="22"/>
          <w:szCs w:val="22"/>
          <w:color w:val="auto"/>
        </w:rPr>
        <w:t>. The duties of the Compliance Officer, or his or her designee, which may be executed on the advice of counsel, shall include, but not be limited to:</w:t>
      </w:r>
    </w:p>
    <w:p>
      <w:pPr>
        <w:ind w:left="1292" w:hanging="320"/>
        <w:spacing w:after="0"/>
        <w:tabs>
          <w:tab w:leader="none" w:pos="1292" w:val="left"/>
        </w:tabs>
        <w:numPr>
          <w:ilvl w:val="2"/>
          <w:numId w:val="93"/>
        </w:numPr>
        <w:rPr>
          <w:rFonts w:ascii="Arial" w:cs="Arial" w:eastAsia="Arial" w:hAnsi="Arial"/>
          <w:sz w:val="22"/>
          <w:szCs w:val="22"/>
          <w:color w:val="auto"/>
        </w:rPr>
      </w:pPr>
      <w:r>
        <w:rPr>
          <w:rFonts w:ascii="Arial" w:cs="Arial" w:eastAsia="Arial" w:hAnsi="Arial"/>
          <w:sz w:val="22"/>
          <w:szCs w:val="22"/>
          <w:color w:val="auto"/>
        </w:rPr>
        <w:t>Notifying Section 16 Individuals of their obligations;</w:t>
      </w:r>
    </w:p>
    <w:p>
      <w:pPr>
        <w:spacing w:after="0" w:line="226" w:lineRule="exact"/>
        <w:rPr>
          <w:rFonts w:ascii="Arial" w:cs="Arial" w:eastAsia="Arial" w:hAnsi="Arial"/>
          <w:sz w:val="22"/>
          <w:szCs w:val="22"/>
          <w:color w:val="auto"/>
        </w:rPr>
      </w:pPr>
    </w:p>
    <w:p>
      <w:pPr>
        <w:ind w:left="1292" w:hanging="320"/>
        <w:spacing w:after="0"/>
        <w:tabs>
          <w:tab w:leader="none" w:pos="1292" w:val="left"/>
        </w:tabs>
        <w:numPr>
          <w:ilvl w:val="2"/>
          <w:numId w:val="93"/>
        </w:numPr>
        <w:rPr>
          <w:rFonts w:ascii="Arial" w:cs="Arial" w:eastAsia="Arial" w:hAnsi="Arial"/>
          <w:sz w:val="22"/>
          <w:szCs w:val="22"/>
          <w:color w:val="auto"/>
        </w:rPr>
      </w:pPr>
      <w:r>
        <w:rPr>
          <w:rFonts w:ascii="Arial" w:cs="Arial" w:eastAsia="Arial" w:hAnsi="Arial"/>
          <w:sz w:val="22"/>
          <w:szCs w:val="22"/>
          <w:color w:val="auto"/>
        </w:rPr>
        <w:t>Identifying Other Insiders and notifying them of their obligations;</w:t>
      </w:r>
    </w:p>
    <w:p>
      <w:pPr>
        <w:spacing w:after="0" w:line="246" w:lineRule="exact"/>
        <w:rPr>
          <w:rFonts w:ascii="Arial" w:cs="Arial" w:eastAsia="Arial" w:hAnsi="Arial"/>
          <w:sz w:val="22"/>
          <w:szCs w:val="22"/>
          <w:color w:val="auto"/>
        </w:rPr>
      </w:pPr>
    </w:p>
    <w:p>
      <w:pPr>
        <w:ind w:left="1292" w:right="60" w:hanging="320"/>
        <w:spacing w:after="0" w:line="272" w:lineRule="auto"/>
        <w:tabs>
          <w:tab w:leader="none" w:pos="1280" w:val="left"/>
        </w:tabs>
        <w:numPr>
          <w:ilvl w:val="2"/>
          <w:numId w:val="93"/>
        </w:numPr>
        <w:rPr>
          <w:rFonts w:ascii="Arial" w:cs="Arial" w:eastAsia="Arial" w:hAnsi="Arial"/>
          <w:sz w:val="22"/>
          <w:szCs w:val="22"/>
          <w:color w:val="auto"/>
        </w:rPr>
      </w:pPr>
      <w:r>
        <w:rPr>
          <w:rFonts w:ascii="Arial" w:cs="Arial" w:eastAsia="Arial" w:hAnsi="Arial"/>
          <w:sz w:val="22"/>
          <w:szCs w:val="22"/>
          <w:color w:val="auto"/>
        </w:rPr>
        <w:t>Pre-clearing Gartner securities transactions by Section 16 Individuals and Other Insiders in accordance with this Policy;</w:t>
      </w:r>
    </w:p>
    <w:p>
      <w:pPr>
        <w:spacing w:after="0" w:line="196" w:lineRule="exact"/>
        <w:rPr>
          <w:rFonts w:ascii="Arial" w:cs="Arial" w:eastAsia="Arial" w:hAnsi="Arial"/>
          <w:sz w:val="22"/>
          <w:szCs w:val="22"/>
          <w:color w:val="auto"/>
        </w:rPr>
      </w:pPr>
    </w:p>
    <w:p>
      <w:pPr>
        <w:ind w:left="1272" w:hanging="300"/>
        <w:spacing w:after="0"/>
        <w:tabs>
          <w:tab w:leader="none" w:pos="1272" w:val="left"/>
        </w:tabs>
        <w:numPr>
          <w:ilvl w:val="2"/>
          <w:numId w:val="93"/>
        </w:numPr>
        <w:rPr>
          <w:rFonts w:ascii="Arial" w:cs="Arial" w:eastAsia="Arial" w:hAnsi="Arial"/>
          <w:sz w:val="21"/>
          <w:szCs w:val="21"/>
          <w:color w:val="auto"/>
        </w:rPr>
      </w:pPr>
      <w:r>
        <w:rPr>
          <w:rFonts w:ascii="Arial" w:cs="Arial" w:eastAsia="Arial" w:hAnsi="Arial"/>
          <w:sz w:val="21"/>
          <w:szCs w:val="21"/>
          <w:color w:val="auto"/>
        </w:rPr>
        <w:t>Assisting Section 16 Individuals in the preparation and filing of Section 16 reports (Forms 3, 4 and/or 5);</w:t>
      </w:r>
    </w:p>
    <w:p>
      <w:pPr>
        <w:spacing w:after="0" w:line="258" w:lineRule="exact"/>
        <w:rPr>
          <w:rFonts w:ascii="Arial" w:cs="Arial" w:eastAsia="Arial" w:hAnsi="Arial"/>
          <w:sz w:val="21"/>
          <w:szCs w:val="21"/>
          <w:color w:val="auto"/>
        </w:rPr>
      </w:pPr>
    </w:p>
    <w:p>
      <w:pPr>
        <w:ind w:left="1292" w:right="380" w:hanging="320"/>
        <w:spacing w:after="0" w:line="272" w:lineRule="auto"/>
        <w:tabs>
          <w:tab w:leader="none" w:pos="1268" w:val="left"/>
        </w:tabs>
        <w:numPr>
          <w:ilvl w:val="2"/>
          <w:numId w:val="93"/>
        </w:numPr>
        <w:rPr>
          <w:rFonts w:ascii="Arial" w:cs="Arial" w:eastAsia="Arial" w:hAnsi="Arial"/>
          <w:sz w:val="22"/>
          <w:szCs w:val="22"/>
          <w:color w:val="auto"/>
        </w:rPr>
      </w:pPr>
      <w:r>
        <w:rPr>
          <w:rFonts w:ascii="Arial" w:cs="Arial" w:eastAsia="Arial" w:hAnsi="Arial"/>
          <w:sz w:val="22"/>
          <w:szCs w:val="22"/>
          <w:color w:val="auto"/>
        </w:rPr>
        <w:t>Serving as the Company’s designated recipient of copies of reports filed with the SEC by Section 16 Individuals;</w:t>
      </w:r>
    </w:p>
    <w:p>
      <w:pPr>
        <w:spacing w:after="0" w:line="182" w:lineRule="exact"/>
        <w:rPr>
          <w:rFonts w:ascii="Arial" w:cs="Arial" w:eastAsia="Arial" w:hAnsi="Arial"/>
          <w:sz w:val="22"/>
          <w:szCs w:val="22"/>
          <w:color w:val="auto"/>
        </w:rPr>
      </w:pPr>
    </w:p>
    <w:p>
      <w:pPr>
        <w:ind w:left="1292" w:right="300" w:hanging="320"/>
        <w:spacing w:after="0" w:line="272" w:lineRule="auto"/>
        <w:tabs>
          <w:tab w:leader="none" w:pos="1292" w:val="left"/>
        </w:tabs>
        <w:numPr>
          <w:ilvl w:val="2"/>
          <w:numId w:val="93"/>
        </w:numPr>
        <w:rPr>
          <w:rFonts w:ascii="Arial" w:cs="Arial" w:eastAsia="Arial" w:hAnsi="Arial"/>
          <w:sz w:val="22"/>
          <w:szCs w:val="22"/>
          <w:color w:val="auto"/>
        </w:rPr>
      </w:pPr>
      <w:r>
        <w:rPr>
          <w:rFonts w:ascii="Arial" w:cs="Arial" w:eastAsia="Arial" w:hAnsi="Arial"/>
          <w:sz w:val="22"/>
          <w:szCs w:val="22"/>
          <w:color w:val="auto"/>
        </w:rPr>
        <w:t>Performing periodic cross-checks of available materials, which may include Forms 3, 4 and 5, Forms 144, Schedules 13D and G, officers' and</w:t>
      </w:r>
    </w:p>
    <w:p>
      <w:pPr>
        <w:sectPr>
          <w:pgSz w:w="11900" w:h="16838" w:orient="portrait"/>
          <w:cols w:equalWidth="0" w:num="1">
            <w:col w:w="11192"/>
          </w:cols>
          <w:pgMar w:left="328" w:top="1440" w:right="379" w:bottom="1440" w:gutter="0" w:footer="0" w:header="0"/>
        </w:sectPr>
      </w:pPr>
    </w:p>
    <w:bookmarkStart w:id="110" w:name="page111"/>
    <w:bookmarkEnd w:id="110"/>
    <w:p>
      <w:pPr>
        <w:spacing w:after="0" w:line="91" w:lineRule="exact"/>
        <w:rPr>
          <w:sz w:val="20"/>
          <w:szCs w:val="20"/>
          <w:color w:val="auto"/>
        </w:rPr>
      </w:pPr>
    </w:p>
    <w:p>
      <w:pPr>
        <w:ind w:left="1292" w:right="300"/>
        <w:spacing w:after="0" w:line="257" w:lineRule="auto"/>
        <w:rPr>
          <w:sz w:val="20"/>
          <w:szCs w:val="20"/>
          <w:color w:val="auto"/>
        </w:rPr>
      </w:pPr>
      <w:r>
        <w:rPr>
          <w:rFonts w:ascii="Arial" w:cs="Arial" w:eastAsia="Arial" w:hAnsi="Arial"/>
          <w:sz w:val="22"/>
          <w:szCs w:val="22"/>
          <w:color w:val="auto"/>
        </w:rPr>
        <w:t>directors' questionnaires, and reports received from our stock administrator and transfer agent, to determine trading activity by officers, directors and others who have, or may have, access to Material Non-Public Information about Gartner;</w:t>
      </w:r>
    </w:p>
    <w:p>
      <w:pPr>
        <w:spacing w:after="0" w:line="213" w:lineRule="exact"/>
        <w:rPr>
          <w:sz w:val="20"/>
          <w:szCs w:val="20"/>
          <w:color w:val="auto"/>
        </w:rPr>
      </w:pPr>
    </w:p>
    <w:p>
      <w:pPr>
        <w:ind w:left="972" w:right="220"/>
        <w:spacing w:after="0" w:line="473" w:lineRule="auto"/>
        <w:tabs>
          <w:tab w:leader="none" w:pos="1290" w:val="left"/>
        </w:tabs>
        <w:numPr>
          <w:ilvl w:val="0"/>
          <w:numId w:val="94"/>
        </w:numPr>
        <w:rPr>
          <w:rFonts w:ascii="Arial" w:cs="Arial" w:eastAsia="Arial" w:hAnsi="Arial"/>
          <w:sz w:val="22"/>
          <w:szCs w:val="22"/>
          <w:color w:val="auto"/>
        </w:rPr>
      </w:pPr>
      <w:r>
        <w:rPr>
          <w:rFonts w:ascii="Arial" w:cs="Arial" w:eastAsia="Arial" w:hAnsi="Arial"/>
          <w:sz w:val="22"/>
          <w:szCs w:val="22"/>
          <w:color w:val="auto"/>
        </w:rPr>
        <w:t>Circulating this Policy (and/or a summary) to all new associates, directors, officers and Other Insiders; viii.Assisting our Board of Directors in oversight of this Policy; and</w:t>
      </w:r>
    </w:p>
    <w:p>
      <w:pPr>
        <w:spacing w:after="0" w:line="2" w:lineRule="exact"/>
        <w:rPr>
          <w:sz w:val="20"/>
          <w:szCs w:val="20"/>
          <w:color w:val="auto"/>
        </w:rPr>
      </w:pPr>
    </w:p>
    <w:p>
      <w:pPr>
        <w:ind w:left="1292" w:right="180" w:hanging="320"/>
        <w:spacing w:after="0" w:line="272" w:lineRule="auto"/>
        <w:tabs>
          <w:tab w:leader="none" w:pos="1292" w:val="left"/>
        </w:tabs>
        <w:numPr>
          <w:ilvl w:val="2"/>
          <w:numId w:val="95"/>
        </w:numPr>
        <w:rPr>
          <w:rFonts w:ascii="Arial" w:cs="Arial" w:eastAsia="Arial" w:hAnsi="Arial"/>
          <w:sz w:val="22"/>
          <w:szCs w:val="22"/>
          <w:color w:val="auto"/>
        </w:rPr>
      </w:pPr>
      <w:r>
        <w:rPr>
          <w:rFonts w:ascii="Arial" w:cs="Arial" w:eastAsia="Arial" w:hAnsi="Arial"/>
          <w:sz w:val="22"/>
          <w:szCs w:val="22"/>
          <w:color w:val="auto"/>
        </w:rPr>
        <w:t>Assisting our Board of Directors and officers with compliance activities for Rule 144 sales of our stock, as necessary.</w:t>
      </w:r>
    </w:p>
    <w:p>
      <w:pPr>
        <w:spacing w:after="0" w:line="165" w:lineRule="exact"/>
        <w:rPr>
          <w:rFonts w:ascii="Arial" w:cs="Arial" w:eastAsia="Arial" w:hAnsi="Arial"/>
          <w:sz w:val="22"/>
          <w:szCs w:val="22"/>
          <w:color w:val="auto"/>
        </w:rPr>
      </w:pPr>
    </w:p>
    <w:p>
      <w:pPr>
        <w:ind w:left="632" w:hanging="632"/>
        <w:spacing w:after="0"/>
        <w:tabs>
          <w:tab w:leader="none" w:pos="632" w:val="left"/>
        </w:tabs>
        <w:numPr>
          <w:ilvl w:val="0"/>
          <w:numId w:val="96"/>
        </w:numPr>
        <w:rPr>
          <w:rFonts w:ascii="Arial" w:cs="Arial" w:eastAsia="Arial" w:hAnsi="Arial"/>
          <w:sz w:val="32"/>
          <w:szCs w:val="32"/>
          <w:b w:val="1"/>
          <w:bCs w:val="1"/>
          <w:color w:val="002060"/>
        </w:rPr>
      </w:pPr>
      <w:r>
        <w:rPr>
          <w:rFonts w:ascii="Arial" w:cs="Arial" w:eastAsia="Arial" w:hAnsi="Arial"/>
          <w:sz w:val="32"/>
          <w:szCs w:val="32"/>
          <w:b w:val="1"/>
          <w:bCs w:val="1"/>
          <w:color w:val="002060"/>
        </w:rPr>
        <w:t>Additional Important Information</w:t>
      </w:r>
    </w:p>
    <w:p>
      <w:pPr>
        <w:spacing w:after="0" w:line="283" w:lineRule="exact"/>
        <w:rPr>
          <w:rFonts w:ascii="Arial" w:cs="Arial" w:eastAsia="Arial" w:hAnsi="Arial"/>
          <w:sz w:val="32"/>
          <w:szCs w:val="32"/>
          <w:b w:val="1"/>
          <w:bCs w:val="1"/>
          <w:color w:val="002060"/>
        </w:rPr>
      </w:pPr>
    </w:p>
    <w:p>
      <w:pPr>
        <w:ind w:left="652" w:hanging="328"/>
        <w:spacing w:after="0" w:line="248" w:lineRule="auto"/>
        <w:tabs>
          <w:tab w:leader="none" w:pos="641"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Short-Swing Transactions</w:t>
      </w:r>
      <w:r>
        <w:rPr>
          <w:rFonts w:ascii="Arial" w:cs="Arial" w:eastAsia="Arial" w:hAnsi="Arial"/>
          <w:sz w:val="22"/>
          <w:szCs w:val="22"/>
          <w:color w:val="auto"/>
        </w:rPr>
        <w:t xml:space="preserve">: Section 16 Individuals must also comply with the reporting obligations and limitations on “short-swing” transactions set forth in the federal securities laws. The practical effect of these provisions is that Section 16 Individuals who </w:t>
      </w:r>
      <w:r>
        <w:rPr>
          <w:rFonts w:ascii="Arial" w:cs="Arial" w:eastAsia="Arial" w:hAnsi="Arial"/>
          <w:sz w:val="22"/>
          <w:szCs w:val="22"/>
          <w:i w:val="1"/>
          <w:iCs w:val="1"/>
          <w:color w:val="auto"/>
        </w:rPr>
        <w:t>both</w:t>
      </w:r>
      <w:r>
        <w:rPr>
          <w:rFonts w:ascii="Arial" w:cs="Arial" w:eastAsia="Arial" w:hAnsi="Arial"/>
          <w:sz w:val="22"/>
          <w:szCs w:val="22"/>
          <w:color w:val="auto"/>
        </w:rPr>
        <w:t xml:space="preserve"> purchase and sell the Company's securities within a 6-month period must refund all profits from these transactions to the Company, whether or not they had knowledge of any Material Non-Public Information about the Company or its securities. Under these provisions, and so long as certain other criteria are met, the receipt of options, stock appreciation rights or restricted stock awards under the Company’s equity-based incentive plans, the exercise of any such option or stock appreciation right and the release of any such restricted stock award, the withholding of shares to satisfy a tax withholding obligation upon exercise or settlement, and the purchase of shares through the Employee Stock Purchase Plan are not subject to these restrictions; however, the sale of any such resultant shares is subject to this 6-month rule.</w:t>
      </w:r>
    </w:p>
    <w:p>
      <w:pPr>
        <w:spacing w:after="0" w:line="216" w:lineRule="exact"/>
        <w:rPr>
          <w:rFonts w:ascii="Arial" w:cs="Arial" w:eastAsia="Arial" w:hAnsi="Arial"/>
          <w:sz w:val="22"/>
          <w:szCs w:val="22"/>
          <w:color w:val="auto"/>
        </w:rPr>
      </w:pPr>
    </w:p>
    <w:p>
      <w:pPr>
        <w:ind w:left="712" w:hanging="388"/>
        <w:spacing w:after="0" w:line="268" w:lineRule="auto"/>
        <w:tabs>
          <w:tab w:leader="none" w:pos="701" w:val="left"/>
        </w:tabs>
        <w:numPr>
          <w:ilvl w:val="1"/>
          <w:numId w:val="96"/>
        </w:numPr>
        <w:rPr>
          <w:rFonts w:ascii="Arial" w:cs="Arial" w:eastAsia="Arial" w:hAnsi="Arial"/>
          <w:sz w:val="21"/>
          <w:szCs w:val="21"/>
          <w:color w:val="auto"/>
        </w:rPr>
      </w:pPr>
      <w:r>
        <w:rPr>
          <w:rFonts w:ascii="Arial" w:cs="Arial" w:eastAsia="Arial" w:hAnsi="Arial"/>
          <w:sz w:val="21"/>
          <w:szCs w:val="21"/>
          <w:u w:val="single" w:color="auto"/>
          <w:color w:val="auto"/>
        </w:rPr>
        <w:t>Short Sales</w:t>
      </w:r>
      <w:r>
        <w:rPr>
          <w:rFonts w:ascii="Arial" w:cs="Arial" w:eastAsia="Arial" w:hAnsi="Arial"/>
          <w:sz w:val="21"/>
          <w:szCs w:val="21"/>
          <w:color w:val="auto"/>
        </w:rPr>
        <w:t>: Section 16 Individuals and other Insiders may never make a short sale of the Company's stock. Short sales may signal to the market possible bad news about the Company or a general lack of confidence in</w:t>
      </w:r>
    </w:p>
    <w:p>
      <w:pPr>
        <w:spacing w:after="0" w:line="1" w:lineRule="exact"/>
        <w:rPr>
          <w:sz w:val="20"/>
          <w:szCs w:val="20"/>
          <w:color w:val="auto"/>
        </w:rPr>
      </w:pPr>
    </w:p>
    <w:p>
      <w:pPr>
        <w:ind w:left="652" w:right="180"/>
        <w:spacing w:after="0" w:line="248" w:lineRule="auto"/>
        <w:rPr>
          <w:sz w:val="20"/>
          <w:szCs w:val="20"/>
          <w:color w:val="auto"/>
        </w:rPr>
      </w:pPr>
      <w:r>
        <w:rPr>
          <w:rFonts w:ascii="Arial" w:cs="Arial" w:eastAsia="Arial" w:hAnsi="Arial"/>
          <w:sz w:val="22"/>
          <w:szCs w:val="22"/>
          <w:color w:val="auto"/>
        </w:rPr>
        <w:t>the Company’s prospects, and an expectation that the value of the Company’s stock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210" w:lineRule="exact"/>
        <w:rPr>
          <w:sz w:val="20"/>
          <w:szCs w:val="20"/>
          <w:color w:val="auto"/>
        </w:rPr>
      </w:pPr>
    </w:p>
    <w:p>
      <w:pPr>
        <w:ind w:left="652" w:right="80" w:hanging="328"/>
        <w:spacing w:after="0" w:line="253" w:lineRule="auto"/>
        <w:tabs>
          <w:tab w:leader="none" w:pos="643"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Derivative Securities and Hedging Transactions</w:t>
      </w:r>
      <w:r>
        <w:rPr>
          <w:rFonts w:ascii="Arial" w:cs="Arial" w:eastAsia="Arial" w:hAnsi="Arial"/>
          <w:sz w:val="22"/>
          <w:szCs w:val="22"/>
          <w:color w:val="auto"/>
        </w:rPr>
        <w:t>: Section 16 Individuals and other Insiders are prohibited from engaging in transactions in publicly-traded options, such as puts and calls and other derivative securities with respect to the Company’s securities. This prohibition does not apply to options or stock appreciation rights issued under the Company’s equity compensation plans. In addition, Section 16 Individuals and other Insiders are prohibited from engaging</w:t>
      </w:r>
    </w:p>
    <w:p>
      <w:pPr>
        <w:sectPr>
          <w:pgSz w:w="11900" w:h="16838" w:orient="portrait"/>
          <w:cols w:equalWidth="0" w:num="1">
            <w:col w:w="11212"/>
          </w:cols>
          <w:pgMar w:left="328" w:top="1440" w:right="359" w:bottom="1440" w:gutter="0" w:footer="0" w:header="0"/>
        </w:sectPr>
      </w:pPr>
    </w:p>
    <w:bookmarkStart w:id="111" w:name="page112"/>
    <w:bookmarkEnd w:id="111"/>
    <w:p>
      <w:pPr>
        <w:spacing w:after="0" w:line="91" w:lineRule="exact"/>
        <w:rPr>
          <w:sz w:val="20"/>
          <w:szCs w:val="20"/>
          <w:color w:val="auto"/>
        </w:rPr>
      </w:pPr>
    </w:p>
    <w:p>
      <w:pPr>
        <w:ind w:left="328"/>
        <w:spacing w:after="0"/>
        <w:rPr>
          <w:sz w:val="20"/>
          <w:szCs w:val="20"/>
          <w:color w:val="auto"/>
        </w:rPr>
      </w:pPr>
      <w:r>
        <w:rPr>
          <w:rFonts w:ascii="Arial" w:cs="Arial" w:eastAsia="Arial" w:hAnsi="Arial"/>
          <w:sz w:val="22"/>
          <w:szCs w:val="22"/>
          <w:color w:val="auto"/>
        </w:rPr>
        <w:t>in any hedging or similar transaction designed to decrease the risks associated with holding Company stock.</w:t>
      </w:r>
    </w:p>
    <w:p>
      <w:pPr>
        <w:spacing w:after="0" w:line="247" w:lineRule="exact"/>
        <w:rPr>
          <w:sz w:val="20"/>
          <w:szCs w:val="20"/>
          <w:color w:val="auto"/>
        </w:rPr>
      </w:pPr>
    </w:p>
    <w:p>
      <w:pPr>
        <w:ind w:left="328" w:right="40"/>
        <w:spacing w:after="0" w:line="251" w:lineRule="auto"/>
        <w:rPr>
          <w:sz w:val="20"/>
          <w:szCs w:val="20"/>
          <w:color w:val="auto"/>
        </w:rPr>
      </w:pPr>
      <w:r>
        <w:rPr>
          <w:rFonts w:ascii="Arial" w:cs="Arial" w:eastAsia="Arial" w:hAnsi="Arial"/>
          <w:sz w:val="22"/>
          <w:szCs w:val="22"/>
          <w:color w:val="auto"/>
        </w:rPr>
        <w:t>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208" w:lineRule="exact"/>
        <w:rPr>
          <w:sz w:val="20"/>
          <w:szCs w:val="20"/>
          <w:color w:val="auto"/>
        </w:rPr>
      </w:pPr>
    </w:p>
    <w:p>
      <w:pPr>
        <w:ind w:left="328" w:right="40" w:hanging="328"/>
        <w:spacing w:after="0" w:line="250" w:lineRule="auto"/>
        <w:tabs>
          <w:tab w:leader="none" w:pos="317"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Pledging Company Stock as Collateral for Loans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Section 16 Individuals and other Insiders may not pledge Company securities as collateral for loans or other purposes. If an Insider defaults on the loan, the lender may sell the pledged securities as collateral in a foreclosure sale. The sale, even though not initiated at the Insider’s request, is still considered a sale for the Insider’s benefit and, if made at a time when the Insider is aware of Material Non-Public information about Gartner or its securities or otherwise is not permitted to trade in Company securities, may result in inadvertent insider trading violations, Section 16 violations, violations of this Policy and unfavorable publicity for the applicable Insider and the Company.</w:t>
      </w:r>
    </w:p>
    <w:p>
      <w:pPr>
        <w:spacing w:after="0" w:line="220" w:lineRule="exact"/>
        <w:rPr>
          <w:rFonts w:ascii="Arial" w:cs="Arial" w:eastAsia="Arial" w:hAnsi="Arial"/>
          <w:sz w:val="22"/>
          <w:szCs w:val="22"/>
          <w:color w:val="auto"/>
        </w:rPr>
      </w:pPr>
    </w:p>
    <w:p>
      <w:pPr>
        <w:ind w:left="328" w:right="100" w:hanging="328"/>
        <w:spacing w:after="0" w:line="264" w:lineRule="auto"/>
        <w:tabs>
          <w:tab w:leader="none" w:pos="317"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Holding Company Securities in Margin Accounts</w:t>
      </w:r>
      <w:r>
        <w:rPr>
          <w:rFonts w:ascii="Arial" w:cs="Arial" w:eastAsia="Arial" w:hAnsi="Arial"/>
          <w:sz w:val="21"/>
          <w:szCs w:val="21"/>
          <w:i w:val="1"/>
          <w:iCs w:val="1"/>
          <w:color w:val="auto"/>
        </w:rPr>
        <w:t>:</w:t>
      </w:r>
      <w:r>
        <w:rPr>
          <w:rFonts w:ascii="Arial" w:cs="Arial" w:eastAsia="Arial" w:hAnsi="Arial"/>
          <w:sz w:val="21"/>
          <w:szCs w:val="21"/>
          <w:color w:val="auto"/>
        </w:rPr>
        <w:t xml:space="preserve"> Similarly, Section 16 Individuals and other Insiders may not hold Company securities in margin accounts. Under typical margin arrangements, if the Insider fails to meet a margin call, the broker may be entitled to sell securities held in the margin account without your consent. The sale, even though not initiated at the Insider’s request, is still considered a sale for the Insider’s benefit and, if made at a time when the Insider is aware of Material Non-Public information about the Company or its securities or is otherwise not permitted to trade, may result in inadvertent insider trading violations, Section 16 violations, violations of this Policy and unfavorable publicity for the applicable Insider and the Company.</w:t>
      </w:r>
    </w:p>
    <w:p>
      <w:pPr>
        <w:spacing w:after="0" w:line="192" w:lineRule="exact"/>
        <w:rPr>
          <w:rFonts w:ascii="Arial" w:cs="Arial" w:eastAsia="Arial" w:hAnsi="Arial"/>
          <w:sz w:val="21"/>
          <w:szCs w:val="21"/>
          <w:color w:val="auto"/>
        </w:rPr>
      </w:pPr>
    </w:p>
    <w:p>
      <w:pPr>
        <w:ind w:left="328" w:hanging="328"/>
        <w:spacing w:after="0" w:line="249" w:lineRule="auto"/>
        <w:tabs>
          <w:tab w:leader="none" w:pos="325"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Placing Open Orders with Broker</w:t>
      </w:r>
      <w:r>
        <w:rPr>
          <w:rFonts w:ascii="Arial" w:cs="Arial" w:eastAsia="Arial" w:hAnsi="Arial"/>
          <w:sz w:val="22"/>
          <w:szCs w:val="22"/>
          <w:i w:val="1"/>
          <w:iCs w:val="1"/>
          <w:color w:val="auto"/>
        </w:rPr>
        <w:t>:</w:t>
      </w:r>
      <w:r>
        <w:rPr>
          <w:rFonts w:ascii="Arial" w:cs="Arial" w:eastAsia="Arial" w:hAnsi="Arial"/>
          <w:sz w:val="22"/>
          <w:szCs w:val="22"/>
          <w:color w:val="auto"/>
        </w:rPr>
        <w:t xml:space="preserve"> Except in accordance with an approved Plan, Insiders should exercise caution when placing open orders, such as limit orders or stop orders, with brokers, particularly where the order is likely to remain outstanding for an extended period of time. Open orders may result in the execution of a trade at a time when the Insider is aware of Material Non-Public information about the Company or its securities or otherwise is not permitted to trade in Company securities, which may result in inadvertent insider trading violations, Section 16 violations, violations of this Policy and unfavorable publicity for the applicable Insider and the Company. At the time an Insider places an order, the Insider should so inform any broker with whom the Insider places any</w:t>
      </w:r>
    </w:p>
    <w:p>
      <w:pPr>
        <w:sectPr>
          <w:pgSz w:w="11900" w:h="16838" w:orient="portrait"/>
          <w:cols w:equalWidth="0" w:num="1">
            <w:col w:w="10908"/>
          </w:cols>
          <w:pgMar w:left="652" w:top="1440" w:right="339" w:bottom="1440" w:gutter="0" w:footer="0" w:header="0"/>
        </w:sectPr>
      </w:pPr>
    </w:p>
    <w:bookmarkStart w:id="112" w:name="page113"/>
    <w:bookmarkEnd w:id="112"/>
    <w:p>
      <w:pPr>
        <w:spacing w:after="0" w:line="91" w:lineRule="exact"/>
        <w:rPr>
          <w:sz w:val="20"/>
          <w:szCs w:val="20"/>
          <w:color w:val="auto"/>
        </w:rPr>
      </w:pPr>
    </w:p>
    <w:p>
      <w:pPr>
        <w:spacing w:after="0"/>
        <w:rPr>
          <w:sz w:val="20"/>
          <w:szCs w:val="20"/>
          <w:color w:val="auto"/>
        </w:rPr>
      </w:pPr>
      <w:r>
        <w:rPr>
          <w:rFonts w:ascii="Arial" w:cs="Arial" w:eastAsia="Arial" w:hAnsi="Arial"/>
          <w:sz w:val="21"/>
          <w:szCs w:val="21"/>
          <w:color w:val="auto"/>
        </w:rPr>
        <w:t>open order about all applicable blackout periods, including Extended Black-Out Periods.</w:t>
      </w:r>
    </w:p>
    <w:p>
      <w:pPr>
        <w:sectPr>
          <w:pgSz w:w="11900" w:h="16838" w:orient="portrait"/>
          <w:cols w:equalWidth="0" w:num="1">
            <w:col w:w="9479"/>
          </w:cols>
          <w:pgMar w:left="980" w:top="1440"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280" w:type="dxa"/>
            <w:vAlign w:val="bottom"/>
          </w:tcPr>
          <w:p>
            <w:pPr>
              <w:spacing w:after="0"/>
              <w:rPr>
                <w:sz w:val="20"/>
                <w:szCs w:val="20"/>
                <w:color w:val="auto"/>
              </w:rPr>
            </w:pPr>
          </w:p>
        </w:tc>
      </w:tr>
      <w:tr>
        <w:trPr>
          <w:trHeight w:val="221"/>
        </w:trPr>
        <w:tc>
          <w:tcPr>
            <w:tcW w:w="7740" w:type="dxa"/>
            <w:vAlign w:val="bottom"/>
          </w:tcPr>
          <w:p>
            <w:pPr>
              <w:ind w:left="478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280" w:type="dxa"/>
            <w:vAlign w:val="bottom"/>
          </w:tcPr>
          <w:p>
            <w:pPr>
              <w:spacing w:after="0"/>
              <w:rPr>
                <w:sz w:val="19"/>
                <w:szCs w:val="19"/>
                <w:color w:val="auto"/>
              </w:rPr>
            </w:pPr>
          </w:p>
        </w:tc>
      </w:tr>
      <w:tr>
        <w:trPr>
          <w:trHeight w:val="424"/>
        </w:trPr>
        <w:tc>
          <w:tcPr>
            <w:tcW w:w="77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63"/>
        </w:trPr>
        <w:tc>
          <w:tcPr>
            <w:tcW w:w="774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280" w:type="dxa"/>
            <w:vAlign w:val="bottom"/>
            <w:tcBorders>
              <w:bottom w:val="single" w:sz="8" w:color="C0C0C0"/>
            </w:tcBorders>
            <w:shd w:val="clear" w:color="auto" w:fill="C0C0C0"/>
          </w:tcPr>
          <w:p>
            <w:pPr>
              <w:ind w:left="500"/>
              <w:spacing w:after="0"/>
              <w:rPr>
                <w:sz w:val="20"/>
                <w:szCs w:val="20"/>
                <w:color w:val="auto"/>
              </w:rPr>
            </w:pPr>
            <w:r>
              <w:rPr>
                <w:rFonts w:ascii="Times New Roman" w:cs="Times New Roman" w:eastAsia="Times New Roman" w:hAnsi="Times New Roman"/>
                <w:sz w:val="18"/>
                <w:szCs w:val="18"/>
                <w:b w:val="1"/>
                <w:bCs w:val="1"/>
                <w:color w:val="auto"/>
              </w:rPr>
              <w:t>State/Country</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1422722 Ontario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Burton Group,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Utah,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Capterra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(Barbados) SRL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Barbados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Global Holdings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Global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Holdings UK 1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Holdings UK 2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International Holdings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CEB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Financial Consultants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Financial Consultants,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CXO Acquisition Co.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Dataquest,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California, United States</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Evanta Ventures, Inc.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G.G. Properties,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Bermuda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Advisory (Singapore) Pte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Singapore</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Australasia PTY Limited (including branch in New Zealand)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Australia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Austria GmbH</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Austria</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Belgium BVBA (including branch in Luxembourg)</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Belgium</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Canada Co.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Consulting (Beijing) Co., LTD. (including branches in Shanghai &amp; Shenzhen)</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Czech Republic s.r.o.</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Czechia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Danmark ApS</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Denmark</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Deutschland GmbH</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Digital Market Ireland Limited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Ireland</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do Brasil Serviços de Pesquisas Ltda.</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Espana, S.L. (including branch in Portugal)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Spain</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Finland Oy</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Finland</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France SARL</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France</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Global Holdings Malta I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Malta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Global Holdings Malta II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Malta</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Group (Thailand)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Thailand</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Group Taiwan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Taiwan</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Gulf FZ LLC (including branch in Abu Dhabi)</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Cyprus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Cyprus</w:t>
            </w:r>
          </w:p>
        </w:tc>
      </w:tr>
      <w:tr>
        <w:trPr>
          <w:trHeight w:val="28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Malta Ltd.</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Malta</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UK I Limited Partnership</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Holdings, LLC</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Delaware, United States</w:t>
            </w:r>
          </w:p>
        </w:tc>
      </w:tr>
    </w:tbl>
    <w:p>
      <w:pPr>
        <w:sectPr>
          <w:pgSz w:w="11900" w:h="16838" w:orient="portrait"/>
          <w:cols w:equalWidth="0" w:num="1">
            <w:col w:w="11240"/>
          </w:cols>
          <w:pgMar w:left="320" w:top="36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0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4020" w:type="dxa"/>
            <w:vAlign w:val="bottom"/>
            <w:tcBorders>
              <w:bottom w:val="single" w:sz="8" w:color="C0C0C0"/>
            </w:tcBorders>
            <w:shd w:val="clear" w:color="auto" w:fill="C0C0C0"/>
          </w:tcPr>
          <w:p>
            <w:pPr>
              <w:ind w:left="1240"/>
              <w:spacing w:after="0"/>
              <w:rPr>
                <w:sz w:val="20"/>
                <w:szCs w:val="20"/>
                <w:color w:val="auto"/>
              </w:rPr>
            </w:pPr>
            <w:r>
              <w:rPr>
                <w:rFonts w:ascii="Times New Roman" w:cs="Times New Roman" w:eastAsia="Times New Roman" w:hAnsi="Times New Roman"/>
                <w:sz w:val="18"/>
                <w:szCs w:val="18"/>
                <w:b w:val="1"/>
                <w:bCs w:val="1"/>
                <w:color w:val="auto"/>
              </w:rPr>
              <w:t>State/Country</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Hong Kong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Hong Kong</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India Research &amp; Advisory Services Private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India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Ireland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Ireland</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Israel Advisory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Israel</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Italia S.r.l.</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Italy</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Japan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Japan</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Malta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Malta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Mexico, S. de R.L. de C.V.</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Mexico</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Nederland B.V.</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Norge AS</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Norway</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Poland Sp. z o.o.</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Poland</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QFC LLC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Qatar</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Regional Headquarter</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&amp; Advisory (Malaysia) Sdn. Bhd.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Malaysia</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&amp; Advisory Korea Co.,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Korea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and Advisory (Thailand)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Thailand</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Research Holdings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Bermuda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Saudi Arabia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South Africa (Pty)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Sverige AB</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Sweden</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Switzerland GmbH</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Switzerland</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Turkey Teknoloji Araştırma ve Danışmanlık Hizmetleri Limited Şirketi</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Turkey</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U.K. Limited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LLC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Infinote Corporation</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L2,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Leadership Transition Institute, LLC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Machina Research USA, Incorporated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 Group GmbH</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 Group Saudi</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Nubera eBusiness, S.L.</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Spain</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Pulse Q&amp;A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Pulse Social Research Platform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SCM World US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Senexx Israel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Israel</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SircleIT,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Advice,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California, United States</w:t>
            </w:r>
          </w:p>
        </w:tc>
      </w:tr>
      <w:tr>
        <w:trPr>
          <w:trHeight w:val="28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Leadership Acquisition Co.</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Talent Assessment Holdings Ltd.</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8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Research Board, Inc.</w:t>
            </w:r>
          </w:p>
        </w:tc>
        <w:tc>
          <w:tcPr>
            <w:tcW w:w="40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 United States</w:t>
            </w:r>
          </w:p>
        </w:tc>
      </w:tr>
    </w:tbl>
    <w:p>
      <w:pPr>
        <w:sectPr>
          <w:pgSz w:w="11900" w:h="16838" w:orient="portrait"/>
          <w:cols w:equalWidth="0" w:num="1">
            <w:col w:w="11240"/>
          </w:cols>
          <w:pgMar w:left="320" w:top="36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82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221"/>
        </w:trPr>
        <w:tc>
          <w:tcPr>
            <w:tcW w:w="2820" w:type="dxa"/>
            <w:vAlign w:val="bottom"/>
          </w:tcPr>
          <w:p>
            <w:pPr>
              <w:spacing w:after="0"/>
              <w:rPr>
                <w:sz w:val="19"/>
                <w:szCs w:val="19"/>
                <w:color w:val="auto"/>
              </w:rPr>
            </w:pPr>
          </w:p>
        </w:tc>
        <w:tc>
          <w:tcPr>
            <w:tcW w:w="8200" w:type="dxa"/>
            <w:vAlign w:val="bottom"/>
          </w:tcPr>
          <w:p>
            <w:pPr>
              <w:ind w:left="19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424"/>
        </w:trPr>
        <w:tc>
          <w:tcPr>
            <w:tcW w:w="282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263"/>
        </w:trPr>
        <w:tc>
          <w:tcPr>
            <w:tcW w:w="282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8200" w:type="dxa"/>
            <w:vAlign w:val="bottom"/>
            <w:tcBorders>
              <w:bottom w:val="single" w:sz="8" w:color="C0C0C0"/>
            </w:tcBorders>
            <w:shd w:val="clear" w:color="auto" w:fill="C0C0C0"/>
          </w:tcPr>
          <w:p>
            <w:pPr>
              <w:ind w:left="5420"/>
              <w:spacing w:after="0"/>
              <w:rPr>
                <w:sz w:val="20"/>
                <w:szCs w:val="20"/>
                <w:color w:val="auto"/>
              </w:rPr>
            </w:pPr>
            <w:r>
              <w:rPr>
                <w:rFonts w:ascii="Times New Roman" w:cs="Times New Roman" w:eastAsia="Times New Roman" w:hAnsi="Times New Roman"/>
                <w:sz w:val="18"/>
                <w:szCs w:val="18"/>
                <w:b w:val="1"/>
                <w:bCs w:val="1"/>
                <w:color w:val="auto"/>
              </w:rPr>
              <w:t>State/Country</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TOPO Research, LLC</w:t>
            </w:r>
          </w:p>
        </w:tc>
        <w:tc>
          <w:tcPr>
            <w:tcW w:w="82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UpCity, Inc</w:t>
            </w:r>
          </w:p>
        </w:tc>
        <w:tc>
          <w:tcPr>
            <w:tcW w:w="82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8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Valtera Corporation</w:t>
            </w:r>
          </w:p>
        </w:tc>
        <w:tc>
          <w:tcPr>
            <w:tcW w:w="82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Illinois, United States</w:t>
            </w:r>
          </w:p>
        </w:tc>
      </w:tr>
    </w:tbl>
    <w:p>
      <w:pPr>
        <w:sectPr>
          <w:pgSz w:w="11900" w:h="16838" w:orient="portrait"/>
          <w:cols w:equalWidth="0" w:num="1">
            <w:col w:w="11240"/>
          </w:cols>
          <w:pgMar w:left="320" w:top="367"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statements (Nos. 333-104753, 333-127349, 333-160924, 333-176058, 333-200585, 333-217347, 333-258460, and 333-273578) on Form S-8 of our reports dated February 13, 2025, with respect to the consolidated financial statements of Gartner, Inc. and the effectiveness of internal control over financial reporting.</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2025</w:t>
      </w:r>
    </w:p>
    <w:p>
      <w:pPr>
        <w:sectPr>
          <w:pgSz w:w="11900" w:h="16838" w:orient="portrait"/>
          <w:cols w:equalWidth="0" w:num="1">
            <w:col w:w="11080"/>
          </w:cols>
          <w:pgMar w:left="320" w:top="1440" w:right="4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25"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hanging="644"/>
        <w:spacing w:after="0" w:line="282" w:lineRule="auto"/>
        <w:tabs>
          <w:tab w:leader="none" w:pos="129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8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Eugene A. Hall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13, 2025</w:t>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hanging="644"/>
        <w:spacing w:after="0" w:line="282" w:lineRule="auto"/>
        <w:tabs>
          <w:tab w:leader="none" w:pos="129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65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Craig W. Safian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13, 2025</w:t>
      </w:r>
    </w:p>
    <w:p>
      <w:pPr>
        <w:sectPr>
          <w:pgSz w:w="11900" w:h="16838" w:orient="portrait"/>
          <w:cols w:equalWidth="0" w:num="1">
            <w:col w:w="11240"/>
          </w:cols>
          <w:pgMar w:left="320" w:top="887" w:right="339" w:bottom="1440" w:gutter="0" w:footer="0" w:header="0"/>
        </w:sectPr>
      </w:pPr>
    </w:p>
    <w:bookmarkStart w:id="119" w:name="page120"/>
    <w:bookmarkEnd w:id="119"/>
    <w:p>
      <w:pPr>
        <w:ind w:left="104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Gartner, Inc. (the “Company”) on Form 10-K for the year ended December 31, 2024,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180" w:lineRule="exact"/>
        <w:rPr>
          <w:sz w:val="20"/>
          <w:szCs w:val="20"/>
          <w:color w:val="auto"/>
        </w:rPr>
      </w:pPr>
    </w:p>
    <w:p>
      <w:pPr>
        <w:ind w:left="640" w:hanging="632"/>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Eugene A. Hall</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February 13, 2025</w:t>
            </w:r>
          </w:p>
        </w:tc>
      </w:tr>
      <w:tr>
        <w:trPr>
          <w:trHeight w:val="459"/>
        </w:trPr>
        <w:tc>
          <w:tcPr>
            <w:tcW w:w="4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r>
      <w:tr>
        <w:trPr>
          <w:trHeight w:val="218"/>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Craig W. Safian</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February 13, 2025</w:t>
            </w:r>
          </w:p>
        </w:tc>
      </w:tr>
    </w:tbl>
    <w:p>
      <w:pPr>
        <w:spacing w:after="0" w:line="2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1)"/>
      <w:numFmt w:val="decimal"/>
      <w:start w:val="2"/>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2"/>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decimal"/>
      <w:start w:val="1"/>
    </w:lvl>
    <w:lvl w:ilvl="1">
      <w:lvlJc w:val="left"/>
      <w:lvlText w:val="(%2)"/>
      <w:numFmt w:val="lowerLetter"/>
      <w:start w:val="1"/>
    </w:lvl>
  </w:abstractNum>
  <w:abstractNum w:abstractNumId="43">
    <w:nsid w:val="661E3F1E"/>
    <w:multiLevelType w:val="hybridMultilevel"/>
    <w:lvl w:ilvl="0">
      <w:lvlJc w:val="left"/>
      <w:lvlText w:val="%1"/>
      <w:numFmt w:val="decimal"/>
      <w:start w:val="1"/>
    </w:lvl>
    <w:lvl w:ilvl="1">
      <w:lvlJc w:val="left"/>
      <w:lvlText w:val="(%2)"/>
      <w:numFmt w:val="lowerLetter"/>
      <w:start w:val="5"/>
    </w:lvl>
  </w:abstractNum>
  <w:abstractNum w:abstractNumId="44">
    <w:nsid w:val="5DC79EA8"/>
    <w:multiLevelType w:val="hybridMultilevel"/>
    <w:lvl w:ilvl="0">
      <w:lvlJc w:val="left"/>
      <w:lvlText w:val="%1."/>
      <w:numFmt w:val="decimal"/>
      <w:start w:val="4"/>
    </w:lvl>
    <w:lvl w:ilvl="1">
      <w:lvlJc w:val="left"/>
      <w:lvlText w:val="%2"/>
      <w:numFmt w:val="lowerLetter"/>
      <w:start w:val="1"/>
    </w:lvl>
  </w:abstractNum>
  <w:abstractNum w:abstractNumId="45">
    <w:nsid w:val="540A471C"/>
    <w:multiLevelType w:val="hybridMultilevel"/>
    <w:lvl w:ilvl="0">
      <w:lvlJc w:val="left"/>
      <w:lvlText w:val="%1"/>
      <w:numFmt w:val="lowerLetter"/>
      <w:start w:val="1"/>
    </w:lvl>
    <w:lvl w:ilvl="1">
      <w:lvlJc w:val="left"/>
      <w:lvlText w:val="%2."/>
      <w:numFmt w:val="decimal"/>
      <w:start w:val="5"/>
    </w:lvl>
  </w:abstractNum>
  <w:abstractNum w:abstractNumId="46">
    <w:nsid w:val="7BD3EE7B"/>
    <w:multiLevelType w:val="hybridMultilevel"/>
    <w:lvl w:ilvl="0">
      <w:lvlJc w:val="left"/>
      <w:lvlText w:val="(%1)"/>
      <w:numFmt w:val="lowerLetter"/>
      <w:start w:val="3"/>
    </w:lvl>
    <w:lvl w:ilvl="1">
      <w:lvlJc w:val="left"/>
      <w:lvlText w:val="%2"/>
      <w:numFmt w:val="decimal"/>
      <w:start w:val="1"/>
    </w:lvl>
  </w:abstractNum>
  <w:abstractNum w:abstractNumId="47">
    <w:nsid w:val="51D9C564"/>
    <w:multiLevelType w:val="hybridMultilevel"/>
    <w:lvl w:ilvl="0">
      <w:lvlJc w:val="left"/>
      <w:lvlText w:val="%1."/>
      <w:numFmt w:val="decimal"/>
      <w:start w:val="8"/>
    </w:lvl>
  </w:abstractNum>
  <w:abstractNum w:abstractNumId="48">
    <w:nsid w:val="613EFDC5"/>
    <w:multiLevelType w:val="hybridMultilevel"/>
    <w:lvl w:ilvl="0">
      <w:lvlJc w:val="left"/>
      <w:lvlText w:val="%1."/>
      <w:numFmt w:val="decimal"/>
      <w:start w:val="12"/>
    </w:lvl>
  </w:abstractNum>
  <w:abstractNum w:abstractNumId="49">
    <w:nsid w:val="BF72B14"/>
    <w:multiLevelType w:val="hybridMultilevel"/>
    <w:lvl w:ilvl="0">
      <w:lvlJc w:val="left"/>
      <w:lvlText w:val="(%1)"/>
      <w:numFmt w:val="lowerRoman"/>
      <w:start w:val="2"/>
    </w:lvl>
  </w:abstractNum>
  <w:abstractNum w:abstractNumId="50">
    <w:nsid w:val="11447B73"/>
    <w:multiLevelType w:val="hybridMultilevel"/>
    <w:lvl w:ilvl="0">
      <w:lvlJc w:val="left"/>
      <w:lvlText w:val="(%1)"/>
      <w:numFmt w:val="lowerRoman"/>
      <w:start w:val="3"/>
    </w:lvl>
  </w:abstractNum>
  <w:abstractNum w:abstractNumId="51">
    <w:nsid w:val="42963E5A"/>
    <w:multiLevelType w:val="hybridMultilevel"/>
    <w:lvl w:ilvl="0">
      <w:lvlJc w:val="left"/>
      <w:lvlText w:val="(%1)"/>
      <w:numFmt w:val="lowerLetter"/>
      <w:start w:val="2"/>
    </w:lvl>
    <w:lvl w:ilvl="1">
      <w:lvlJc w:val="left"/>
      <w:lvlText w:val="(%2)"/>
      <w:numFmt w:val="lowerLetter"/>
      <w:start w:val="9"/>
    </w:lvl>
  </w:abstractNum>
  <w:abstractNum w:abstractNumId="52">
    <w:nsid w:val="A0382C5"/>
    <w:multiLevelType w:val="hybridMultilevel"/>
    <w:lvl w:ilvl="0">
      <w:lvlJc w:val="left"/>
      <w:lvlText w:val="(%1)"/>
      <w:numFmt w:val="lowerRoman"/>
      <w:start w:val="2"/>
    </w:lvl>
  </w:abstractNum>
  <w:abstractNum w:abstractNumId="53">
    <w:nsid w:val="8F2B15E"/>
    <w:multiLevelType w:val="hybridMultilevel"/>
    <w:lvl w:ilvl="0">
      <w:lvlJc w:val="left"/>
      <w:lvlText w:val="(%1)"/>
      <w:numFmt w:val="lowerLetter"/>
      <w:start w:val="4"/>
    </w:lvl>
  </w:abstractNum>
  <w:abstractNum w:abstractNumId="54">
    <w:nsid w:val="1A32234B"/>
    <w:multiLevelType w:val="hybridMultilevel"/>
    <w:lvl w:ilvl="0">
      <w:lvlJc w:val="left"/>
      <w:lvlText w:val="(%1)"/>
      <w:numFmt w:val="lowerLetter"/>
      <w:start w:val="5"/>
    </w:lvl>
  </w:abstractNum>
  <w:abstractNum w:abstractNumId="55">
    <w:nsid w:val="3B0FD379"/>
    <w:multiLevelType w:val="hybridMultilevel"/>
    <w:lvl w:ilvl="0">
      <w:lvlJc w:val="left"/>
      <w:lvlText w:val="%1."/>
      <w:numFmt w:val="decimal"/>
      <w:start w:val="18"/>
    </w:lvl>
  </w:abstractNum>
  <w:abstractNum w:abstractNumId="56">
    <w:nsid w:val="68EB2F63"/>
    <w:multiLevelType w:val="hybridMultilevel"/>
    <w:lvl w:ilvl="0">
      <w:lvlJc w:val="left"/>
      <w:lvlText w:val="%1."/>
      <w:numFmt w:val="decimal"/>
      <w:start w:val="21"/>
    </w:lvl>
  </w:abstractNum>
  <w:abstractNum w:abstractNumId="57">
    <w:nsid w:val="4962813B"/>
    <w:multiLevelType w:val="hybridMultilevel"/>
    <w:lvl w:ilvl="0">
      <w:lvlJc w:val="left"/>
      <w:lvlText w:val="%1."/>
      <w:numFmt w:val="decimal"/>
      <w:start w:val="28"/>
    </w:lvl>
  </w:abstractNum>
  <w:abstractNum w:abstractNumId="58">
    <w:nsid w:val="60B6DF70"/>
    <w:multiLevelType w:val="hybridMultilevel"/>
    <w:lvl w:ilvl="0">
      <w:lvlJc w:val="left"/>
      <w:lvlText w:val="%1."/>
      <w:numFmt w:val="decimal"/>
      <w:start w:val="30"/>
    </w:lvl>
  </w:abstractNum>
  <w:abstractNum w:abstractNumId="59">
    <w:nsid w:val="6A5EE64"/>
    <w:multiLevelType w:val="hybridMultilevel"/>
    <w:lvl w:ilvl="0">
      <w:lvlJc w:val="left"/>
      <w:lvlText w:val="(%1)"/>
      <w:numFmt w:val="lowerRoman"/>
      <w:start w:val="2"/>
    </w:lvl>
  </w:abstractNum>
  <w:abstractNum w:abstractNumId="60">
    <w:nsid w:val="14330624"/>
    <w:multiLevelType w:val="hybridMultilevel"/>
    <w:lvl w:ilvl="0">
      <w:lvlJc w:val="left"/>
      <w:lvlText w:val="%1."/>
      <w:numFmt w:val="decimal"/>
      <w:start w:val="1"/>
    </w:lvl>
    <w:lvl w:ilvl="1">
      <w:lvlJc w:val="left"/>
      <w:lvlText w:val="(%2)"/>
      <w:numFmt w:val="lowerLetter"/>
      <w:start w:val="1"/>
    </w:lvl>
  </w:abstractNum>
  <w:abstractNum w:abstractNumId="61">
    <w:nsid w:val="7FFFCA11"/>
    <w:multiLevelType w:val="hybridMultilevel"/>
    <w:lvl w:ilvl="0">
      <w:lvlJc w:val="left"/>
      <w:lvlText w:val="%1"/>
      <w:numFmt w:val="decimal"/>
      <w:start w:val="1"/>
    </w:lvl>
    <w:lvl w:ilvl="1">
      <w:lvlJc w:val="left"/>
      <w:lvlText w:val="(%2)"/>
      <w:numFmt w:val="lowerLetter"/>
      <w:start w:val="4"/>
    </w:lvl>
  </w:abstractNum>
  <w:abstractNum w:abstractNumId="62">
    <w:nsid w:val="1A27709E"/>
    <w:multiLevelType w:val="hybridMultilevel"/>
    <w:lvl w:ilvl="0">
      <w:lvlJc w:val="left"/>
      <w:lvlText w:val="%1."/>
      <w:numFmt w:val="decimal"/>
      <w:start w:val="4"/>
    </w:lvl>
    <w:lvl w:ilvl="1">
      <w:lvlJc w:val="left"/>
      <w:lvlText w:val="%2"/>
      <w:numFmt w:val="lowerLetter"/>
      <w:start w:val="1"/>
    </w:lvl>
  </w:abstractNum>
  <w:abstractNum w:abstractNumId="63">
    <w:nsid w:val="71EA1109"/>
    <w:multiLevelType w:val="hybridMultilevel"/>
    <w:lvl w:ilvl="0">
      <w:lvlJc w:val="left"/>
      <w:lvlText w:val="%1."/>
      <w:numFmt w:val="decimal"/>
      <w:start w:val="5"/>
    </w:lvl>
  </w:abstractNum>
  <w:abstractNum w:abstractNumId="64">
    <w:nsid w:val="100F59DC"/>
    <w:multiLevelType w:val="hybridMultilevel"/>
    <w:lvl w:ilvl="0">
      <w:lvlJc w:val="left"/>
      <w:lvlText w:val="%1"/>
      <w:numFmt w:val="lowerLetter"/>
      <w:start w:val="1"/>
    </w:lvl>
    <w:lvl w:ilvl="1">
      <w:lvlJc w:val="left"/>
      <w:lvlText w:val="%2."/>
      <w:numFmt w:val="decimal"/>
      <w:start w:val="9"/>
    </w:lvl>
  </w:abstractNum>
  <w:abstractNum w:abstractNumId="65">
    <w:nsid w:val="7FB7E0AA"/>
    <w:multiLevelType w:val="hybridMultilevel"/>
    <w:lvl w:ilvl="0">
      <w:lvlJc w:val="left"/>
      <w:lvlText w:val="(%1)"/>
      <w:numFmt w:val="lowerLetter"/>
      <w:start w:val="3"/>
    </w:lvl>
    <w:lvl w:ilvl="1">
      <w:lvlJc w:val="left"/>
      <w:lvlText w:val="%2."/>
      <w:numFmt w:val="decimal"/>
      <w:start w:val="12"/>
    </w:lvl>
  </w:abstractNum>
  <w:abstractNum w:abstractNumId="66">
    <w:nsid w:val="6EB5BD4"/>
    <w:multiLevelType w:val="hybridMultilevel"/>
    <w:lvl w:ilvl="0">
      <w:lvlJc w:val="left"/>
      <w:lvlText w:val="%1"/>
      <w:numFmt w:val="decimal"/>
      <w:start w:val="1"/>
    </w:lvl>
    <w:lvl w:ilvl="1">
      <w:lvlJc w:val="left"/>
      <w:lvlText w:val="(%2)"/>
      <w:numFmt w:val="lowerRoman"/>
      <w:start w:val="2"/>
    </w:lvl>
  </w:abstractNum>
  <w:abstractNum w:abstractNumId="67">
    <w:nsid w:val="6F6DD9AC"/>
    <w:multiLevelType w:val="hybridMultilevel"/>
    <w:lvl w:ilvl="0">
      <w:lvlJc w:val="left"/>
      <w:lvlText w:val="%1."/>
      <w:numFmt w:val="decimal"/>
      <w:start w:val="12"/>
    </w:lvl>
    <w:lvl w:ilvl="1">
      <w:lvlJc w:val="left"/>
      <w:lvlText w:val="%2"/>
      <w:numFmt w:val="lowerRoman"/>
      <w:start w:val="1"/>
    </w:lvl>
  </w:abstractNum>
  <w:abstractNum w:abstractNumId="68">
    <w:nsid w:val="94211F2"/>
    <w:multiLevelType w:val="hybridMultilevel"/>
    <w:lvl w:ilvl="0">
      <w:lvlJc w:val="left"/>
      <w:lvlText w:val="(%1)"/>
      <w:numFmt w:val="lowerLetter"/>
      <w:start w:val="2"/>
    </w:lvl>
    <w:lvl w:ilvl="1">
      <w:lvlJc w:val="left"/>
      <w:lvlText w:val="(%2)"/>
      <w:numFmt w:val="lowerLetter"/>
      <w:start w:val="9"/>
    </w:lvl>
  </w:abstractNum>
  <w:abstractNum w:abstractNumId="69">
    <w:nsid w:val="885E1B"/>
    <w:multiLevelType w:val="hybridMultilevel"/>
    <w:lvl w:ilvl="0">
      <w:lvlJc w:val="left"/>
      <w:lvlText w:val="%1"/>
      <w:numFmt w:val="lowerLetter"/>
      <w:start w:val="1"/>
    </w:lvl>
    <w:lvl w:ilvl="1">
      <w:lvlJc w:val="left"/>
      <w:lvlText w:val="(%2)"/>
      <w:numFmt w:val="lowerRoman"/>
      <w:start w:val="2"/>
    </w:lvl>
  </w:abstractNum>
  <w:abstractNum w:abstractNumId="70">
    <w:nsid w:val="76272110"/>
    <w:multiLevelType w:val="hybridMultilevel"/>
    <w:lvl w:ilvl="0">
      <w:lvlJc w:val="left"/>
      <w:lvlText w:val="(%1)"/>
      <w:numFmt w:val="lowerLetter"/>
      <w:start w:val="4"/>
    </w:lvl>
    <w:lvl w:ilvl="1">
      <w:lvlJc w:val="left"/>
      <w:lvlText w:val="%2"/>
      <w:numFmt w:val="lowerRoman"/>
      <w:start w:val="1"/>
    </w:lvl>
  </w:abstractNum>
  <w:abstractNum w:abstractNumId="71">
    <w:nsid w:val="4C04A8AF"/>
    <w:multiLevelType w:val="hybridMultilevel"/>
    <w:lvl w:ilvl="0">
      <w:lvlJc w:val="left"/>
      <w:lvlText w:val="(%1)"/>
      <w:numFmt w:val="lowerLetter"/>
      <w:start w:val="5"/>
    </w:lvl>
  </w:abstractNum>
  <w:abstractNum w:abstractNumId="72">
    <w:nsid w:val="1716703B"/>
    <w:multiLevelType w:val="hybridMultilevel"/>
    <w:lvl w:ilvl="0">
      <w:lvlJc w:val="left"/>
      <w:lvlText w:val="%1."/>
      <w:numFmt w:val="decimal"/>
      <w:start w:val="13"/>
    </w:lvl>
  </w:abstractNum>
  <w:abstractNum w:abstractNumId="73">
    <w:nsid w:val="14E17E33"/>
    <w:multiLevelType w:val="hybridMultilevel"/>
    <w:lvl w:ilvl="0">
      <w:lvlJc w:val="left"/>
      <w:lvlText w:val="%1."/>
      <w:numFmt w:val="decimal"/>
      <w:start w:val="14"/>
    </w:lvl>
  </w:abstractNum>
  <w:abstractNum w:abstractNumId="74">
    <w:nsid w:val="3222E7CD"/>
    <w:multiLevelType w:val="hybridMultilevel"/>
    <w:lvl w:ilvl="0">
      <w:lvlJc w:val="left"/>
      <w:lvlText w:val="%1."/>
      <w:numFmt w:val="decimal"/>
      <w:start w:val="21"/>
    </w:lvl>
  </w:abstractNum>
  <w:abstractNum w:abstractNumId="75">
    <w:nsid w:val="74DE0EE3"/>
    <w:multiLevelType w:val="hybridMultilevel"/>
    <w:lvl w:ilvl="0">
      <w:lvlJc w:val="left"/>
      <w:lvlText w:val="%1."/>
      <w:numFmt w:val="decimal"/>
      <w:start w:val="27"/>
    </w:lvl>
  </w:abstractNum>
  <w:abstractNum w:abstractNumId="76">
    <w:nsid w:val="68EBC550"/>
    <w:multiLevelType w:val="hybridMultilevel"/>
    <w:lvl w:ilvl="0">
      <w:lvlJc w:val="left"/>
      <w:lvlText w:val="(%1)"/>
      <w:numFmt w:val="lowerRoman"/>
      <w:start w:val="2"/>
    </w:lvl>
  </w:abstractNum>
  <w:abstractNum w:abstractNumId="77">
    <w:nsid w:val="2DF6D648"/>
    <w:multiLevelType w:val="hybridMultilevel"/>
    <w:lvl w:ilvl="0">
      <w:lvlJc w:val="left"/>
      <w:lvlText w:val="%1."/>
      <w:numFmt w:val="decimal"/>
      <w:start w:val="1"/>
    </w:lvl>
  </w:abstractNum>
  <w:abstractNum w:abstractNumId="78">
    <w:nsid w:val="46B7D447"/>
    <w:multiLevelType w:val="hybridMultilevel"/>
    <w:lvl w:ilvl="0">
      <w:lvlJc w:val="left"/>
      <w:lvlText w:val="%1."/>
      <w:numFmt w:val="decimal"/>
      <w:start w:val="2"/>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1."/>
      <w:numFmt w:val="decimal"/>
      <w:start w:val="3"/>
    </w:lvl>
  </w:abstractNum>
  <w:abstractNum w:abstractNumId="82">
    <w:nsid w:val="CC1016F"/>
    <w:multiLevelType w:val="hybridMultilevel"/>
    <w:lvl w:ilvl="0">
      <w:lvlJc w:val="left"/>
      <w:lvlText w:val="%1."/>
      <w:numFmt w:val="decimal"/>
      <w:start w:val="3"/>
    </w:lvl>
    <w:lvl w:ilvl="1">
      <w:lvlJc w:val="left"/>
      <w:lvlText w:val="•"/>
      <w:numFmt w:val="bullet"/>
      <w:start w:val="1"/>
    </w:lvl>
  </w:abstractNum>
  <w:abstractNum w:abstractNumId="83">
    <w:nsid w:val="43F18422"/>
    <w:multiLevelType w:val="hybridMultilevel"/>
    <w:lvl w:ilvl="0">
      <w:lvlJc w:val="left"/>
      <w:lvlText w:val="%1)"/>
      <w:numFmt w:val="lowerLetter"/>
      <w:start w:val="1"/>
    </w:lvl>
    <w:lvl w:ilvl="1">
      <w:lvlJc w:val="left"/>
      <w:lvlText w:val="%2."/>
      <w:numFmt w:val="lowerRoman"/>
      <w:start w:val="1"/>
    </w:lvl>
  </w:abstractNum>
  <w:abstractNum w:abstractNumId="84">
    <w:nsid w:val="60EF0119"/>
    <w:multiLevelType w:val="hybridMultilevel"/>
    <w:lvl w:ilvl="0">
      <w:lvlJc w:val="left"/>
      <w:lvlText w:val="%1"/>
      <w:numFmt w:val="decimal"/>
      <w:start w:val="1"/>
    </w:lvl>
    <w:lvl w:ilvl="1">
      <w:lvlJc w:val="left"/>
      <w:lvlText w:val="%2)"/>
      <w:numFmt w:val="lowerLetter"/>
      <w:start w:val="2"/>
    </w:lvl>
  </w:abstractNum>
  <w:abstractNum w:abstractNumId="85">
    <w:nsid w:val="26F324BA"/>
    <w:multiLevelType w:val="hybridMultilevel"/>
    <w:lvl w:ilvl="0">
      <w:lvlJc w:val="left"/>
      <w:lvlText w:val="%1."/>
      <w:numFmt w:val="decimal"/>
      <w:start w:val="5"/>
    </w:lvl>
    <w:lvl w:ilvl="1">
      <w:lvlJc w:val="left"/>
      <w:lvlText w:val="%2)"/>
      <w:numFmt w:val="lowerLetter"/>
      <w:start w:val="1"/>
    </w:lvl>
  </w:abstractNum>
  <w:abstractNum w:abstractNumId="86">
    <w:nsid w:val="7F01579B"/>
    <w:multiLevelType w:val="hybridMultilevel"/>
    <w:lvl w:ilvl="0">
      <w:lvlJc w:val="left"/>
      <w:lvlText w:val="%1)"/>
      <w:numFmt w:val="lowerLetter"/>
      <w:start w:val="2"/>
    </w:lvl>
  </w:abstractNum>
  <w:abstractNum w:abstractNumId="87">
    <w:nsid w:val="49DA307D"/>
    <w:multiLevelType w:val="hybridMultilevel"/>
    <w:lvl w:ilvl="0">
      <w:lvlJc w:val="left"/>
      <w:lvlText w:val="%1)"/>
      <w:numFmt w:val="lowerLetter"/>
      <w:start w:val="3"/>
    </w:lvl>
    <w:lvl w:ilvl="1">
      <w:lvlJc w:val="left"/>
      <w:lvlText w:val="•"/>
      <w:numFmt w:val="bullet"/>
      <w:start w:val="1"/>
    </w:lvl>
  </w:abstractNum>
  <w:abstractNum w:abstractNumId="88">
    <w:nsid w:val="7055A5F5"/>
    <w:multiLevelType w:val="hybridMultilevel"/>
    <w:lvl w:ilvl="0">
      <w:lvlJc w:val="left"/>
      <w:lvlText w:val="%1)"/>
      <w:numFmt w:val="lowerLetter"/>
      <w:start w:val="5"/>
    </w:lvl>
  </w:abstractNum>
  <w:abstractNum w:abstractNumId="89">
    <w:nsid w:val="5FB8370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0">
    <w:nsid w:val="50801E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1">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2">
    <w:nsid w:val="5FB8011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3">
    <w:nsid w:val="6AA78F7F"/>
    <w:multiLevelType w:val="hybridMultilevel"/>
    <w:lvl w:ilvl="0">
      <w:lvlJc w:val="left"/>
      <w:lvlText w:val="%1."/>
      <w:numFmt w:val="lowerRoman"/>
      <w:start w:val="7"/>
    </w:lvl>
  </w:abstractNum>
  <w:abstractNum w:abstractNumId="94">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95">
    <w:nsid w:val="6FC75AF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6">
    <w:nsid w:val="6A5F7029"/>
    <w:multiLevelType w:val="hybridMultilevel"/>
    <w:lvl w:ilvl="0">
      <w:lvlJc w:val="left"/>
      <w:lvlText w:val="%1)"/>
      <w:numFmt w:val="lowerLetter"/>
      <w:start w:val="3"/>
    </w:lvl>
  </w:abstractNum>
  <w:abstractNum w:abstractNumId="97">
    <w:nsid w:val="7D5E18F8"/>
    <w:multiLevelType w:val="hybridMultilevel"/>
    <w:lvl w:ilvl="0">
      <w:lvlJc w:val="left"/>
      <w:lvlText w:val="%1)"/>
      <w:numFmt w:val="lowerLetter"/>
      <w:start w:val="4"/>
    </w:lvl>
  </w:abstractNum>
  <w:abstractNum w:abstractNumId="98">
    <w:nsid w:val="5F3534A4"/>
    <w:multiLevelType w:val="hybridMultilevel"/>
    <w:lvl w:ilvl="0">
      <w:lvlJc w:val="left"/>
      <w:lvlText w:val="(%1)"/>
      <w:numFmt w:val="decimal"/>
      <w:start w:val="1"/>
    </w:lvl>
    <w:lvl w:ilvl="1">
      <w:lvlJc w:val="left"/>
      <w:lvlText w:val="%2)"/>
      <w:numFmt w:val="lowerLetter"/>
      <w:start w:val="1"/>
    </w:lvl>
  </w:abstractNum>
  <w:abstractNum w:abstractNumId="99">
    <w:nsid w:val="73A1821B"/>
    <w:multiLevelType w:val="hybridMultilevel"/>
    <w:lvl w:ilvl="0">
      <w:lvlJc w:val="left"/>
      <w:lvlText w:val="%1."/>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43" Type="http://schemas.openxmlformats.org/officeDocument/2006/relationships/hyperlink" Target="https://www.sec.gov/Archives/edgar/data/749251/000095012305008192/y10586exv3w1.htm" TargetMode="External"/><Relationship Id="rId44" Type="http://schemas.openxmlformats.org/officeDocument/2006/relationships/hyperlink" Target="https://www.sec.gov/Archives/edgar/data/749251/000074925124000041/exhibit32-gartnerbylawsoct.htm" TargetMode="External"/><Relationship Id="rId45" Type="http://schemas.openxmlformats.org/officeDocument/2006/relationships/hyperlink" Target="https://www.sec.gov/Archives/edgar/data/0000749251/000119312520176014/d920501dex41.htm" TargetMode="External"/><Relationship Id="rId46" Type="http://schemas.openxmlformats.org/officeDocument/2006/relationships/hyperlink" Target="https://www.sec.gov/Archives/edgar/data/0000749251/000119312520256749/d75343dex41.htm" TargetMode="External"/><Relationship Id="rId47" Type="http://schemas.openxmlformats.org/officeDocument/2006/relationships/hyperlink" Target="https://www.sec.gov/Archives/edgar/data/0000749251/000119312521195111/d192521dex41.htm" TargetMode="External"/><Relationship Id="rId48" Type="http://schemas.openxmlformats.org/officeDocument/2006/relationships/hyperlink" Target="https://www.sec.gov/Archives/edgar/data/749251/000074925122000006/descriptionofcommonstock.htm" TargetMode="External"/><Relationship Id="rId49" Type="http://schemas.openxmlformats.org/officeDocument/2006/relationships/hyperlink" Target="https://www.sec.gov/Archives/edgar/data/749251/000119312524083467/d771496dex101.htm" TargetMode="External"/><Relationship Id="rId50" Type="http://schemas.openxmlformats.org/officeDocument/2006/relationships/hyperlink" Target="https://www.sec.gov/Archives/edgar/data/749251/000074925123000039/it-06012023xex103executive.htm" TargetMode="External"/><Relationship Id="rId51" Type="http://schemas.openxmlformats.org/officeDocument/2006/relationships/hyperlink" Target="https://www.sec.gov/Archives/edgar/data/749251/000074925124000024/esppplan2024amendment.htm" TargetMode="External"/><Relationship Id="rId52" Type="http://schemas.openxmlformats.org/officeDocument/2006/relationships/hyperlink" Target="https://www.sec.gov/ix?doc=/Archives/edgar/data/749251/000074925123000011/it-20230417.htm#i95579e80af2442b69f1e8c2270cee6c8_1352" TargetMode="External"/><Relationship Id="rId53" Type="http://schemas.openxmlformats.org/officeDocument/2006/relationships/hyperlink" Target="https://www.sec.gov/Archives/edgar/data/749251/000074925119000005/amendedemploymentagreement.htm" TargetMode="External"/><Relationship Id="rId54" Type="http://schemas.openxmlformats.org/officeDocument/2006/relationships/hyperlink" Target="https://www.sec.gov/Archives/edgar/data/0000749251/000074925121000020/employmentagreementamendme.htm" TargetMode="External"/><Relationship Id="rId55" Type="http://schemas.openxmlformats.org/officeDocument/2006/relationships/hyperlink" Target="https://www.sec.gov/Archives/edgar/data/749251/000074925124000029/secondamendmenttoemploymen.htm" TargetMode="External"/><Relationship Id="rId56" Type="http://schemas.openxmlformats.org/officeDocument/2006/relationships/hyperlink" Target="https://www.sec.gov/Archives/edgar/data/749251/000095012309003157/y74719exv10w15.htm" TargetMode="External"/><Relationship Id="rId57" Type="http://schemas.openxmlformats.org/officeDocument/2006/relationships/hyperlink" Target="https://www.sec.gov/Archives/edgar/data/749251/000074925122000006/formofsaragreement2022.htm" TargetMode="External"/><Relationship Id="rId58" Type="http://schemas.openxmlformats.org/officeDocument/2006/relationships/hyperlink" Target="https://www.sec.gov/Archives/edgar/data/749251/000074925122000006/formofpsuagreement2022.htm" TargetMode="External"/><Relationship Id="rId59" Type="http://schemas.openxmlformats.org/officeDocument/2006/relationships/hyperlink" Target="https://www.sec.gov/Archives/edgar/data/749251/000074925123000006/formofsaragreement2023.htm" TargetMode="External"/><Relationship Id="rId60" Type="http://schemas.openxmlformats.org/officeDocument/2006/relationships/hyperlink" Target="https://www.sec.gov/Archives/edgar/data/749251/000074925123000006/formofpsuagreement2023.htm" TargetMode="External"/><Relationship Id="rId61" Type="http://schemas.openxmlformats.org/officeDocument/2006/relationships/hyperlink" Target="https://www.sec.gov/Archives/edgar/data/749251/000074925124000006/formofsaragreement2024.htm" TargetMode="External"/><Relationship Id="rId62" Type="http://schemas.openxmlformats.org/officeDocument/2006/relationships/hyperlink" Target="https://www.sec.gov/Archives/edgar/data/749251/000074925124000006/formofpsuagreement2024.htm" TargetMode="External"/><Relationship Id="rId63" Type="http://schemas.openxmlformats.org/officeDocument/2006/relationships/hyperlink" Target="https://www.sec.gov/Archives/edgar/data/749251/000074925124000006/formofrsuagreement2024.htm" TargetMode="External"/><Relationship Id="rId66" Type="http://schemas.openxmlformats.org/officeDocument/2006/relationships/hyperlink" Target="https://www.sec.gov/Archives/edgar/data/749251/000074925118000013/a2016gartner_directorrsuag.htm" TargetMode="External"/><Relationship Id="rId67" Type="http://schemas.openxmlformats.org/officeDocument/2006/relationships/hyperlink" Target="https://www.sec.gov/Archives/edgar/data/749251/000074925124000006/enhancedexecutiverewardssu.htm" TargetMode="External"/><Relationship Id="rId68" Type="http://schemas.openxmlformats.org/officeDocument/2006/relationships/hyperlink" Target="https://www.sec.gov/Archives/edgar/data/749251/000074925124000006/gartnerincclawbackpolicy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2025-02-13T16:01:34Z</dcterms:created>
  <dcterms:modified xsi:type="dcterms:W3CDTF">2025-02-13T16:01:34Z</dcterms:modified>
</cp:coreProperties>
</file>