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6"/>
          <w:szCs w:val="16"/>
          <w:color w:val="auto"/>
        </w:rPr>
        <w:t>QUARTERLY REPORT PURSUANT TO SECTION 13 OR 15(d) OF</w:t>
      </w:r>
    </w:p>
    <w:p>
      <w:pPr>
        <w:spacing w:after="0" w:line="5" w:lineRule="exact"/>
        <w:rPr>
          <w:sz w:val="24"/>
          <w:szCs w:val="24"/>
          <w:color w:val="auto"/>
        </w:rPr>
      </w:pPr>
    </w:p>
    <w:p>
      <w:pPr>
        <w:ind w:left="2020" w:right="4459" w:hanging="1541"/>
        <w:spacing w:after="0" w:line="274" w:lineRule="auto"/>
        <w:tabs>
          <w:tab w:leader="none" w:pos="211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 FOR THE QUARTER ENDED DECEMBER 31, 1997</w:t>
      </w:r>
    </w:p>
    <w:p>
      <w:pPr>
        <w:spacing w:after="0" w:line="164"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1340" w:right="3879" w:hanging="861"/>
        <w:spacing w:after="0" w:line="242" w:lineRule="auto"/>
        <w:tabs>
          <w:tab w:leader="none" w:pos="-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ectPr>
          <w:pgSz w:w="11900" w:h="16838" w:orient="portrait"/>
          <w:cols w:equalWidth="0" w:num="1">
            <w:col w:w="10219"/>
          </w:cols>
          <w:pgMar w:left="240" w:top="238" w:right="1440" w:bottom="1440" w:gutter="0" w:footer="0" w:header="0"/>
        </w:sectPr>
      </w:pPr>
    </w:p>
    <w:p>
      <w:pPr>
        <w:spacing w:after="0" w:line="187"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88" w:lineRule="exact"/>
        <w:rPr>
          <w:sz w:val="24"/>
          <w:szCs w:val="24"/>
          <w:color w:val="auto"/>
        </w:rPr>
      </w:pPr>
    </w:p>
    <w:p>
      <w:pPr>
        <w:sectPr>
          <w:pgSz w:w="11900" w:h="16838" w:orient="portrait"/>
          <w:cols w:equalWidth="0" w:num="2">
            <w:col w:w="4620" w:space="560"/>
            <w:col w:w="5039"/>
          </w:cols>
          <w:pgMar w:left="240" w:top="238" w:right="1440" w:bottom="1440" w:gutter="0" w:footer="0" w:header="0"/>
          <w:type w:val="continuous"/>
        </w:sectPr>
      </w:pPr>
    </w:p>
    <w:p>
      <w:pPr>
        <w:jc w:val="center"/>
        <w:ind w:right="2439"/>
        <w:spacing w:after="0"/>
        <w:rPr>
          <w:sz w:val="20"/>
          <w:szCs w:val="20"/>
          <w:color w:val="auto"/>
        </w:rPr>
      </w:pPr>
      <w:r>
        <w:rPr>
          <w:rFonts w:ascii="Courier New" w:cs="Courier New" w:eastAsia="Courier New" w:hAnsi="Courier New"/>
          <w:sz w:val="16"/>
          <w:szCs w:val="16"/>
          <w:color w:val="auto"/>
        </w:rPr>
        <w:t>COMMISSION FILE NUMBER 0-015144</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8" w:right="1440" w:bottom="1440" w:gutter="0" w:footer="0" w:header="0"/>
          <w:type w:val="continuous"/>
        </w:sectPr>
      </w:pPr>
    </w:p>
    <w:p>
      <w:pPr>
        <w:spacing w:after="0" w:line="373" w:lineRule="exact"/>
        <w:rPr>
          <w:sz w:val="24"/>
          <w:szCs w:val="24"/>
          <w:color w:val="auto"/>
        </w:rPr>
      </w:pPr>
    </w:p>
    <w:p>
      <w:pPr>
        <w:ind w:left="154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04-3099750</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5"/>
          <w:szCs w:val="15"/>
          <w:color w:val="auto"/>
        </w:rPr>
        <w:t>Identification Number)</w:t>
      </w:r>
    </w:p>
    <w:p>
      <w:pPr>
        <w:spacing w:after="0" w:line="209" w:lineRule="exact"/>
        <w:rPr>
          <w:sz w:val="24"/>
          <w:szCs w:val="24"/>
          <w:color w:val="auto"/>
        </w:rPr>
      </w:pPr>
    </w:p>
    <w:p>
      <w:pPr>
        <w:sectPr>
          <w:pgSz w:w="11900" w:h="16838" w:orient="portrait"/>
          <w:cols w:equalWidth="0" w:num="2">
            <w:col w:w="4860" w:space="720"/>
            <w:col w:w="4639"/>
          </w:cols>
          <w:pgMar w:left="240" w:top="238" w:right="1440" w:bottom="1440" w:gutter="0" w:footer="0" w:header="0"/>
          <w:type w:val="continuous"/>
        </w:sectPr>
      </w:pPr>
    </w:p>
    <w:p>
      <w:pPr>
        <w:spacing w:after="0" w:line="173"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P.O. Box 10212</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56 Top Gallant Road</w:t>
      </w:r>
    </w:p>
    <w:p>
      <w:pPr>
        <w:spacing w:after="0" w:line="13"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Stamford, CT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06904-2212</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8" w:lineRule="exact"/>
        <w:rPr>
          <w:sz w:val="24"/>
          <w:szCs w:val="24"/>
          <w:color w:val="auto"/>
        </w:rPr>
      </w:pPr>
    </w:p>
    <w:p>
      <w:pPr>
        <w:sectPr>
          <w:pgSz w:w="11900" w:h="16838" w:orient="portrait"/>
          <w:cols w:equalWidth="0" w:num="2">
            <w:col w:w="5620" w:space="720"/>
            <w:col w:w="3879"/>
          </w:cols>
          <w:pgMar w:left="240" w:top="23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0" w:lineRule="exact"/>
        <w:rPr>
          <w:sz w:val="24"/>
          <w:szCs w:val="24"/>
          <w:color w:val="auto"/>
        </w:rPr>
      </w:pPr>
    </w:p>
    <w:p>
      <w:pPr>
        <w:spacing w:after="0" w:line="35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(203) 316-1111</w:t>
      </w:r>
    </w:p>
    <w:p>
      <w:pPr>
        <w:spacing w:after="0" w:line="375" w:lineRule="exact"/>
        <w:rPr>
          <w:sz w:val="24"/>
          <w:szCs w:val="24"/>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87" w:lineRule="exact"/>
        <w:rPr>
          <w:sz w:val="24"/>
          <w:szCs w:val="24"/>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The number of shares outstanding of the Registrant's capital stock as of December 31, 1997 was 99,097,056 shares of Common Stock, Class A.</w:t>
      </w:r>
    </w:p>
    <w:p>
      <w:pPr>
        <w:spacing w:after="0" w:line="200" w:lineRule="exact"/>
        <w:rPr>
          <w:sz w:val="24"/>
          <w:szCs w:val="24"/>
          <w:color w:val="auto"/>
        </w:rPr>
      </w:pPr>
    </w:p>
    <w:p>
      <w:pPr>
        <w:spacing w:after="0" w:line="356" w:lineRule="exact"/>
        <w:rPr>
          <w:sz w:val="24"/>
          <w:szCs w:val="24"/>
          <w:color w:val="auto"/>
        </w:rPr>
      </w:pPr>
    </w:p>
    <w:p>
      <w:pPr>
        <w:jc w:val="right"/>
        <w:ind w:right="253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3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78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18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185"/>
        </w:trPr>
        <w:tc>
          <w:tcPr>
            <w:tcW w:w="1780" w:type="dxa"/>
            <w:vAlign w:val="bottom"/>
          </w:tcPr>
          <w:p>
            <w:pPr>
              <w:spacing w:after="0"/>
              <w:rPr>
                <w:sz w:val="16"/>
                <w:szCs w:val="16"/>
                <w:color w:val="auto"/>
              </w:rPr>
            </w:pPr>
          </w:p>
        </w:tc>
        <w:tc>
          <w:tcPr>
            <w:tcW w:w="1820" w:type="dxa"/>
            <w:vAlign w:val="bottom"/>
          </w:tcPr>
          <w:p>
            <w:pPr>
              <w:ind w:left="1300"/>
              <w:spacing w:after="0"/>
              <w:rPr>
                <w:sz w:val="20"/>
                <w:szCs w:val="20"/>
                <w:color w:val="auto"/>
              </w:rPr>
            </w:pPr>
            <w:r>
              <w:rPr>
                <w:rFonts w:ascii="Courier New" w:cs="Courier New" w:eastAsia="Courier New" w:hAnsi="Courier New"/>
                <w:sz w:val="16"/>
                <w:szCs w:val="16"/>
                <w:color w:val="auto"/>
              </w:rPr>
              <w:t>TABLE</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OF CONTENTS</w:t>
            </w:r>
          </w:p>
        </w:tc>
        <w:tc>
          <w:tcPr>
            <w:tcW w:w="4020" w:type="dxa"/>
            <w:vAlign w:val="bottom"/>
          </w:tcPr>
          <w:p>
            <w:pPr>
              <w:spacing w:after="0"/>
              <w:rPr>
                <w:sz w:val="16"/>
                <w:szCs w:val="16"/>
                <w:color w:val="auto"/>
              </w:rPr>
            </w:pPr>
          </w:p>
        </w:tc>
      </w:tr>
      <w:tr>
        <w:trPr>
          <w:trHeight w:val="924"/>
        </w:trPr>
        <w:tc>
          <w:tcPr>
            <w:tcW w:w="1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7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FINANCIAL INFORMATION</w:t>
            </w:r>
          </w:p>
        </w:tc>
        <w:tc>
          <w:tcPr>
            <w:tcW w:w="4020" w:type="dxa"/>
            <w:vAlign w:val="bottom"/>
          </w:tcPr>
          <w:p>
            <w:pPr>
              <w:spacing w:after="0"/>
              <w:rPr>
                <w:sz w:val="24"/>
                <w:szCs w:val="24"/>
                <w:color w:val="auto"/>
              </w:rPr>
            </w:pPr>
          </w:p>
        </w:tc>
      </w:tr>
      <w:tr>
        <w:trPr>
          <w:trHeight w:val="554"/>
        </w:trPr>
        <w:tc>
          <w:tcPr>
            <w:tcW w:w="1780" w:type="dxa"/>
            <w:vAlign w:val="bottom"/>
          </w:tcPr>
          <w:p>
            <w:pPr>
              <w:ind w:left="480"/>
              <w:spacing w:after="0"/>
              <w:rPr>
                <w:sz w:val="20"/>
                <w:szCs w:val="20"/>
                <w:color w:val="auto"/>
              </w:rPr>
            </w:pPr>
            <w:r>
              <w:rPr>
                <w:rFonts w:ascii="Courier New" w:cs="Courier New" w:eastAsia="Courier New" w:hAnsi="Courier New"/>
                <w:sz w:val="16"/>
                <w:szCs w:val="16"/>
                <w:color w:val="auto"/>
              </w:rPr>
              <w:t>ITEM 1:</w:t>
            </w:r>
          </w:p>
        </w:tc>
        <w:tc>
          <w:tcPr>
            <w:tcW w:w="57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FINANCIAL STATEMENTS</w:t>
            </w:r>
          </w:p>
        </w:tc>
        <w:tc>
          <w:tcPr>
            <w:tcW w:w="4020" w:type="dxa"/>
            <w:vAlign w:val="bottom"/>
          </w:tcPr>
          <w:p>
            <w:pPr>
              <w:ind w:left="3540"/>
              <w:spacing w:after="0"/>
              <w:rPr>
                <w:sz w:val="20"/>
                <w:szCs w:val="20"/>
                <w:color w:val="auto"/>
              </w:rPr>
            </w:pPr>
            <w:r>
              <w:rPr>
                <w:rFonts w:ascii="Courier New" w:cs="Courier New" w:eastAsia="Courier New" w:hAnsi="Courier New"/>
                <w:sz w:val="16"/>
                <w:szCs w:val="16"/>
                <w:color w:val="auto"/>
              </w:rPr>
              <w:t>Page</w:t>
            </w:r>
          </w:p>
        </w:tc>
      </w:tr>
      <w:tr>
        <w:trPr>
          <w:trHeight w:val="554"/>
        </w:trPr>
        <w:tc>
          <w:tcPr>
            <w:tcW w:w="1780" w:type="dxa"/>
            <w:vAlign w:val="bottom"/>
          </w:tcPr>
          <w:p>
            <w:pPr>
              <w:spacing w:after="0"/>
              <w:rPr>
                <w:sz w:val="24"/>
                <w:szCs w:val="2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6"/>
                <w:szCs w:val="16"/>
                <w:color w:val="auto"/>
              </w:rPr>
              <w:t>Consolidated</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Balance Sheets at December 31, 1997 and</w:t>
            </w:r>
          </w:p>
        </w:tc>
        <w:tc>
          <w:tcPr>
            <w:tcW w:w="4020" w:type="dxa"/>
            <w:vAlign w:val="bottom"/>
          </w:tcPr>
          <w:p>
            <w:pPr>
              <w:spacing w:after="0"/>
              <w:rPr>
                <w:sz w:val="24"/>
                <w:szCs w:val="24"/>
                <w:color w:val="auto"/>
              </w:rPr>
            </w:pPr>
          </w:p>
        </w:tc>
      </w:tr>
      <w:tr>
        <w:trPr>
          <w:trHeight w:val="185"/>
        </w:trPr>
        <w:tc>
          <w:tcPr>
            <w:tcW w:w="1780" w:type="dxa"/>
            <w:vAlign w:val="bottom"/>
          </w:tcPr>
          <w:p>
            <w:pPr>
              <w:spacing w:after="0"/>
              <w:rPr>
                <w:sz w:val="16"/>
                <w:szCs w:val="16"/>
                <w:color w:val="auto"/>
              </w:rPr>
            </w:pPr>
          </w:p>
        </w:tc>
        <w:tc>
          <w:tcPr>
            <w:tcW w:w="1820" w:type="dxa"/>
            <w:vAlign w:val="bottom"/>
          </w:tcPr>
          <w:p>
            <w:pPr>
              <w:ind w:left="900"/>
              <w:spacing w:after="0"/>
              <w:rPr>
                <w:sz w:val="20"/>
                <w:szCs w:val="20"/>
                <w:color w:val="auto"/>
              </w:rPr>
            </w:pPr>
            <w:r>
              <w:rPr>
                <w:rFonts w:ascii="Courier New" w:cs="Courier New" w:eastAsia="Courier New" w:hAnsi="Courier New"/>
                <w:sz w:val="16"/>
                <w:szCs w:val="16"/>
                <w:color w:val="auto"/>
              </w:rPr>
              <w:t>September</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30, 1997</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rPr>
              <w:t>3</w:t>
            </w:r>
          </w:p>
        </w:tc>
      </w:tr>
      <w:tr>
        <w:trPr>
          <w:trHeight w:val="370"/>
        </w:trPr>
        <w:tc>
          <w:tcPr>
            <w:tcW w:w="1780" w:type="dxa"/>
            <w:vAlign w:val="bottom"/>
          </w:tcPr>
          <w:p>
            <w:pPr>
              <w:spacing w:after="0"/>
              <w:rPr>
                <w:sz w:val="24"/>
                <w:szCs w:val="2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6"/>
                <w:szCs w:val="16"/>
                <w:color w:val="auto"/>
              </w:rPr>
              <w:t>Consolidated</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Statements of Operations for the Three</w:t>
            </w:r>
          </w:p>
        </w:tc>
        <w:tc>
          <w:tcPr>
            <w:tcW w:w="4020" w:type="dxa"/>
            <w:vAlign w:val="bottom"/>
          </w:tcPr>
          <w:p>
            <w:pPr>
              <w:spacing w:after="0"/>
              <w:rPr>
                <w:sz w:val="24"/>
                <w:szCs w:val="24"/>
                <w:color w:val="auto"/>
              </w:rPr>
            </w:pPr>
          </w:p>
        </w:tc>
      </w:tr>
      <w:tr>
        <w:trPr>
          <w:trHeight w:val="185"/>
        </w:trPr>
        <w:tc>
          <w:tcPr>
            <w:tcW w:w="1780" w:type="dxa"/>
            <w:vAlign w:val="bottom"/>
          </w:tcPr>
          <w:p>
            <w:pPr>
              <w:spacing w:after="0"/>
              <w:rPr>
                <w:sz w:val="16"/>
                <w:szCs w:val="16"/>
                <w:color w:val="auto"/>
              </w:rPr>
            </w:pPr>
          </w:p>
        </w:tc>
        <w:tc>
          <w:tcPr>
            <w:tcW w:w="57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Months ended December 31, 1997 and 1996</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rPr>
              <w:t>4</w:t>
            </w:r>
          </w:p>
        </w:tc>
      </w:tr>
      <w:tr>
        <w:trPr>
          <w:trHeight w:val="370"/>
        </w:trPr>
        <w:tc>
          <w:tcPr>
            <w:tcW w:w="1780" w:type="dxa"/>
            <w:vAlign w:val="bottom"/>
          </w:tcPr>
          <w:p>
            <w:pPr>
              <w:spacing w:after="0"/>
              <w:rPr>
                <w:sz w:val="24"/>
                <w:szCs w:val="24"/>
                <w:color w:val="auto"/>
              </w:rPr>
            </w:pPr>
          </w:p>
        </w:tc>
        <w:tc>
          <w:tcPr>
            <w:tcW w:w="57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Condensed Consolidated Statements of Cash Flows for</w:t>
            </w:r>
          </w:p>
        </w:tc>
        <w:tc>
          <w:tcPr>
            <w:tcW w:w="4020" w:type="dxa"/>
            <w:vAlign w:val="bottom"/>
          </w:tcPr>
          <w:p>
            <w:pPr>
              <w:spacing w:after="0"/>
              <w:rPr>
                <w:sz w:val="24"/>
                <w:szCs w:val="24"/>
                <w:color w:val="auto"/>
              </w:rPr>
            </w:pPr>
          </w:p>
        </w:tc>
      </w:tr>
      <w:tr>
        <w:trPr>
          <w:trHeight w:val="185"/>
        </w:trPr>
        <w:tc>
          <w:tcPr>
            <w:tcW w:w="1780" w:type="dxa"/>
            <w:vAlign w:val="bottom"/>
          </w:tcPr>
          <w:p>
            <w:pPr>
              <w:spacing w:after="0"/>
              <w:rPr>
                <w:sz w:val="16"/>
                <w:szCs w:val="16"/>
                <w:color w:val="auto"/>
              </w:rPr>
            </w:pPr>
          </w:p>
        </w:tc>
        <w:tc>
          <w:tcPr>
            <w:tcW w:w="1820" w:type="dxa"/>
            <w:vAlign w:val="bottom"/>
          </w:tcPr>
          <w:p>
            <w:pPr>
              <w:ind w:left="900"/>
              <w:spacing w:after="0"/>
              <w:rPr>
                <w:sz w:val="20"/>
                <w:szCs w:val="20"/>
                <w:color w:val="auto"/>
              </w:rPr>
            </w:pPr>
            <w:r>
              <w:rPr>
                <w:rFonts w:ascii="Courier New" w:cs="Courier New" w:eastAsia="Courier New" w:hAnsi="Courier New"/>
                <w:sz w:val="16"/>
                <w:szCs w:val="16"/>
                <w:color w:val="auto"/>
              </w:rPr>
              <w:t>the Three</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Months ended December 31, 1997 and 1996</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rPr>
              <w:t>5</w:t>
            </w:r>
          </w:p>
        </w:tc>
      </w:tr>
      <w:tr>
        <w:trPr>
          <w:trHeight w:val="370"/>
        </w:trPr>
        <w:tc>
          <w:tcPr>
            <w:tcW w:w="1780" w:type="dxa"/>
            <w:vAlign w:val="bottom"/>
          </w:tcPr>
          <w:p>
            <w:pPr>
              <w:spacing w:after="0"/>
              <w:rPr>
                <w:sz w:val="24"/>
                <w:szCs w:val="24"/>
                <w:color w:val="auto"/>
              </w:rPr>
            </w:pPr>
          </w:p>
        </w:tc>
        <w:tc>
          <w:tcPr>
            <w:tcW w:w="57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rPr>
              <w:t>6</w:t>
            </w:r>
          </w:p>
        </w:tc>
      </w:tr>
      <w:tr>
        <w:trPr>
          <w:trHeight w:val="370"/>
        </w:trPr>
        <w:tc>
          <w:tcPr>
            <w:tcW w:w="1780" w:type="dxa"/>
            <w:vAlign w:val="bottom"/>
          </w:tcPr>
          <w:p>
            <w:pPr>
              <w:ind w:left="480"/>
              <w:spacing w:after="0"/>
              <w:rPr>
                <w:sz w:val="20"/>
                <w:szCs w:val="20"/>
                <w:color w:val="auto"/>
              </w:rPr>
            </w:pPr>
            <w:r>
              <w:rPr>
                <w:rFonts w:ascii="Courier New" w:cs="Courier New" w:eastAsia="Courier New" w:hAnsi="Courier New"/>
                <w:sz w:val="16"/>
                <w:szCs w:val="16"/>
                <w:color w:val="auto"/>
              </w:rPr>
              <w:t>ITEM 2:</w:t>
            </w:r>
          </w:p>
        </w:tc>
        <w:tc>
          <w:tcPr>
            <w:tcW w:w="1820" w:type="dxa"/>
            <w:vAlign w:val="bottom"/>
          </w:tcPr>
          <w:p>
            <w:pPr>
              <w:ind w:left="620"/>
              <w:spacing w:after="0"/>
              <w:rPr>
                <w:sz w:val="20"/>
                <w:szCs w:val="20"/>
                <w:color w:val="auto"/>
              </w:rPr>
            </w:pPr>
            <w:r>
              <w:rPr>
                <w:rFonts w:ascii="Courier New" w:cs="Courier New" w:eastAsia="Courier New" w:hAnsi="Courier New"/>
                <w:sz w:val="16"/>
                <w:szCs w:val="16"/>
                <w:color w:val="auto"/>
              </w:rPr>
              <w:t>MANAGEMENT'S</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DISCUSSION AND ANALYSIS</w:t>
            </w:r>
          </w:p>
        </w:tc>
        <w:tc>
          <w:tcPr>
            <w:tcW w:w="4020" w:type="dxa"/>
            <w:vAlign w:val="bottom"/>
          </w:tcPr>
          <w:p>
            <w:pPr>
              <w:spacing w:after="0"/>
              <w:rPr>
                <w:sz w:val="24"/>
                <w:szCs w:val="24"/>
                <w:color w:val="auto"/>
              </w:rPr>
            </w:pPr>
          </w:p>
        </w:tc>
      </w:tr>
      <w:tr>
        <w:trPr>
          <w:trHeight w:val="185"/>
        </w:trPr>
        <w:tc>
          <w:tcPr>
            <w:tcW w:w="1780" w:type="dxa"/>
            <w:vAlign w:val="bottom"/>
          </w:tcPr>
          <w:p>
            <w:pPr>
              <w:spacing w:after="0"/>
              <w:rPr>
                <w:sz w:val="16"/>
                <w:szCs w:val="16"/>
                <w:color w:val="auto"/>
              </w:rPr>
            </w:pPr>
          </w:p>
        </w:tc>
        <w:tc>
          <w:tcPr>
            <w:tcW w:w="57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OF FINANCIAL CONDITION AND RESULTS OF OPERATIONS</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rPr>
              <w:t>7</w:t>
            </w:r>
          </w:p>
        </w:tc>
      </w:tr>
      <w:tr>
        <w:trPr>
          <w:trHeight w:val="370"/>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39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70"/>
        </w:trPr>
        <w:tc>
          <w:tcPr>
            <w:tcW w:w="1780" w:type="dxa"/>
            <w:vAlign w:val="bottom"/>
          </w:tcPr>
          <w:p>
            <w:pPr>
              <w:ind w:left="480"/>
              <w:spacing w:after="0"/>
              <w:rPr>
                <w:sz w:val="20"/>
                <w:szCs w:val="20"/>
                <w:color w:val="auto"/>
              </w:rPr>
            </w:pPr>
            <w:r>
              <w:rPr>
                <w:rFonts w:ascii="Courier New" w:cs="Courier New" w:eastAsia="Courier New" w:hAnsi="Courier New"/>
                <w:sz w:val="16"/>
                <w:szCs w:val="16"/>
                <w:color w:val="auto"/>
              </w:rPr>
              <w:t>ITEM 6:</w:t>
            </w:r>
          </w:p>
        </w:tc>
        <w:tc>
          <w:tcPr>
            <w:tcW w:w="1820" w:type="dxa"/>
            <w:vAlign w:val="bottom"/>
          </w:tcPr>
          <w:p>
            <w:pPr>
              <w:ind w:left="620"/>
              <w:spacing w:after="0"/>
              <w:rPr>
                <w:sz w:val="20"/>
                <w:szCs w:val="20"/>
                <w:color w:val="auto"/>
              </w:rPr>
            </w:pPr>
            <w:r>
              <w:rPr>
                <w:rFonts w:ascii="Courier New" w:cs="Courier New" w:eastAsia="Courier New" w:hAnsi="Courier New"/>
                <w:sz w:val="16"/>
                <w:szCs w:val="16"/>
                <w:color w:val="auto"/>
              </w:rPr>
              <w:t>EXHIBITS AND</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REPORTS ON FORM 8-K</w:t>
            </w:r>
          </w:p>
        </w:tc>
        <w:tc>
          <w:tcPr>
            <w:tcW w:w="4020" w:type="dxa"/>
            <w:vAlign w:val="bottom"/>
          </w:tcPr>
          <w:p>
            <w:pPr>
              <w:ind w:left="3840"/>
              <w:spacing w:after="0"/>
              <w:rPr>
                <w:sz w:val="20"/>
                <w:szCs w:val="20"/>
                <w:color w:val="auto"/>
              </w:rPr>
            </w:pPr>
            <w:r>
              <w:rPr>
                <w:rFonts w:ascii="Courier New" w:cs="Courier New" w:eastAsia="Courier New" w:hAnsi="Courier New"/>
                <w:sz w:val="16"/>
                <w:szCs w:val="16"/>
                <w:color w:val="auto"/>
                <w:w w:val="83"/>
              </w:rPr>
              <w:t>12</w:t>
            </w:r>
          </w:p>
        </w:tc>
      </w:tr>
      <w:tr>
        <w:trPr>
          <w:trHeight w:val="554"/>
        </w:trPr>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20" w:type="dxa"/>
            <w:vAlign w:val="bottom"/>
          </w:tcPr>
          <w:p>
            <w:pPr>
              <w:ind w:left="80"/>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1520"/>
          </w:cols>
          <w:pgMar w:left="240" w:top="300" w:right="1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5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5"/>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PART I</w:t>
            </w:r>
          </w:p>
        </w:tc>
        <w:tc>
          <w:tcPr>
            <w:tcW w:w="566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ITEM 1</w:t>
            </w:r>
          </w:p>
        </w:tc>
        <w:tc>
          <w:tcPr>
            <w:tcW w:w="566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0"/>
        </w:trPr>
        <w:tc>
          <w:tcPr>
            <w:tcW w:w="580" w:type="dxa"/>
            <w:vAlign w:val="bottom"/>
          </w:tcPr>
          <w:p>
            <w:pPr>
              <w:spacing w:after="0"/>
              <w:rPr>
                <w:sz w:val="24"/>
                <w:szCs w:val="24"/>
                <w:color w:val="auto"/>
              </w:rPr>
            </w:pPr>
          </w:p>
        </w:tc>
        <w:tc>
          <w:tcPr>
            <w:tcW w:w="5660" w:type="dxa"/>
            <w:vAlign w:val="bottom"/>
          </w:tcPr>
          <w:p>
            <w:pPr>
              <w:jc w:val="center"/>
              <w:ind w:left="880"/>
              <w:spacing w:after="0"/>
              <w:rPr>
                <w:sz w:val="20"/>
                <w:szCs w:val="20"/>
                <w:color w:val="auto"/>
              </w:rPr>
            </w:pPr>
            <w:r>
              <w:rPr>
                <w:rFonts w:ascii="Courier New" w:cs="Courier New" w:eastAsia="Courier New" w:hAnsi="Courier New"/>
                <w:sz w:val="16"/>
                <w:szCs w:val="16"/>
                <w:color w:val="auto"/>
                <w:w w:val="99"/>
              </w:rPr>
              <w:t>GARTNER GROUP, INC.</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0"/>
        </w:trPr>
        <w:tc>
          <w:tcPr>
            <w:tcW w:w="580" w:type="dxa"/>
            <w:vAlign w:val="bottom"/>
          </w:tcPr>
          <w:p>
            <w:pPr>
              <w:spacing w:after="0"/>
              <w:rPr>
                <w:sz w:val="24"/>
                <w:szCs w:val="24"/>
                <w:color w:val="auto"/>
              </w:rPr>
            </w:pPr>
          </w:p>
        </w:tc>
        <w:tc>
          <w:tcPr>
            <w:tcW w:w="5660" w:type="dxa"/>
            <w:vAlign w:val="bottom"/>
          </w:tcPr>
          <w:p>
            <w:pPr>
              <w:jc w:val="center"/>
              <w:ind w:left="880"/>
              <w:spacing w:after="0"/>
              <w:rPr>
                <w:sz w:val="20"/>
                <w:szCs w:val="20"/>
                <w:color w:val="auto"/>
              </w:rPr>
            </w:pPr>
            <w:r>
              <w:rPr>
                <w:rFonts w:ascii="Courier New" w:cs="Courier New" w:eastAsia="Courier New" w:hAnsi="Courier New"/>
                <w:sz w:val="16"/>
                <w:szCs w:val="16"/>
                <w:color w:val="auto"/>
                <w:w w:val="99"/>
              </w:rPr>
              <w:t>Consolidated Balance Sheets</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580" w:type="dxa"/>
            <w:vAlign w:val="bottom"/>
          </w:tcPr>
          <w:p>
            <w:pPr>
              <w:spacing w:after="0"/>
              <w:rPr>
                <w:sz w:val="16"/>
                <w:szCs w:val="16"/>
                <w:color w:val="auto"/>
              </w:rPr>
            </w:pPr>
          </w:p>
        </w:tc>
        <w:tc>
          <w:tcPr>
            <w:tcW w:w="566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(In thousands, except share data)</w:t>
            </w:r>
          </w:p>
        </w:tc>
        <w:tc>
          <w:tcPr>
            <w:tcW w:w="2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739"/>
        </w:trPr>
        <w:tc>
          <w:tcPr>
            <w:tcW w:w="5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December 31,</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1997</w:t>
            </w: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ASSETS</w:t>
            </w:r>
          </w:p>
        </w:tc>
        <w:tc>
          <w:tcPr>
            <w:tcW w:w="5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$147,274</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$142,415</w:t>
            </w:r>
          </w:p>
        </w:tc>
      </w:tr>
      <w:tr>
        <w:trPr>
          <w:trHeight w:val="185"/>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29,192</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28,639</w:t>
            </w:r>
          </w:p>
        </w:tc>
      </w:tr>
      <w:tr>
        <w:trPr>
          <w:trHeight w:val="185"/>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Fees receivable, net</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216,114</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205,760</w:t>
            </w:r>
          </w:p>
        </w:tc>
      </w:tr>
      <w:tr>
        <w:trPr>
          <w:trHeight w:val="185"/>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Deferred commissions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19,167</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23,019</w:t>
            </w:r>
          </w:p>
        </w:tc>
      </w:tr>
      <w:tr>
        <w:trPr>
          <w:trHeight w:val="185"/>
        </w:trPr>
        <w:tc>
          <w:tcPr>
            <w:tcW w:w="6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27,609</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25,775</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439,356</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425,608</w:t>
            </w:r>
          </w:p>
        </w:tc>
      </w:tr>
      <w:tr>
        <w:trPr>
          <w:trHeight w:val="37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Long-term marketable securities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17,952</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17,691</w:t>
            </w:r>
          </w:p>
        </w:tc>
      </w:tr>
      <w:tr>
        <w:trPr>
          <w:trHeight w:val="185"/>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Property, equipment and leasehold improvements, net</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44,899</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44,102</w:t>
            </w:r>
          </w:p>
        </w:tc>
      </w:tr>
      <w:tr>
        <w:trPr>
          <w:trHeight w:val="185"/>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Intangible assets, net</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136,304</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132,195</w:t>
            </w:r>
          </w:p>
        </w:tc>
      </w:tr>
      <w:tr>
        <w:trPr>
          <w:trHeight w:val="185"/>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38,129</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25,716</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$676,640</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$645,312</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Accounts payable and accrued liabilities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$78,982</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$ 85,411</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Commissions payable</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7,994</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16,979</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Accrued bonuses payable</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5,829</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15,722</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 revenues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245,282</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254,071</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338,087</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372,183</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554"/>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Long-term deferred revenues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3,933</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3,259</w:t>
            </w:r>
          </w:p>
        </w:tc>
      </w:tr>
      <w:tr>
        <w:trPr>
          <w:trHeight w:val="37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 $.0005 par value</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219,313</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179,017</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Cumulative translation adjustment</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(2,289)</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(1,098)</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Accumulated earnings</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130,782</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105,138</w:t>
            </w:r>
          </w:p>
        </w:tc>
      </w:tr>
      <w:tr>
        <w:trPr>
          <w:trHeight w:val="185"/>
        </w:trPr>
        <w:tc>
          <w:tcPr>
            <w:tcW w:w="6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Treasury stock, at cost</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(13,241)</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(13,241)</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6"/>
                <w:szCs w:val="16"/>
                <w:color w:val="auto"/>
              </w:rPr>
              <w:t>Total stockholders' equity</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334,620</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269,870</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8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$676,640</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$645,312</w:t>
            </w:r>
          </w:p>
        </w:tc>
      </w:tr>
      <w:tr>
        <w:trPr>
          <w:trHeight w:val="185"/>
        </w:trPr>
        <w:tc>
          <w:tcPr>
            <w:tcW w:w="5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bl>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pacing w:after="0" w:line="373"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80"/>
          </w:cols>
          <w:pgMar w:left="240" w:top="300" w:right="117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368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For the three months ended</w:t>
            </w:r>
          </w:p>
        </w:tc>
      </w:tr>
      <w:tr>
        <w:trPr>
          <w:trHeight w:val="185"/>
        </w:trPr>
        <w:tc>
          <w:tcPr>
            <w:tcW w:w="4860" w:type="dxa"/>
            <w:vAlign w:val="bottom"/>
          </w:tcPr>
          <w:p>
            <w:pPr>
              <w:spacing w:after="0"/>
              <w:rPr>
                <w:sz w:val="16"/>
                <w:szCs w:val="16"/>
                <w:color w:val="auto"/>
              </w:rPr>
            </w:pPr>
          </w:p>
        </w:tc>
        <w:tc>
          <w:tcPr>
            <w:tcW w:w="368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860" w:type="dxa"/>
            <w:vAlign w:val="bottom"/>
          </w:tcPr>
          <w:p>
            <w:pPr>
              <w:spacing w:after="0"/>
              <w:rPr>
                <w:sz w:val="16"/>
                <w:szCs w:val="16"/>
                <w:color w:val="auto"/>
              </w:rPr>
            </w:pPr>
          </w:p>
        </w:tc>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60" w:type="dxa"/>
            <w:vAlign w:val="bottom"/>
          </w:tcPr>
          <w:p>
            <w:pPr>
              <w:spacing w:after="0"/>
              <w:rPr>
                <w:sz w:val="16"/>
                <w:szCs w:val="16"/>
                <w:color w:val="auto"/>
              </w:rPr>
            </w:pP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1997</w:t>
            </w:r>
          </w:p>
        </w:tc>
        <w:tc>
          <w:tcPr>
            <w:tcW w:w="15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Advisory and measurement</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$115,989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$92,090</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Learning</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4,963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4,064</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Other, principally consulting and conferences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41,715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29,213</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ind w:left="380"/>
              <w:spacing w:after="0"/>
              <w:rPr>
                <w:sz w:val="20"/>
                <w:szCs w:val="20"/>
                <w:color w:val="auto"/>
              </w:rPr>
            </w:pPr>
            <w:r>
              <w:rPr>
                <w:rFonts w:ascii="Courier New" w:cs="Courier New" w:eastAsia="Courier New" w:hAnsi="Courier New"/>
                <w:sz w:val="16"/>
                <w:szCs w:val="16"/>
                <w:color w:val="auto"/>
              </w:rPr>
              <w:t>Total revenues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162,667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125,367</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Cost of services and product development</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66,403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50,523</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48,995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39,234</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3,940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2,595</w:t>
            </w: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Amortization of intangibles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2,184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1,496</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ind w:left="380"/>
              <w:spacing w:after="0"/>
              <w:rPr>
                <w:sz w:val="20"/>
                <w:szCs w:val="20"/>
                <w:color w:val="auto"/>
              </w:rPr>
            </w:pPr>
            <w:r>
              <w:rPr>
                <w:rFonts w:ascii="Courier New" w:cs="Courier New" w:eastAsia="Courier New" w:hAnsi="Courier New"/>
                <w:sz w:val="16"/>
                <w:szCs w:val="16"/>
                <w:color w:val="auto"/>
              </w:rPr>
              <w:t>Total costs and expenses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121,522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93,848</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41,145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31,519</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2,202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1,316</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43,347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32,835</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17,703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13,793</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$25,644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$19,042</w:t>
            </w:r>
          </w:p>
        </w:tc>
      </w:tr>
      <w:tr>
        <w:trPr>
          <w:trHeight w:val="185"/>
        </w:trPr>
        <w:tc>
          <w:tcPr>
            <w:tcW w:w="4860" w:type="dxa"/>
            <w:vAlign w:val="bottom"/>
          </w:tcPr>
          <w:p>
            <w:pPr>
              <w:spacing w:after="0"/>
              <w:rPr>
                <w:sz w:val="16"/>
                <w:szCs w:val="16"/>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0"/>
        </w:trPr>
        <w:tc>
          <w:tcPr>
            <w:tcW w:w="4860" w:type="dxa"/>
            <w:vAlign w:val="bottom"/>
          </w:tcPr>
          <w:p>
            <w:pPr>
              <w:ind w:left="280"/>
              <w:spacing w:after="0"/>
              <w:rPr>
                <w:sz w:val="20"/>
                <w:szCs w:val="20"/>
                <w:color w:val="auto"/>
              </w:rPr>
            </w:pPr>
            <w:r>
              <w:rPr>
                <w:rFonts w:ascii="Courier New" w:cs="Courier New" w:eastAsia="Courier New" w:hAnsi="Courier New"/>
                <w:sz w:val="16"/>
                <w:szCs w:val="16"/>
                <w:color w:val="auto"/>
              </w:rPr>
              <w:t>Basic</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$0.26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r>
      <w:tr>
        <w:trPr>
          <w:trHeight w:val="185"/>
        </w:trPr>
        <w:tc>
          <w:tcPr>
            <w:tcW w:w="4860" w:type="dxa"/>
            <w:vAlign w:val="bottom"/>
          </w:tcPr>
          <w:p>
            <w:pPr>
              <w:ind w:left="280"/>
              <w:spacing w:after="0"/>
              <w:rPr>
                <w:sz w:val="20"/>
                <w:szCs w:val="20"/>
                <w:color w:val="auto"/>
              </w:rPr>
            </w:pPr>
            <w:r>
              <w:rPr>
                <w:rFonts w:ascii="Courier New" w:cs="Courier New" w:eastAsia="Courier New" w:hAnsi="Courier New"/>
                <w:sz w:val="16"/>
                <w:szCs w:val="16"/>
                <w:color w:val="auto"/>
              </w:rPr>
              <w:t>Diluted</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$0.25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r>
      <w:tr>
        <w:trPr>
          <w:trHeight w:val="370"/>
        </w:trPr>
        <w:tc>
          <w:tcPr>
            <w:tcW w:w="486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4860" w:type="dxa"/>
            <w:vAlign w:val="bottom"/>
          </w:tcPr>
          <w:p>
            <w:pPr>
              <w:ind w:left="280"/>
              <w:spacing w:after="0"/>
              <w:rPr>
                <w:sz w:val="20"/>
                <w:szCs w:val="20"/>
                <w:color w:val="auto"/>
              </w:rPr>
            </w:pPr>
            <w:r>
              <w:rPr>
                <w:rFonts w:ascii="Courier New" w:cs="Courier New" w:eastAsia="Courier New" w:hAnsi="Courier New"/>
                <w:sz w:val="16"/>
                <w:szCs w:val="16"/>
                <w:color w:val="auto"/>
              </w:rPr>
              <w:t>Basic</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97,838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93,327</w:t>
            </w:r>
          </w:p>
        </w:tc>
      </w:tr>
      <w:tr>
        <w:trPr>
          <w:trHeight w:val="185"/>
        </w:trPr>
        <w:tc>
          <w:tcPr>
            <w:tcW w:w="4860" w:type="dxa"/>
            <w:vAlign w:val="bottom"/>
          </w:tcPr>
          <w:p>
            <w:pPr>
              <w:ind w:left="280"/>
              <w:spacing w:after="0"/>
              <w:rPr>
                <w:sz w:val="20"/>
                <w:szCs w:val="20"/>
                <w:color w:val="auto"/>
              </w:rPr>
            </w:pPr>
            <w:r>
              <w:rPr>
                <w:rFonts w:ascii="Courier New" w:cs="Courier New" w:eastAsia="Courier New" w:hAnsi="Courier New"/>
                <w:sz w:val="16"/>
                <w:szCs w:val="16"/>
                <w:color w:val="auto"/>
              </w:rPr>
              <w:t>Diluted</w:t>
            </w:r>
          </w:p>
        </w:tc>
        <w:tc>
          <w:tcPr>
            <w:tcW w:w="2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104,412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101,951</w:t>
            </w:r>
          </w:p>
        </w:tc>
      </w:tr>
    </w:tbl>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pacing w:after="0" w:line="373"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GARTNER GROUP, INC.</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tcPr>
          <w:p>
            <w:pPr>
              <w:ind w:left="3160"/>
              <w:spacing w:after="0"/>
              <w:rPr>
                <w:sz w:val="20"/>
                <w:szCs w:val="20"/>
                <w:color w:val="auto"/>
              </w:rPr>
            </w:pPr>
            <w:r>
              <w:rPr>
                <w:rFonts w:ascii="Courier New" w:cs="Courier New" w:eastAsia="Courier New" w:hAnsi="Courier New"/>
                <w:sz w:val="16"/>
                <w:szCs w:val="16"/>
                <w:color w:val="auto"/>
              </w:rPr>
              <w:t>(In thousands)</w:t>
            </w:r>
          </w:p>
        </w:tc>
        <w:tc>
          <w:tcPr>
            <w:tcW w:w="20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39"/>
        </w:trPr>
        <w:tc>
          <w:tcPr>
            <w:tcW w:w="6780" w:type="dxa"/>
            <w:vAlign w:val="bottom"/>
          </w:tcPr>
          <w:p>
            <w:pPr>
              <w:spacing w:after="0"/>
              <w:rPr>
                <w:sz w:val="24"/>
                <w:szCs w:val="24"/>
                <w:color w:val="auto"/>
              </w:rPr>
            </w:pPr>
          </w:p>
        </w:tc>
        <w:tc>
          <w:tcPr>
            <w:tcW w:w="378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For the three months ended</w:t>
            </w:r>
          </w:p>
        </w:tc>
      </w:tr>
      <w:tr>
        <w:trPr>
          <w:trHeight w:val="185"/>
        </w:trPr>
        <w:tc>
          <w:tcPr>
            <w:tcW w:w="6780" w:type="dxa"/>
            <w:vAlign w:val="bottom"/>
          </w:tcPr>
          <w:p>
            <w:pPr>
              <w:spacing w:after="0"/>
              <w:rPr>
                <w:sz w:val="16"/>
                <w:szCs w:val="16"/>
                <w:color w:val="auto"/>
              </w:rPr>
            </w:pPr>
          </w:p>
        </w:tc>
        <w:tc>
          <w:tcPr>
            <w:tcW w:w="3780" w:type="dxa"/>
            <w:vAlign w:val="bottom"/>
            <w:gridSpan w:val="2"/>
          </w:tcPr>
          <w:p>
            <w:pPr>
              <w:jc w:val="right"/>
              <w:ind w:right="116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780" w:type="dxa"/>
            <w:vAlign w:val="bottom"/>
          </w:tcPr>
          <w:p>
            <w:pPr>
              <w:spacing w:after="0"/>
              <w:rPr>
                <w:sz w:val="16"/>
                <w:szCs w:val="16"/>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1997</w:t>
            </w:r>
          </w:p>
        </w:tc>
        <w:tc>
          <w:tcPr>
            <w:tcW w:w="17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5"/>
        </w:trPr>
        <w:tc>
          <w:tcPr>
            <w:tcW w:w="6780" w:type="dxa"/>
            <w:vAlign w:val="bottom"/>
          </w:tcPr>
          <w:p>
            <w:pPr>
              <w:ind w:left="380"/>
              <w:spacing w:after="0"/>
              <w:rPr>
                <w:sz w:val="20"/>
                <w:szCs w:val="20"/>
                <w:color w:val="auto"/>
              </w:rPr>
            </w:pPr>
            <w:r>
              <w:rPr>
                <w:rFonts w:ascii="Courier New" w:cs="Courier New" w:eastAsia="Courier New" w:hAnsi="Courier New"/>
                <w:sz w:val="16"/>
                <w:szCs w:val="16"/>
                <w:color w:val="auto"/>
              </w:rPr>
              <w:t>Cash (used in) provided by operating activities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$(10,276)</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$9,161</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Payment for businesses acquired (excluding cash acquired)</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(6,537)</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Investments in unconsolidated subsidiaries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(10,507)</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Addition of property, equipment and leasehold improvements, net</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(4,359)</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(2,921)</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(Purchase) sale of marketable securities, net</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(814)</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9,784</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Loans to officers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(2,475)</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Other investing</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ind w:left="580"/>
              <w:spacing w:after="0"/>
              <w:rPr>
                <w:sz w:val="20"/>
                <w:szCs w:val="20"/>
                <w:color w:val="auto"/>
              </w:rPr>
            </w:pPr>
            <w:r>
              <w:rPr>
                <w:rFonts w:ascii="Courier New" w:cs="Courier New" w:eastAsia="Courier New" w:hAnsi="Courier New"/>
                <w:sz w:val="16"/>
                <w:szCs w:val="16"/>
                <w:color w:val="auto"/>
              </w:rPr>
              <w:t>Cash (used in) provided by investing activities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(24,692)</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5,159</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Issuance of common stock</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16,165</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5,174</w:t>
            </w:r>
          </w:p>
        </w:tc>
      </w:tr>
      <w:tr>
        <w:trPr>
          <w:trHeight w:val="185"/>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Tax benefits of stock transactions with employees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24,131</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7,639</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ind w:left="580"/>
              <w:spacing w:after="0"/>
              <w:rPr>
                <w:sz w:val="20"/>
                <w:szCs w:val="20"/>
                <w:color w:val="auto"/>
              </w:rPr>
            </w:pPr>
            <w:r>
              <w:rPr>
                <w:rFonts w:ascii="Courier New" w:cs="Courier New" w:eastAsia="Courier New" w:hAnsi="Courier New"/>
                <w:sz w:val="16"/>
                <w:szCs w:val="16"/>
                <w:color w:val="auto"/>
              </w:rPr>
              <w:t>Cash provided by financing activities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40,296</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12,813</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5,328</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27,133</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Effect of exchange rates on cash and cash equivalents</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(469)</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142,415</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96,755</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$147,274</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$123,697</w:t>
            </w:r>
          </w:p>
        </w:tc>
      </w:tr>
      <w:tr>
        <w:trPr>
          <w:trHeight w:val="185"/>
        </w:trPr>
        <w:tc>
          <w:tcPr>
            <w:tcW w:w="6780" w:type="dxa"/>
            <w:vAlign w:val="bottom"/>
          </w:tcPr>
          <w:p>
            <w:pPr>
              <w:spacing w:after="0"/>
              <w:rPr>
                <w:sz w:val="16"/>
                <w:szCs w:val="16"/>
                <w:color w:val="auto"/>
              </w:rPr>
            </w:pPr>
          </w:p>
        </w:tc>
        <w:tc>
          <w:tcPr>
            <w:tcW w:w="2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See accompanying notes.</w:t>
      </w:r>
    </w:p>
    <w:p>
      <w:pPr>
        <w:spacing w:after="0" w:line="373"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60"/>
          </w:cols>
          <w:pgMar w:left="240" w:top="300" w:right="109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Interim Consolidated Financial Statements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These interim consolidated financial statements have been prepared in accordance with generally accepted accounting principles for interim financial information and with the instructions to Form 10-Q and should be read in conjunction with the consolidated financial statements and related notes of Gartner Group, Inc. (the "Company") on Form 10-K for the fiscal year ended September 30, 1997. In the opinion of management, all adjustments (consisting of normal recurring adjustments) considered necessary for a fair presentation of financial position, results of operations and cash flows at the dates and for the periods presented have been included. The results of operations for the three month period ended December 31, 1997 may not be indicative of the results of operations for the remainder of fiscal 1998.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Loans to Officers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On December 18, 1997, with the Board of Directors approval, the Company provided additional loans totaling approximately $2.5 million to certain officers to facilitate the purchase of common stock arising out of the exercise of stock options. The loan proceeds were not used to fund the option exercise price of the common stock acquired. The loans are full recourse obligations to the officers and are also secured by shares of the Company's stock held by the officers. The loans bear interest at an annual rate of 5.6% and mature on December 17, 1999. The principal amount of the loans are included in Other Assets on the December 31, 1997 Consolidated Balance Sheet.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Acquisitions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October 29, 1997, the Company acquired a 32% membership interest in Jupiter Communications, LLC ("Jupiter") for $8.0 million in cash. Jupiter is a provider of analyst-based research and strategic planning services to the consumer and Internet and interactive industry. This investment will be accounted for under the equity method.</w:t>
      </w:r>
    </w:p>
    <w:p>
      <w:pPr>
        <w:spacing w:after="0" w:line="187"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 addition, during the first quarter of fiscal 1998, the Company completed additional acquisitions for consideration of $6.5 million in cash. These acquisitions have been accounted for under the purchase method and substantially all of the purchase price has been assigned to goodwill.</w:t>
      </w:r>
    </w:p>
    <w:p>
      <w:pPr>
        <w:spacing w:after="0" w:line="190"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On January 30, 1998, the Company acquired all the assets and assumed the liabilities of Interpose, Inc., for $7.5 million in cash and $0.5 million in Class A Common Stock of the Company. Interpose, Inc. is a leading provider of total cost of ownership (TCO) measurement and analysis tools and training.</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860" w:right="329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discussion and analysis below contains trend analysis and other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risk factors set forth below under "Quarterly Operating Income Trends," "Other Factors that May Affect Future Performance" and elsewhere in this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following table sets forth certain results of operations as a percentage of total revenues: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15"/>
                <w:szCs w:val="15"/>
                <w:color w:val="auto"/>
              </w:rPr>
            </w:pPr>
          </w:p>
        </w:tc>
        <w:tc>
          <w:tcPr>
            <w:tcW w:w="374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For the three months ended</w:t>
            </w:r>
          </w:p>
        </w:tc>
        <w:tc>
          <w:tcPr>
            <w:tcW w:w="200" w:type="dxa"/>
            <w:vAlign w:val="bottom"/>
          </w:tcPr>
          <w:p>
            <w:pPr>
              <w:spacing w:after="0"/>
              <w:rPr>
                <w:sz w:val="15"/>
                <w:szCs w:val="15"/>
                <w:color w:val="auto"/>
              </w:rPr>
            </w:pPr>
          </w:p>
        </w:tc>
      </w:tr>
      <w:tr>
        <w:trPr>
          <w:trHeight w:val="185"/>
        </w:trPr>
        <w:tc>
          <w:tcPr>
            <w:tcW w:w="4800" w:type="dxa"/>
            <w:vAlign w:val="bottom"/>
          </w:tcPr>
          <w:p>
            <w:pPr>
              <w:spacing w:after="0"/>
              <w:rPr>
                <w:sz w:val="16"/>
                <w:szCs w:val="16"/>
                <w:color w:val="auto"/>
              </w:rPr>
            </w:pPr>
          </w:p>
        </w:tc>
        <w:tc>
          <w:tcPr>
            <w:tcW w:w="3740" w:type="dxa"/>
            <w:vAlign w:val="bottom"/>
            <w:gridSpan w:val="3"/>
          </w:tcPr>
          <w:p>
            <w:pPr>
              <w:jc w:val="right"/>
              <w:ind w:right="960"/>
              <w:spacing w:after="0"/>
              <w:rPr>
                <w:sz w:val="20"/>
                <w:szCs w:val="20"/>
                <w:color w:val="auto"/>
              </w:rPr>
            </w:pPr>
            <w:r>
              <w:rPr>
                <w:rFonts w:ascii="Courier New" w:cs="Courier New" w:eastAsia="Courier New" w:hAnsi="Courier New"/>
                <w:sz w:val="16"/>
                <w:szCs w:val="16"/>
                <w:color w:val="auto"/>
              </w:rPr>
              <w:t>December 31,</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15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Advisory and measurement</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71.3</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Learning</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3.1</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Other, principally consulting and conferences</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25.6</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ind w:left="380"/>
              <w:spacing w:after="0"/>
              <w:rPr>
                <w:sz w:val="20"/>
                <w:szCs w:val="20"/>
                <w:color w:val="auto"/>
              </w:rPr>
            </w:pPr>
            <w:r>
              <w:rPr>
                <w:rFonts w:ascii="Courier New" w:cs="Courier New" w:eastAsia="Courier New" w:hAnsi="Courier New"/>
                <w:sz w:val="16"/>
                <w:szCs w:val="16"/>
                <w:color w:val="auto"/>
              </w:rPr>
              <w:t>Total revenues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16"/>
                <w:szCs w:val="16"/>
                <w:color w:val="auto"/>
              </w:rPr>
            </w:pP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Cost of services and product development</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40.3</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30.1</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Amortization of intangibles</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20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ind w:left="280"/>
              <w:spacing w:after="0"/>
              <w:rPr>
                <w:sz w:val="20"/>
                <w:szCs w:val="20"/>
                <w:color w:val="auto"/>
              </w:rPr>
            </w:pPr>
            <w:r>
              <w:rPr>
                <w:rFonts w:ascii="Courier New" w:cs="Courier New" w:eastAsia="Courier New" w:hAnsi="Courier New"/>
                <w:sz w:val="16"/>
                <w:szCs w:val="16"/>
                <w:color w:val="auto"/>
              </w:rPr>
              <w:t>Total costs and expenses</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74.7</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74.9</w:t>
            </w: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25.3</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25.1</w:t>
            </w:r>
          </w:p>
        </w:tc>
        <w:tc>
          <w:tcPr>
            <w:tcW w:w="200" w:type="dxa"/>
            <w:vAlign w:val="bottom"/>
          </w:tcPr>
          <w:p>
            <w:pPr>
              <w:spacing w:after="0"/>
              <w:rPr>
                <w:sz w:val="24"/>
                <w:szCs w:val="24"/>
                <w:color w:val="auto"/>
              </w:rPr>
            </w:pP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26.6</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200" w:type="dxa"/>
            <w:vAlign w:val="bottom"/>
          </w:tcPr>
          <w:p>
            <w:pPr>
              <w:spacing w:after="0"/>
              <w:rPr>
                <w:sz w:val="24"/>
                <w:szCs w:val="24"/>
                <w:color w:val="auto"/>
              </w:rPr>
            </w:pP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200" w:type="dxa"/>
            <w:vAlign w:val="bottom"/>
          </w:tcPr>
          <w:p>
            <w:pPr>
              <w:spacing w:after="0"/>
              <w:rPr>
                <w:sz w:val="24"/>
                <w:szCs w:val="24"/>
                <w:color w:val="auto"/>
              </w:rPr>
            </w:pP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15.8</w:t>
            </w:r>
          </w:p>
        </w:tc>
        <w:tc>
          <w:tcPr>
            <w:tcW w:w="3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22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TOTAL REVENUES increased 30% to $162.7 million for the first quarter of fiscal 1998 from $125.4 million for the first quarter of fiscal 1997. This growth consisted of a 26% increase in advisory (excluding consulting) and measurement services, a 22% increase in learning revenue and a 43% increase in other revenue (principally from consulting services and conferences). Advisory and measurement services encompass services which, on an ongoing basis, highlight industry developments, review new products and technologies, provide quantitative market research, analyze industry trends within a particular technology or market sector and provide comparative analysis of the information technology operations of organizations. Learning represents technology-based training products and related services. The Company enters into annual renewable contracts for advisory and measurement services and learning</w:t>
      </w:r>
    </w:p>
    <w:p>
      <w:pPr>
        <w:sectPr>
          <w:pgSz w:w="11900" w:h="16838" w:orient="portrait"/>
          <w:cols w:equalWidth="0" w:num="1">
            <w:col w:w="10219"/>
          </w:cols>
          <w:pgMar w:left="240" w:top="300" w:right="1440" w:bottom="1440" w:gutter="0" w:footer="0" w:header="0"/>
        </w:sectPr>
      </w:pPr>
    </w:p>
    <w:p>
      <w:pPr>
        <w:spacing w:after="0" w:line="374"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products ("AML"). Revenues from advisory and measurement services as well as learning are recognized as services and products are delivered, and as the Company's obligation to the client is completed over the contract period. The increase in AML revenues reflects the combined successes of increased penetration of the existing client base, investments in overseas distribution and incremental revenue from current and prior year acquisitions.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value increased 37% to $519.7 million at December 31, 1997 versus</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$380.0 million at December 31, 1996. The Company believes that contract value, which is calculated as the annualized value of all advisory, measurement and learning contracts in effect at a given point in time, without regard to the duration of the contracts outstanding at such time, is a significant measure of the Company's volume of business. Historically, a substantial portion of client companies have renewed these services and products for an equal or higher level of total value each year, and annual revenues from these services in any fiscal year have approximated contract value at the beginning of the fiscal year. As of December 31, 1997, 85% of the Company's clients had renewed one or more services in the last twelve months. However, this renewal rate is not necessarily indicative of the rate of retention of the Company's revenue base, and contract value at any time may not be indicative of future AML revenues or cash flows if the rate of renewal of contracts, or the timing of new business were to significantly change during the following twelve months compared to historic patterns. Total deferred revenues of $249.2 million and $257.3 million at December 31, 1997 and September 30, 1997, respectively, as presented in the Company's Consolidated Balance Sheets, represent unamortized revenues from AML services and products plus unamortized revenues of certain other products and services not included in AML services and products. Deferred revenues do not directly correlate to contract value as of the same date, since contract value represents an annualized value of all outstanding contracts without regard to the duration of such contracts, and deferred revenue represents unamortized revenue remaining on all outstanding contracts including AML and certain other services and products not included in AML revenue.</w:t>
      </w:r>
    </w:p>
    <w:p>
      <w:pPr>
        <w:spacing w:after="0" w:line="19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Other revenues for the first quarter of fiscal 1998 increased 43% to $41.7 million compared to $29.2 million for the first quarter of fiscal 1997. Other revenues consist principally of revenues from consulting engagements and conferences. The increase of $12.5 million for the first quarter of fiscal 1998 over the first quarter of fiscal 1997 was primarily due to increased revenues from the Company's Symposia conferences and ITxpo exhibition events held annually during the first quarter of the fiscal year. Consulting services also contributed to the revenue growth for the first quarter of 1998 compared to the first quarter of 1997 as a result of the expansion of consulting services to new geographic regions and incremental revenue from fiscal 1997 and 1998 acquisitions.</w:t>
      </w:r>
    </w:p>
    <w:p>
      <w:pPr>
        <w:spacing w:after="0" w:line="190"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OPERATING INCOME rose 31% to $41.1 million, for the first quarter of fiscal 1998, from $31.5 for the first quarter of fiscal 1997. Operating income has increased reflecting continued revenue growth coupled with controlled spending that has allowed the Company to gain economies of scale through the leveraging of its resources (additional revenues have been generated using essentially the same resources) while investing in both the Learning business as well as global product and distribution expansion. Although Datapro Information Services, Inc. ("Datapro"), which was acquired in August 1997, had an adverse effect on first quarter operating margins due to costs associated with the initial stages of integration, operating income as a percent of revenues increased to 25.3% for the first quarter of 1998 from 25.1% for the first quarter of 1997. The effect of fluctuations in foreign exchange rates did not have a significant impact on operating income during the first quarter of fiscal 1998.</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While costs and expenses increased to $121.5 million in the first quarter of fiscal 1998 from $93.8 million in the first quarter of fiscal 1997, such costs have remained a consistent 75% of total revenues. The increase in cost of services and product development expenses to $66.4 million for the first quarter of fiscal 1998 from $50.5 million for the first quarter of fiscal 1997 reflects the need to provide additional support to the growing client base, including investment in product development costs (particularly for</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technology-based training products) and costs associated with conferences.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which were $49.0 million and $39.2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the first quarter of fiscal 1998 and 1997, respectively,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result of the Company's continuing expansion of worldwide distribution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channels and resulting commissions earned on the revenue generated and due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selling and marketing costs associated with acquisitions. Although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added general and administrative resources to support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growing revenue base, and has incurred additional costs associated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 of acquired companies, it has benefited from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economies of scale and leveraging of its general and administrative staff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Consequently, selling, general and administrative expenses were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total revenues for the first quarter of fiscal 1998 as compared to 31%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same period in the prior fiscal year.</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Depreciation expense increased to $3.9 million for the first quarter of fiscal 1998 from $2.6 million for the first quarter of 1997 due primarily to capital spending required to support business growth. Amortization of intangibles increased by $0.7 million for the first quarter of fiscal 1998 as compared to the same period in fiscal 1997, reflecting primarily goodwill associated with fiscal 1997 acquisitions.</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INTEREST INCOME, NET was $2.2 million for the first quarter of fiscal 1998, up from $1.3 million from the first quarter of fiscal 1997. This improvement resulted from interest income accumulating on the Company's total cash, cash equivalents and marketable securities ($194.4 million at December 31, 1997, versus $147.0 million at December 31, 1996 and $188.7 million at September 30, 1997) and changes in the mix to long-term investments which generally have higher interest yields.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PROVISION FOR INCOME TAXES increased to $17.7 million in the first quarter of fiscal 1998, compared to $13.8 million for the first quarter fiscal 1997. The effective tax rate for the first quarter of fiscal 1998 was 41%, a decrease from 42% for the same period last fiscal year. The decrease in the effective tax rate is due to on-going tax planning initiatives.</w:t>
      </w:r>
    </w:p>
    <w:p>
      <w:pPr>
        <w:spacing w:after="0" w:line="187" w:lineRule="exact"/>
        <w:rPr>
          <w:sz w:val="20"/>
          <w:szCs w:val="20"/>
          <w:color w:val="auto"/>
        </w:rPr>
      </w:pPr>
    </w:p>
    <w:p>
      <w:pPr>
        <w:ind w:right="2539"/>
        <w:spacing w:after="0" w:line="265" w:lineRule="auto"/>
        <w:rPr>
          <w:sz w:val="20"/>
          <w:szCs w:val="20"/>
          <w:color w:val="auto"/>
        </w:rPr>
      </w:pPr>
      <w:r>
        <w:rPr>
          <w:rFonts w:ascii="Courier New" w:cs="Courier New" w:eastAsia="Courier New" w:hAnsi="Courier New"/>
          <w:sz w:val="15"/>
          <w:szCs w:val="15"/>
          <w:color w:val="auto"/>
        </w:rPr>
        <w:t>DILUTED EARNINGS PER COMMON SHARE increased 32% to 25 cents per common share for the first quarter of fiscal 1998, compared to 19 cents for the first quarter of fiscal 1997. Basic earnings increased 30% to 26 cents per common share for the first quarter of fiscal 1998 from 20 cents for the first quarter of fiscal 1997.</w:t>
      </w:r>
    </w:p>
    <w:p>
      <w:pPr>
        <w:spacing w:after="0" w:line="17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QUARTERLY OPERATING INCOME TRENDS. Historically, the Company has realized significant renewals and growth in contract value at the end of quarters. The fourth quarter of the fiscal year typically is the fastest growth quarter for contract value and the first quarter of the fiscal year typically represents the slowest growth quarter as it is the quarter in which the largest amount of contact renewals are due. As a result of the quarterly trends in contract value and overall business volume, fees receivable, deferred revenues, deferred commissions and commissions payable reflect this activity and typically show substantial increases at quarter end, particularly at fiscal year end. All contracts are billable upon signing, absent special terms granted on a limited basis from time to time. All contracts are non-cancelable and non-refundable, except for government contracts which have a 30-day cancellation clause, but which have not produced material cancellations to date. The Company's policy is to record at the time of signing of an AML contract the entire amount of the contract billable as deferred revenue and fees receivable. The Company also records the related commission obligation upon the signing of the contract and amortizes the corresponding deferred commission expense over the contract period in which the related AML revenues are earned and amortized to income.</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Historically, AML revenues have increased significantly in the first quarter of the ensuing fiscal year over the immediately preceding quarter and other revenues have increased similarly due to annual conferences and exhibition events held in the first quarter. Additionally, operating income margin (operating income as a percentage of total revenues) typically improves in the first quarter of the fiscal year versus the</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immediately preceding quarter. The operating income margin improvement in the first quarter of the fiscal year is due to the increase in operating income generated on the first quarter Symposia and ITxpo exhibition events plus an increase in AML revenue upon which the Company is able to further leverage its selling, general and administrative expenses. The Company does not expect the operating income improvement realized in the first quarter of fiscal 1998 to be as significant in the next three quarters of this fiscal year as the operating income margins on the ITxpo event in the first fiscal quarter are higher than on conferences and other events held later in the fiscal year. Therefore, the operating income for the first quarter of fiscal 1998 may not be indicative of the quarterly operating income results for the remainder of fiscal 1998.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OTHER FACTORS THAT MAY AFFECT FUTURE PERFORMANCE. The Company's future operating results will depend upon the Company's ability to continue to compete successfully in the market for information products and services. The Company faces competition from a significant number of independent providers of similar services, as well as the internal marketing and planning organizations of the Company's clients. The Company also competes indirectly against other information providers, including electronic and print media companies and consulting firms. In addition, there are limited barriers to entry into the Company's market and additional new competitors could readily emerge. There can be no assurance that the Company will be able to continue to provide the products and services that meet client needs as the Information Technology ("IT") market rapidly evolves, or that the Company can otherwise continue to compete successfully. In this regard, the Company's ability to compete is largely dependent upon the quality of its staff of IT analysts. Competition for qualified analysts is intense. There can be no assurance that the Company will be able to hire additional qualified IT analysts as may be required to support the evolving needs of customers or any growth in the Company's business. Any failure to maintain a premier staff of IT analysts could adversely affect the quality of the Company's products and services, and therefore its future business and operating results. Additionally, there may be increased business risk as the Company expands product and service offerings to smaller domestic companies. The Company's operating results are also subject to risks inherent in international sales, including changes in market demand as a result of exchange rate fluctuations, tariffs and other barriers, challenges in staffing and managing foreign sales operations, and higher levels of taxation on foreign income than domestic income. Further expansion would require additional management attention and financial resources.</w:t>
      </w:r>
    </w:p>
    <w:p>
      <w:pPr>
        <w:spacing w:after="0" w:line="19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has expanded its presence in the technology-based training industry. The success of the Company in the technology-based training industry will depend on its ability to compete with vendors of these products and services which include a range of education and training specialists, hardware and system manufacturers, software vendors, system integrators, dealers, value-added resellers and network/communications vendors, certain of whom have significantly greater product breadth and market presence in the technology-based training sector. There can be no assurance that the Company will be able to provide products that compare favorably with new competitive products or that competitive pressures will not require the Company to reduce prices. Future success will also depend on the Company's ability to develop new training products that are released timely with the introductions of the underlying software products.</w:t>
      </w:r>
    </w:p>
    <w:p>
      <w:pPr>
        <w:spacing w:after="0" w:line="19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Year 2000 Issue exists as the result of many computer systems and applications using two digit date fields rather than four to define the applicable year. As the century change occurs, date-sensitive systems will recognize the year 2000 as 1900, or not at all. This inability to recognize or properly treat the Year 2000 may cause systems to process critical financial and operational information incorrectly. The Company has assessed and continues to assess the impact of the Year 2000 on its operations. The Company believes, based upon its internal reviews and other factors, that there will be no interruption of operations and the future external and internal costs to be incurred relating to the modification of internal use software for the Year 2000 will not have a material effect on the Company's results of operations or</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financial position. Additionally, computer software products sold by the Company are Year 2000 compliant.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financial condition remains very strong. As of December 31,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cash and cash equivalents and marketable securities (including both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and long-term maturities) totaled $194.4 million, an increase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$188.7 million at September 30, 1997. Cash used in operating activities totaled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 million for the first three months of fiscal 1998 (compared to $9.2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provided for the first three months of fiscal 1997) reflecting primarily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impact of increased revenues and operating margins and related changes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balance sheet accounts offset primarily by the payment of fiscal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and bonus payable totaling approximately $32.7 million and a $24.1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non-cash reduction in the corporate income tax liability due to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received on stock transactions with employees. Cash used in investing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$24.7 million for the first three months of fiscal 1998 (compared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$5.2 million of cash provided for the first three months of fiscal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due to the acquisition of consolidated and unconsolidated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During the first quarter of fiscal 1998 the Company made a 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investment for $8.0 million in cash in Jupiter Communications,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("Jupiter"), a provider of analyst-based research and strategic planning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to the consumer Internet and interactive industry. Cash provided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activities totaled $40.3 million for the three months ended December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1997 (compared to $12.8 million of cash provided for the three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and resulted primarily from a $24.1 million non-cash increase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additional paid-in capital for tax benefits received from stock transactions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employees and $16.2 million from the issuance of common stock upon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employee stock options. The tax benefit of stock transactions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is due to a reduction in the corporate income tax liability based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imputed compensation deduction equal to employees' gain upon the exercise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at an exercise price below fair market. As additional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have become exercisable each fiscal year under the Company's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plans, both the volume of option exercises and gains on these exercises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increased, thereby resulting in significant tax benefits being received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quarter of fiscal 1998 and 1997.</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effect of exchange rates reduced cash and cash equivalents by $0.5 million through the three months ended December 31, 1997, and was due to the strengthening of the U.S. dollar versus certain foreign currencies. The Company has available two unsecured credit lines, with The Bank of New York and Chase Manhattan Bank for $5.0 million and $25.0 million, respectively. These lines may be canceled by the banks at any time without prior notice or penalty. Additionally, the Company issues letters of credit in the ordinary course of business. The Company had outstanding letters of credit with Chase Manhattan Bank of approximately $4.0 million and $2.0 million with The Bank of New York at December 31, 1997. The Company currently has no material capital commitments. The Company believes that its current cash balances and marketable securities, together with cash anticipated to be provided by operating activities and borrowings available under the existing lines of credit, will be sufficient for the expected short-term and foreseeable long-term cash needs of the Company, including possible acquisitions.</w:t>
      </w:r>
    </w:p>
    <w:p>
      <w:pPr>
        <w:spacing w:after="0" w:line="37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06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226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4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4180" w:type="dxa"/>
            <w:vAlign w:val="bottom"/>
          </w:tcPr>
          <w:p>
            <w:pPr>
              <w:spacing w:after="0"/>
              <w:rPr>
                <w:sz w:val="24"/>
                <w:szCs w:val="24"/>
                <w:color w:val="auto"/>
              </w:rPr>
            </w:pPr>
          </w:p>
        </w:tc>
      </w:tr>
      <w:tr>
        <w:trPr>
          <w:trHeight w:val="370"/>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(a)   Exhibit Number</w:t>
            </w:r>
          </w:p>
        </w:tc>
        <w:tc>
          <w:tcPr>
            <w:tcW w:w="64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Description of Document</w:t>
            </w:r>
          </w:p>
        </w:tc>
      </w:tr>
      <w:tr>
        <w:trPr>
          <w:trHeight w:val="739"/>
        </w:trPr>
        <w:tc>
          <w:tcPr>
            <w:tcW w:w="720" w:type="dxa"/>
            <w:vAlign w:val="bottom"/>
          </w:tcPr>
          <w:p>
            <w:pPr>
              <w:spacing w:after="0"/>
              <w:rPr>
                <w:sz w:val="24"/>
                <w:szCs w:val="24"/>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10.22</w:t>
            </w:r>
          </w:p>
        </w:tc>
        <w:tc>
          <w:tcPr>
            <w:tcW w:w="2260" w:type="dxa"/>
            <w:vAlign w:val="bottom"/>
          </w:tcPr>
          <w:p>
            <w:pPr>
              <w:ind w:left="300"/>
              <w:spacing w:after="0"/>
              <w:rPr>
                <w:sz w:val="20"/>
                <w:szCs w:val="20"/>
                <w:color w:val="auto"/>
              </w:rPr>
            </w:pPr>
            <w:r>
              <w:rPr>
                <w:rFonts w:ascii="Courier New" w:cs="Courier New" w:eastAsia="Courier New" w:hAnsi="Courier New"/>
                <w:sz w:val="16"/>
                <w:szCs w:val="16"/>
                <w:color w:val="auto"/>
              </w:rPr>
              <w:t>Promissory Note from</w:t>
            </w:r>
          </w:p>
        </w:tc>
        <w:tc>
          <w:tcPr>
            <w:tcW w:w="4180" w:type="dxa"/>
            <w:vAlign w:val="bottom"/>
          </w:tcPr>
          <w:p>
            <w:pPr>
              <w:ind w:left="60"/>
              <w:spacing w:after="0"/>
              <w:rPr>
                <w:sz w:val="20"/>
                <w:szCs w:val="20"/>
                <w:color w:val="auto"/>
              </w:rPr>
            </w:pPr>
            <w:r>
              <w:rPr>
                <w:rFonts w:ascii="Courier New" w:cs="Courier New" w:eastAsia="Courier New" w:hAnsi="Courier New"/>
                <w:sz w:val="16"/>
                <w:szCs w:val="16"/>
                <w:color w:val="auto"/>
                <w:w w:val="99"/>
              </w:rPr>
              <w:t>Manuel A. Fernandez dated December 18, 1997</w:t>
            </w:r>
          </w:p>
        </w:tc>
      </w:tr>
      <w:tr>
        <w:trPr>
          <w:trHeight w:val="185"/>
        </w:trPr>
        <w:tc>
          <w:tcPr>
            <w:tcW w:w="720" w:type="dxa"/>
            <w:vAlign w:val="bottom"/>
          </w:tcPr>
          <w:p>
            <w:pPr>
              <w:spacing w:after="0"/>
              <w:rPr>
                <w:sz w:val="16"/>
                <w:szCs w:val="16"/>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10.23</w:t>
            </w:r>
          </w:p>
        </w:tc>
        <w:tc>
          <w:tcPr>
            <w:tcW w:w="2260" w:type="dxa"/>
            <w:vAlign w:val="bottom"/>
          </w:tcPr>
          <w:p>
            <w:pPr>
              <w:ind w:left="300"/>
              <w:spacing w:after="0"/>
              <w:rPr>
                <w:sz w:val="20"/>
                <w:szCs w:val="20"/>
                <w:color w:val="auto"/>
              </w:rPr>
            </w:pPr>
            <w:r>
              <w:rPr>
                <w:rFonts w:ascii="Courier New" w:cs="Courier New" w:eastAsia="Courier New" w:hAnsi="Courier New"/>
                <w:sz w:val="16"/>
                <w:szCs w:val="16"/>
                <w:color w:val="auto"/>
              </w:rPr>
              <w:t>Promissory Note from</w:t>
            </w:r>
          </w:p>
        </w:tc>
        <w:tc>
          <w:tcPr>
            <w:tcW w:w="4180" w:type="dxa"/>
            <w:vAlign w:val="bottom"/>
          </w:tcPr>
          <w:p>
            <w:pPr>
              <w:ind w:left="60"/>
              <w:spacing w:after="0"/>
              <w:rPr>
                <w:sz w:val="20"/>
                <w:szCs w:val="20"/>
                <w:color w:val="auto"/>
              </w:rPr>
            </w:pPr>
            <w:r>
              <w:rPr>
                <w:rFonts w:ascii="Courier New" w:cs="Courier New" w:eastAsia="Courier New" w:hAnsi="Courier New"/>
                <w:sz w:val="16"/>
                <w:szCs w:val="16"/>
                <w:color w:val="auto"/>
              </w:rPr>
              <w:t>William Clifford dated December 18, 1997</w:t>
            </w:r>
          </w:p>
        </w:tc>
      </w:tr>
      <w:tr>
        <w:trPr>
          <w:trHeight w:val="185"/>
        </w:trPr>
        <w:tc>
          <w:tcPr>
            <w:tcW w:w="720" w:type="dxa"/>
            <w:vAlign w:val="bottom"/>
          </w:tcPr>
          <w:p>
            <w:pPr>
              <w:spacing w:after="0"/>
              <w:rPr>
                <w:sz w:val="16"/>
                <w:szCs w:val="16"/>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10.24</w:t>
            </w:r>
          </w:p>
        </w:tc>
        <w:tc>
          <w:tcPr>
            <w:tcW w:w="2260" w:type="dxa"/>
            <w:vAlign w:val="bottom"/>
          </w:tcPr>
          <w:p>
            <w:pPr>
              <w:ind w:left="300"/>
              <w:spacing w:after="0"/>
              <w:rPr>
                <w:sz w:val="20"/>
                <w:szCs w:val="20"/>
                <w:color w:val="auto"/>
              </w:rPr>
            </w:pPr>
            <w:r>
              <w:rPr>
                <w:rFonts w:ascii="Courier New" w:cs="Courier New" w:eastAsia="Courier New" w:hAnsi="Courier New"/>
                <w:sz w:val="16"/>
                <w:szCs w:val="16"/>
                <w:color w:val="auto"/>
              </w:rPr>
              <w:t>Promissory Note from</w:t>
            </w:r>
          </w:p>
        </w:tc>
        <w:tc>
          <w:tcPr>
            <w:tcW w:w="4180" w:type="dxa"/>
            <w:vAlign w:val="bottom"/>
          </w:tcPr>
          <w:p>
            <w:pPr>
              <w:ind w:left="60"/>
              <w:spacing w:after="0"/>
              <w:rPr>
                <w:sz w:val="20"/>
                <w:szCs w:val="20"/>
                <w:color w:val="auto"/>
              </w:rPr>
            </w:pPr>
            <w:r>
              <w:rPr>
                <w:rFonts w:ascii="Courier New" w:cs="Courier New" w:eastAsia="Courier New" w:hAnsi="Courier New"/>
                <w:sz w:val="16"/>
                <w:szCs w:val="16"/>
                <w:color w:val="auto"/>
              </w:rPr>
              <w:t>John F. Halligan dated December 18, 1997</w:t>
            </w:r>
          </w:p>
        </w:tc>
      </w:tr>
      <w:tr>
        <w:trPr>
          <w:trHeight w:val="185"/>
        </w:trPr>
        <w:tc>
          <w:tcPr>
            <w:tcW w:w="720" w:type="dxa"/>
            <w:vAlign w:val="bottom"/>
          </w:tcPr>
          <w:p>
            <w:pPr>
              <w:spacing w:after="0"/>
              <w:rPr>
                <w:sz w:val="16"/>
                <w:szCs w:val="16"/>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10.25</w:t>
            </w:r>
          </w:p>
        </w:tc>
        <w:tc>
          <w:tcPr>
            <w:tcW w:w="2260" w:type="dxa"/>
            <w:vAlign w:val="bottom"/>
          </w:tcPr>
          <w:p>
            <w:pPr>
              <w:ind w:left="300"/>
              <w:spacing w:after="0"/>
              <w:rPr>
                <w:sz w:val="20"/>
                <w:szCs w:val="20"/>
                <w:color w:val="auto"/>
              </w:rPr>
            </w:pPr>
            <w:r>
              <w:rPr>
                <w:rFonts w:ascii="Courier New" w:cs="Courier New" w:eastAsia="Courier New" w:hAnsi="Courier New"/>
                <w:sz w:val="16"/>
                <w:szCs w:val="16"/>
                <w:color w:val="auto"/>
              </w:rPr>
              <w:t>Promissory Note from</w:t>
            </w:r>
          </w:p>
        </w:tc>
        <w:tc>
          <w:tcPr>
            <w:tcW w:w="4180" w:type="dxa"/>
            <w:vAlign w:val="bottom"/>
          </w:tcPr>
          <w:p>
            <w:pPr>
              <w:ind w:left="60"/>
              <w:spacing w:after="0"/>
              <w:rPr>
                <w:sz w:val="20"/>
                <w:szCs w:val="20"/>
                <w:color w:val="auto"/>
              </w:rPr>
            </w:pPr>
            <w:r>
              <w:rPr>
                <w:rFonts w:ascii="Courier New" w:cs="Courier New" w:eastAsia="Courier New" w:hAnsi="Courier New"/>
                <w:sz w:val="16"/>
                <w:szCs w:val="16"/>
                <w:color w:val="auto"/>
              </w:rPr>
              <w:t>E. Follett Carter dated December 18, 1997</w:t>
            </w:r>
          </w:p>
        </w:tc>
      </w:tr>
      <w:tr>
        <w:trPr>
          <w:trHeight w:val="185"/>
        </w:trPr>
        <w:tc>
          <w:tcPr>
            <w:tcW w:w="720" w:type="dxa"/>
            <w:vAlign w:val="bottom"/>
          </w:tcPr>
          <w:p>
            <w:pPr>
              <w:spacing w:after="0"/>
              <w:rPr>
                <w:sz w:val="16"/>
                <w:szCs w:val="16"/>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11.1</w:t>
            </w:r>
          </w:p>
        </w:tc>
        <w:tc>
          <w:tcPr>
            <w:tcW w:w="2260" w:type="dxa"/>
            <w:vAlign w:val="bottom"/>
          </w:tcPr>
          <w:p>
            <w:pPr>
              <w:ind w:left="300"/>
              <w:spacing w:after="0"/>
              <w:rPr>
                <w:sz w:val="20"/>
                <w:szCs w:val="20"/>
                <w:color w:val="auto"/>
              </w:rPr>
            </w:pPr>
            <w:r>
              <w:rPr>
                <w:rFonts w:ascii="Courier New" w:cs="Courier New" w:eastAsia="Courier New" w:hAnsi="Courier New"/>
                <w:sz w:val="16"/>
                <w:szCs w:val="16"/>
                <w:color w:val="auto"/>
              </w:rPr>
              <w:t>Computation of Basic</w:t>
            </w:r>
          </w:p>
        </w:tc>
        <w:tc>
          <w:tcPr>
            <w:tcW w:w="4180" w:type="dxa"/>
            <w:vAlign w:val="bottom"/>
          </w:tcPr>
          <w:p>
            <w:pPr>
              <w:ind w:left="60"/>
              <w:spacing w:after="0"/>
              <w:rPr>
                <w:sz w:val="20"/>
                <w:szCs w:val="20"/>
                <w:color w:val="auto"/>
              </w:rPr>
            </w:pPr>
            <w:r>
              <w:rPr>
                <w:rFonts w:ascii="Courier New" w:cs="Courier New" w:eastAsia="Courier New" w:hAnsi="Courier New"/>
                <w:sz w:val="16"/>
                <w:szCs w:val="16"/>
                <w:color w:val="auto"/>
              </w:rPr>
              <w:t>and Diluted Earnings per Common Share</w:t>
            </w:r>
          </w:p>
        </w:tc>
      </w:tr>
      <w:tr>
        <w:trPr>
          <w:trHeight w:val="185"/>
        </w:trPr>
        <w:tc>
          <w:tcPr>
            <w:tcW w:w="720" w:type="dxa"/>
            <w:vAlign w:val="bottom"/>
          </w:tcPr>
          <w:p>
            <w:pPr>
              <w:spacing w:after="0"/>
              <w:rPr>
                <w:sz w:val="16"/>
                <w:szCs w:val="16"/>
                <w:color w:val="auto"/>
              </w:rPr>
            </w:pPr>
          </w:p>
        </w:tc>
        <w:tc>
          <w:tcPr>
            <w:tcW w:w="2060" w:type="dxa"/>
            <w:vAlign w:val="bottom"/>
          </w:tcPr>
          <w:p>
            <w:pPr>
              <w:ind w:left="240"/>
              <w:spacing w:after="0"/>
              <w:rPr>
                <w:sz w:val="20"/>
                <w:szCs w:val="20"/>
                <w:color w:val="auto"/>
              </w:rPr>
            </w:pPr>
            <w:r>
              <w:rPr>
                <w:rFonts w:ascii="Courier New" w:cs="Courier New" w:eastAsia="Courier New" w:hAnsi="Courier New"/>
                <w:sz w:val="16"/>
                <w:szCs w:val="16"/>
                <w:color w:val="auto"/>
              </w:rPr>
              <w:t>27.1</w:t>
            </w:r>
          </w:p>
        </w:tc>
        <w:tc>
          <w:tcPr>
            <w:tcW w:w="64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Financial Data Schedule</w:t>
            </w:r>
          </w:p>
        </w:tc>
      </w:tr>
    </w:tbl>
    <w:p>
      <w:pPr>
        <w:spacing w:after="0" w:line="375" w:lineRule="exact"/>
        <w:rPr>
          <w:sz w:val="20"/>
          <w:szCs w:val="20"/>
          <w:color w:val="auto"/>
        </w:rPr>
      </w:pPr>
    </w:p>
    <w:p>
      <w:pPr>
        <w:ind w:left="1" w:right="3199" w:hanging="1"/>
        <w:spacing w:after="0" w:line="242" w:lineRule="auto"/>
        <w:tabs>
          <w:tab w:leader="none" w:pos="3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by the Registrant during the fiscal quarter ended December 31, 1997.</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Items 1, 2, 3, 4 and 5 are not applicable and have been omitted.</w:t>
      </w:r>
    </w:p>
    <w:p>
      <w:pPr>
        <w:spacing w:after="0" w:line="373" w:lineRule="exact"/>
        <w:rPr>
          <w:sz w:val="20"/>
          <w:szCs w:val="20"/>
          <w:color w:val="auto"/>
        </w:rPr>
      </w:pPr>
    </w:p>
    <w:p>
      <w:pPr>
        <w:ind w:left="750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30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Gartner Group, Inc.</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1998</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F. Halligan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F. Halligan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ectPr>
          <w:pgSz w:w="11900" w:h="16838" w:orient="portrait"/>
          <w:cols w:equalWidth="0" w:num="3">
            <w:col w:w="380" w:space="380"/>
            <w:col w:w="3520" w:space="720"/>
            <w:col w:w="5219"/>
          </w:cols>
          <w:pgMar w:left="240" w:top="300" w:right="1440" w:bottom="1440" w:gutter="0" w:footer="0" w:header="0"/>
          <w:type w:val="continuous"/>
        </w:sectPr>
      </w:pPr>
    </w:p>
    <w:p>
      <w:pPr>
        <w:spacing w:after="0" w:line="175" w:lineRule="exact"/>
        <w:rPr>
          <w:sz w:val="20"/>
          <w:szCs w:val="20"/>
          <w:color w:val="auto"/>
        </w:rPr>
      </w:pPr>
    </w:p>
    <w:p>
      <w:pPr>
        <w:ind w:left="7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300" w:right="1440" w:bottom="1440" w:gutter="0" w:footer="0" w:header="0"/>
          <w:type w:val="continuous"/>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10.22</w:t>
      </w:r>
    </w:p>
    <w:p>
      <w:pPr>
        <w:spacing w:after="0" w:line="200" w:lineRule="exact"/>
        <w:rPr>
          <w:sz w:val="20"/>
          <w:szCs w:val="20"/>
          <w:color w:val="auto"/>
        </w:rPr>
      </w:pPr>
    </w:p>
    <w:p>
      <w:pPr>
        <w:spacing w:after="0" w:line="35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PROMISSORY NOTE</w:t>
      </w:r>
    </w:p>
    <w:p>
      <w:pPr>
        <w:spacing w:after="0" w:line="188" w:lineRule="exact"/>
        <w:rPr>
          <w:sz w:val="20"/>
          <w:szCs w:val="20"/>
          <w:color w:val="auto"/>
        </w:rPr>
      </w:pPr>
    </w:p>
    <w:p>
      <w:pPr>
        <w:ind w:left="1"/>
        <w:spacing w:after="0"/>
        <w:tabs>
          <w:tab w:leader="none" w:pos="5461" w:val="left"/>
        </w:tabs>
        <w:rPr>
          <w:sz w:val="20"/>
          <w:szCs w:val="20"/>
          <w:color w:val="auto"/>
        </w:rPr>
      </w:pPr>
      <w:r>
        <w:rPr>
          <w:rFonts w:ascii="Courier New" w:cs="Courier New" w:eastAsia="Courier New" w:hAnsi="Courier New"/>
          <w:sz w:val="16"/>
          <w:szCs w:val="16"/>
          <w:color w:val="auto"/>
        </w:rPr>
        <w:t>$1,900,000</w:t>
      </w:r>
      <w:r>
        <w:rPr>
          <w:sz w:val="20"/>
          <w:szCs w:val="20"/>
          <w:color w:val="auto"/>
        </w:rPr>
        <w:tab/>
      </w:r>
      <w:r>
        <w:rPr>
          <w:rFonts w:ascii="Courier New" w:cs="Courier New" w:eastAsia="Courier New" w:hAnsi="Courier New"/>
          <w:sz w:val="15"/>
          <w:szCs w:val="15"/>
          <w:color w:val="auto"/>
        </w:rPr>
        <w:t>As of December 18, 1997</w:t>
      </w:r>
    </w:p>
    <w:p>
      <w:pPr>
        <w:spacing w:after="0" w:line="190" w:lineRule="exact"/>
        <w:rPr>
          <w:sz w:val="20"/>
          <w:szCs w:val="20"/>
          <w:color w:val="auto"/>
        </w:rPr>
      </w:pPr>
    </w:p>
    <w:p>
      <w:pPr>
        <w:ind w:left="1" w:right="2539" w:firstLine="863"/>
        <w:spacing w:after="0" w:line="244" w:lineRule="auto"/>
        <w:tabs>
          <w:tab w:leader="none" w:pos="115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VALUE RECEIVED, the undersigned, MANUEL A. FERNANDEZ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ONE MILLION NINE HUNDRED THOUSAND AND NO/100 DOLLARS ($1,900,000), together with interest on the unpaid balance of this Note, beginning as of the date hereof, before maturity, default or judgment, at an annual rate of interest equal to 5.60%, which interest rate is the Applicable Federal Rate (the "Note Rate").</w:t>
      </w:r>
    </w:p>
    <w:p>
      <w:pPr>
        <w:spacing w:after="0" w:line="189" w:lineRule="exact"/>
        <w:rPr>
          <w:rFonts w:ascii="Courier New" w:cs="Courier New" w:eastAsia="Courier New" w:hAnsi="Courier New"/>
          <w:sz w:val="16"/>
          <w:szCs w:val="16"/>
          <w:color w:val="auto"/>
        </w:rPr>
      </w:pPr>
    </w:p>
    <w:p>
      <w:pPr>
        <w:ind w:left="1" w:right="2639" w:firstLine="863"/>
        <w:spacing w:after="0" w:line="260" w:lineRule="auto"/>
        <w:tabs>
          <w:tab w:leader="none" w:pos="115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protecting or sustaining the lien of any security, or (iii) in any</w:t>
      </w:r>
    </w:p>
    <w:p>
      <w:pPr>
        <w:spacing w:after="0" w:line="5" w:lineRule="exact"/>
        <w:rPr>
          <w:rFonts w:ascii="Courier New" w:cs="Courier New" w:eastAsia="Courier New" w:hAnsi="Courier New"/>
          <w:sz w:val="16"/>
          <w:szCs w:val="16"/>
          <w:color w:val="auto"/>
        </w:rPr>
      </w:pPr>
    </w:p>
    <w:p>
      <w:pPr>
        <w:ind w:left="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or controversy arising from or connected with any security agreement or this Note.</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shall repay the principal amount of this Note, together with accrued interest on December 17, 1999 (the "Maturity Date"); however, the Holder, in its sole and absolute discretion, may elect to accelerate the indebtedness of this Note upon the occurrence of an "Event of Default" (as defined below).</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15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193" w:lineRule="exact"/>
        <w:rPr>
          <w:rFonts w:ascii="Courier New" w:cs="Courier New" w:eastAsia="Courier New" w:hAnsi="Courier New"/>
          <w:sz w:val="16"/>
          <w:szCs w:val="16"/>
          <w:color w:val="auto"/>
        </w:rPr>
      </w:pPr>
    </w:p>
    <w:p>
      <w:pPr>
        <w:ind w:left="1" w:right="2539" w:firstLine="863"/>
        <w:spacing w:after="0" w:line="243" w:lineRule="auto"/>
        <w:tabs>
          <w:tab w:leader="none" w:pos="115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Holder to exercise its option to accelerate the indebtedness of this Note shall not constitute a waiver of the Holder's right to exercise the same in the event of any subsequent default.</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14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719" w:firstLine="863"/>
        <w:spacing w:after="0" w:line="244" w:lineRule="auto"/>
        <w:tabs>
          <w:tab w:leader="none" w:pos="11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87" w:lineRule="exact"/>
        <w:rPr>
          <w:sz w:val="20"/>
          <w:szCs w:val="20"/>
          <w:color w:val="auto"/>
        </w:rPr>
      </w:pPr>
    </w:p>
    <w:p>
      <w:pPr>
        <w:ind w:right="2539" w:firstLine="863"/>
        <w:spacing w:after="0" w:line="244" w:lineRule="auto"/>
        <w:tabs>
          <w:tab w:leader="none" w:pos="11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87"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due under this Note are secured by the Maker's pledge to the Lender of this date of shares of the Lender's common stock.</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firstLine="863"/>
        <w:spacing w:after="0" w:line="243"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and the provisions hereof shall inure to the benefit of the Holder, its successors and assigns and shall be binding upon the undersigned his heirs, executors, administrators and assigns.</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MANUEL A. FERNANDEZ</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10.23</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PROMISSORY NOTE</w:t>
      </w:r>
    </w:p>
    <w:p>
      <w:pPr>
        <w:spacing w:after="0" w:line="188" w:lineRule="exact"/>
        <w:rPr>
          <w:sz w:val="20"/>
          <w:szCs w:val="20"/>
          <w:color w:val="auto"/>
        </w:rPr>
      </w:pPr>
    </w:p>
    <w:p>
      <w:pPr>
        <w:ind w:left="1"/>
        <w:spacing w:after="0"/>
        <w:tabs>
          <w:tab w:leader="none" w:pos="5461" w:val="left"/>
        </w:tabs>
        <w:rPr>
          <w:sz w:val="20"/>
          <w:szCs w:val="20"/>
          <w:color w:val="auto"/>
        </w:rPr>
      </w:pPr>
      <w:r>
        <w:rPr>
          <w:rFonts w:ascii="Courier New" w:cs="Courier New" w:eastAsia="Courier New" w:hAnsi="Courier New"/>
          <w:sz w:val="16"/>
          <w:szCs w:val="16"/>
          <w:color w:val="auto"/>
        </w:rPr>
        <w:t>$125,000</w:t>
      </w:r>
      <w:r>
        <w:rPr>
          <w:sz w:val="20"/>
          <w:szCs w:val="20"/>
          <w:color w:val="auto"/>
        </w:rPr>
        <w:tab/>
      </w:r>
      <w:r>
        <w:rPr>
          <w:rFonts w:ascii="Courier New" w:cs="Courier New" w:eastAsia="Courier New" w:hAnsi="Courier New"/>
          <w:sz w:val="15"/>
          <w:szCs w:val="15"/>
          <w:color w:val="auto"/>
        </w:rPr>
        <w:t>As of December 18, 1997</w:t>
      </w:r>
    </w:p>
    <w:p>
      <w:pPr>
        <w:spacing w:after="0" w:line="190" w:lineRule="exact"/>
        <w:rPr>
          <w:sz w:val="20"/>
          <w:szCs w:val="20"/>
          <w:color w:val="auto"/>
        </w:rPr>
      </w:pPr>
    </w:p>
    <w:p>
      <w:pPr>
        <w:ind w:left="1" w:right="2539" w:firstLine="863"/>
        <w:spacing w:after="0" w:line="262" w:lineRule="auto"/>
        <w:tabs>
          <w:tab w:leader="none" w:pos="115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RECEIVED, the undersigned, WILLIAM CLIFFORD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ONE HUNDRED TWENTY FIVE THOUSAND AND NO/100 DOLLARS ($125,000), together with interest on the unpaid balance of this Note, beginning as of the date hereof, before maturity, default or judgment, at an annual rate of interest equal to 5.60%, which interest rate is the Applicable Federal Rate (the "Note Rate").</w:t>
      </w:r>
    </w:p>
    <w:p>
      <w:pPr>
        <w:spacing w:after="0" w:line="178" w:lineRule="exact"/>
        <w:rPr>
          <w:rFonts w:ascii="Courier New" w:cs="Courier New" w:eastAsia="Courier New" w:hAnsi="Courier New"/>
          <w:sz w:val="15"/>
          <w:szCs w:val="15"/>
          <w:color w:val="auto"/>
        </w:rPr>
      </w:pPr>
    </w:p>
    <w:p>
      <w:pPr>
        <w:ind w:left="1" w:right="2639" w:firstLine="863"/>
        <w:spacing w:after="0" w:line="260" w:lineRule="auto"/>
        <w:tabs>
          <w:tab w:leader="none" w:pos="115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protecting or sustaining the lien of any security, or (iii) in any</w:t>
      </w:r>
    </w:p>
    <w:p>
      <w:pPr>
        <w:spacing w:after="0" w:line="5" w:lineRule="exact"/>
        <w:rPr>
          <w:rFonts w:ascii="Courier New" w:cs="Courier New" w:eastAsia="Courier New" w:hAnsi="Courier New"/>
          <w:sz w:val="16"/>
          <w:szCs w:val="16"/>
          <w:color w:val="auto"/>
        </w:rPr>
      </w:pPr>
    </w:p>
    <w:p>
      <w:pPr>
        <w:ind w:left="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or controversy arising from or connected with any security agreement or this Note.</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shall repay the principal amount of this Note, together with accrued interest on December 17, 1999 (the "Maturity Date"); however, the Holder, in its sole and absolute discretion, may elect to accelerate the indebtedness of this Note upon the occurrence of an "Event of Default" (as defined below).</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15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193" w:lineRule="exact"/>
        <w:rPr>
          <w:rFonts w:ascii="Courier New" w:cs="Courier New" w:eastAsia="Courier New" w:hAnsi="Courier New"/>
          <w:sz w:val="16"/>
          <w:szCs w:val="16"/>
          <w:color w:val="auto"/>
        </w:rPr>
      </w:pPr>
    </w:p>
    <w:p>
      <w:pPr>
        <w:ind w:left="1" w:right="3119" w:firstLine="863"/>
        <w:spacing w:after="0" w:line="274" w:lineRule="auto"/>
        <w:tabs>
          <w:tab w:leader="none" w:pos="1154"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Holder to exercise its option to accelerate the indebtedness of this Note shall not constitute a waiver of the Holder's</w:t>
      </w:r>
    </w:p>
    <w:p>
      <w:pPr>
        <w:spacing w:after="0" w:line="349"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14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to exercise the same in the event of any subsequent default.</w:t>
      </w:r>
    </w:p>
    <w:p>
      <w:pPr>
        <w:spacing w:after="0" w:line="190" w:lineRule="exact"/>
        <w:rPr>
          <w:sz w:val="20"/>
          <w:szCs w:val="20"/>
          <w:color w:val="auto"/>
        </w:rPr>
      </w:pPr>
    </w:p>
    <w:p>
      <w:pPr>
        <w:ind w:right="2719" w:firstLine="863"/>
        <w:spacing w:after="0" w:line="244" w:lineRule="auto"/>
        <w:tabs>
          <w:tab w:leader="none" w:pos="11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87" w:lineRule="exact"/>
        <w:rPr>
          <w:sz w:val="20"/>
          <w:szCs w:val="20"/>
          <w:color w:val="auto"/>
        </w:rPr>
      </w:pPr>
    </w:p>
    <w:p>
      <w:pPr>
        <w:ind w:right="2539" w:firstLine="863"/>
        <w:spacing w:after="0" w:line="244"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87"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due under this Note are secured by the Maker's pledge to the Lender of this date of shares of the Lender's common stock.</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firstLine="863"/>
        <w:spacing w:after="0" w:line="243" w:lineRule="auto"/>
        <w:tabs>
          <w:tab w:leader="none" w:pos="124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and the provisions hereof shall inure to the benefit of the Holder, its successors and assigns and shall be binding upon the undersigned his heirs, executors, administrators and assigns.</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WILLIAM CLIFFORD</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sectPr>
      </w:pPr>
    </w:p>
    <w:bookmarkStart w:id="19" w:name="page20"/>
    <w:bookmarkEnd w:id="19"/>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10.24</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PROMISSORY NOTE</w:t>
      </w:r>
    </w:p>
    <w:p>
      <w:pPr>
        <w:spacing w:after="0" w:line="188" w:lineRule="exact"/>
        <w:rPr>
          <w:sz w:val="20"/>
          <w:szCs w:val="20"/>
          <w:color w:val="auto"/>
        </w:rPr>
      </w:pPr>
    </w:p>
    <w:p>
      <w:pPr>
        <w:ind w:left="1"/>
        <w:spacing w:after="0"/>
        <w:tabs>
          <w:tab w:leader="none" w:pos="5461" w:val="left"/>
        </w:tabs>
        <w:rPr>
          <w:sz w:val="20"/>
          <w:szCs w:val="20"/>
          <w:color w:val="auto"/>
        </w:rPr>
      </w:pPr>
      <w:r>
        <w:rPr>
          <w:rFonts w:ascii="Courier New" w:cs="Courier New" w:eastAsia="Courier New" w:hAnsi="Courier New"/>
          <w:sz w:val="16"/>
          <w:szCs w:val="16"/>
          <w:color w:val="auto"/>
        </w:rPr>
        <w:t>$200,000</w:t>
      </w:r>
      <w:r>
        <w:rPr>
          <w:sz w:val="20"/>
          <w:szCs w:val="20"/>
          <w:color w:val="auto"/>
        </w:rPr>
        <w:tab/>
      </w:r>
      <w:r>
        <w:rPr>
          <w:rFonts w:ascii="Courier New" w:cs="Courier New" w:eastAsia="Courier New" w:hAnsi="Courier New"/>
          <w:sz w:val="15"/>
          <w:szCs w:val="15"/>
          <w:color w:val="auto"/>
        </w:rPr>
        <w:t>As of December 18, 1997</w:t>
      </w:r>
    </w:p>
    <w:p>
      <w:pPr>
        <w:spacing w:after="0" w:line="190" w:lineRule="exact"/>
        <w:rPr>
          <w:sz w:val="20"/>
          <w:szCs w:val="20"/>
          <w:color w:val="auto"/>
        </w:rPr>
      </w:pPr>
    </w:p>
    <w:p>
      <w:pPr>
        <w:ind w:left="1" w:right="2539" w:firstLine="863"/>
        <w:spacing w:after="0" w:line="244" w:lineRule="auto"/>
        <w:tabs>
          <w:tab w:leader="none" w:pos="115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VALUE RECEIVED, the undersigned, JOHN F. HALLIGAN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TWO HUNDRED THOUSAND NO/100 DOLLARS ($200,00), together with interest on the unpaid balance of this Note, beginning as of the date hereof, before maturity, default or judgment, at an annual rate of interest equal to 5.60%, which interest rate is the Applicable Federal Rate (the "Note Rate").</w:t>
      </w:r>
    </w:p>
    <w:p>
      <w:pPr>
        <w:spacing w:after="0" w:line="189" w:lineRule="exact"/>
        <w:rPr>
          <w:rFonts w:ascii="Courier New" w:cs="Courier New" w:eastAsia="Courier New" w:hAnsi="Courier New"/>
          <w:sz w:val="16"/>
          <w:szCs w:val="16"/>
          <w:color w:val="auto"/>
        </w:rPr>
      </w:pPr>
    </w:p>
    <w:p>
      <w:pPr>
        <w:ind w:left="1" w:right="2639" w:firstLine="863"/>
        <w:spacing w:after="0" w:line="260" w:lineRule="auto"/>
        <w:tabs>
          <w:tab w:leader="none" w:pos="115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protecting or sustaining the lien of any security, or (iii) in any</w:t>
      </w:r>
    </w:p>
    <w:p>
      <w:pPr>
        <w:spacing w:after="0" w:line="5" w:lineRule="exact"/>
        <w:rPr>
          <w:rFonts w:ascii="Courier New" w:cs="Courier New" w:eastAsia="Courier New" w:hAnsi="Courier New"/>
          <w:sz w:val="16"/>
          <w:szCs w:val="16"/>
          <w:color w:val="auto"/>
        </w:rPr>
      </w:pPr>
    </w:p>
    <w:p>
      <w:pPr>
        <w:ind w:left="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or controversy arising from or connected with any security agreement or this Note.</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shall repay the principal amount of this Note, together with accrued interest on December 17, 1999 (the "Maturity Date"); however, the Holder, in its sole and absolute discretion, may elect to accelerate the indebtedness of this Note upon the occurrence of an "Event of Default" (as defined below).</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15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193" w:lineRule="exact"/>
        <w:rPr>
          <w:rFonts w:ascii="Courier New" w:cs="Courier New" w:eastAsia="Courier New" w:hAnsi="Courier New"/>
          <w:sz w:val="16"/>
          <w:szCs w:val="16"/>
          <w:color w:val="auto"/>
        </w:rPr>
      </w:pPr>
    </w:p>
    <w:p>
      <w:pPr>
        <w:ind w:left="1" w:right="2539" w:firstLine="863"/>
        <w:spacing w:after="0" w:line="243" w:lineRule="auto"/>
        <w:tabs>
          <w:tab w:leader="none" w:pos="115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Holder to exercise its option to accelerate the indebtedness of this Note shall not constitute a waiver of the Holder's right to exercise the same in the event of any subsequent default.</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14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719" w:firstLine="863"/>
        <w:spacing w:after="0" w:line="244" w:lineRule="auto"/>
        <w:tabs>
          <w:tab w:leader="none" w:pos="11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87" w:lineRule="exact"/>
        <w:rPr>
          <w:sz w:val="20"/>
          <w:szCs w:val="20"/>
          <w:color w:val="auto"/>
        </w:rPr>
      </w:pPr>
    </w:p>
    <w:p>
      <w:pPr>
        <w:ind w:right="2539" w:firstLine="863"/>
        <w:spacing w:after="0" w:line="244" w:lineRule="auto"/>
        <w:tabs>
          <w:tab w:leader="none" w:pos="11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87"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due under this Note are secured by the Maker's pledge to the Lender of this date of shares of the Lender's common stock.</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and the provisions hereof shall inure to the benefit of the Holder, its successors and assigns and shall be binding upon the undersigned his heirs, executors, administrators and assigns.</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firstLine="863"/>
        <w:spacing w:after="0" w:line="244" w:lineRule="auto"/>
        <w:tabs>
          <w:tab w:leader="none" w:pos="124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190"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JOHN F. HALLIGAN</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sectPr>
      </w:pPr>
    </w:p>
    <w:bookmarkStart w:id="22" w:name="page23"/>
    <w:bookmarkEnd w:id="22"/>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10.25</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PROMISSORY NOTE</w:t>
      </w:r>
    </w:p>
    <w:p>
      <w:pPr>
        <w:spacing w:after="0" w:line="188" w:lineRule="exact"/>
        <w:rPr>
          <w:sz w:val="20"/>
          <w:szCs w:val="20"/>
          <w:color w:val="auto"/>
        </w:rPr>
      </w:pPr>
    </w:p>
    <w:p>
      <w:pPr>
        <w:ind w:left="1"/>
        <w:spacing w:after="0"/>
        <w:tabs>
          <w:tab w:leader="none" w:pos="5461" w:val="left"/>
        </w:tabs>
        <w:rPr>
          <w:sz w:val="20"/>
          <w:szCs w:val="20"/>
          <w:color w:val="auto"/>
        </w:rPr>
      </w:pPr>
      <w:r>
        <w:rPr>
          <w:rFonts w:ascii="Courier New" w:cs="Courier New" w:eastAsia="Courier New" w:hAnsi="Courier New"/>
          <w:sz w:val="16"/>
          <w:szCs w:val="16"/>
          <w:color w:val="auto"/>
        </w:rPr>
        <w:t>$250,000</w:t>
      </w:r>
      <w:r>
        <w:rPr>
          <w:sz w:val="20"/>
          <w:szCs w:val="20"/>
          <w:color w:val="auto"/>
        </w:rPr>
        <w:tab/>
      </w:r>
      <w:r>
        <w:rPr>
          <w:rFonts w:ascii="Courier New" w:cs="Courier New" w:eastAsia="Courier New" w:hAnsi="Courier New"/>
          <w:sz w:val="15"/>
          <w:szCs w:val="15"/>
          <w:color w:val="auto"/>
        </w:rPr>
        <w:t>As of December 18, 1997</w:t>
      </w:r>
    </w:p>
    <w:p>
      <w:pPr>
        <w:spacing w:after="0" w:line="190" w:lineRule="exact"/>
        <w:rPr>
          <w:sz w:val="20"/>
          <w:szCs w:val="20"/>
          <w:color w:val="auto"/>
        </w:rPr>
      </w:pPr>
    </w:p>
    <w:p>
      <w:pPr>
        <w:ind w:left="1" w:right="2539" w:firstLine="863"/>
        <w:spacing w:after="0" w:line="262" w:lineRule="auto"/>
        <w:tabs>
          <w:tab w:leader="none" w:pos="115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RECEIVED, the undersigned, E. FOLLETT CARTER,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TWO HUNDRED FIFTY THOUSAND AND NO/100 DOLLARS ($250,000), together with interest on the unpaid balance of this Note, beginning as of the date hereof, before maturity, default or judgment, at an annual rate of interest equal to 5.60%, which interest rate is the Applicable Federal Rate (the "Note Rate").</w:t>
      </w:r>
    </w:p>
    <w:p>
      <w:pPr>
        <w:spacing w:after="0" w:line="178" w:lineRule="exact"/>
        <w:rPr>
          <w:rFonts w:ascii="Courier New" w:cs="Courier New" w:eastAsia="Courier New" w:hAnsi="Courier New"/>
          <w:sz w:val="15"/>
          <w:szCs w:val="15"/>
          <w:color w:val="auto"/>
        </w:rPr>
      </w:pPr>
    </w:p>
    <w:p>
      <w:pPr>
        <w:ind w:left="1" w:right="2639" w:firstLine="863"/>
        <w:spacing w:after="0" w:line="260" w:lineRule="auto"/>
        <w:tabs>
          <w:tab w:leader="none" w:pos="115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protecting or sustaining the lien of any security, or (iii) in any</w:t>
      </w:r>
    </w:p>
    <w:p>
      <w:pPr>
        <w:spacing w:after="0" w:line="5" w:lineRule="exact"/>
        <w:rPr>
          <w:rFonts w:ascii="Courier New" w:cs="Courier New" w:eastAsia="Courier New" w:hAnsi="Courier New"/>
          <w:sz w:val="16"/>
          <w:szCs w:val="16"/>
          <w:color w:val="auto"/>
        </w:rPr>
      </w:pPr>
    </w:p>
    <w:p>
      <w:pPr>
        <w:ind w:left="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or controversy arising from or connected with any security agreement or this Note.</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shall repay the principal amount of this Note, together with accrued interest on December 17, 1999 (the "Maturity Date"); however, the Holder, in its sole and absolute discretion, may elect to accelerate the indebtedness of this Note upon the occurrence of an "Event of Default" (as defined below).</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15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193" w:lineRule="exact"/>
        <w:rPr>
          <w:rFonts w:ascii="Courier New" w:cs="Courier New" w:eastAsia="Courier New" w:hAnsi="Courier New"/>
          <w:sz w:val="16"/>
          <w:szCs w:val="16"/>
          <w:color w:val="auto"/>
        </w:rPr>
      </w:pPr>
    </w:p>
    <w:p>
      <w:pPr>
        <w:ind w:left="1" w:right="2539" w:firstLine="863"/>
        <w:spacing w:after="0" w:line="243" w:lineRule="auto"/>
        <w:tabs>
          <w:tab w:leader="none" w:pos="115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Holder to exercise its option to accelerate the indebtedness of this Note shall not constitute a waiver of the Holder's right to exercise the same in the event of any subsequent default.</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14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719" w:firstLine="863"/>
        <w:spacing w:after="0" w:line="244" w:lineRule="auto"/>
        <w:tabs>
          <w:tab w:leader="none" w:pos="11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87" w:lineRule="exact"/>
        <w:rPr>
          <w:sz w:val="20"/>
          <w:szCs w:val="20"/>
          <w:color w:val="auto"/>
        </w:rPr>
      </w:pPr>
    </w:p>
    <w:p>
      <w:pPr>
        <w:ind w:right="2539" w:firstLine="863"/>
        <w:spacing w:after="0" w:line="244" w:lineRule="auto"/>
        <w:tabs>
          <w:tab w:leader="none" w:pos="11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87"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87" w:lineRule="exact"/>
        <w:rPr>
          <w:rFonts w:ascii="Courier New" w:cs="Courier New" w:eastAsia="Courier New" w:hAnsi="Courier New"/>
          <w:sz w:val="16"/>
          <w:szCs w:val="16"/>
          <w:color w:val="auto"/>
        </w:rPr>
      </w:pPr>
    </w:p>
    <w:p>
      <w:pPr>
        <w:ind w:right="2719" w:firstLine="863"/>
        <w:spacing w:after="0" w:line="242"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due under this Note are secured by the Maker's pledge to the Lender of this date of shares of the Lender's common stock.</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and the provisions hereof shall inure to the benefit of the Holder, its successors and assigns and shall be binding upon the undersigned his heirs, executors, administrators and assigns.</w:t>
      </w:r>
    </w:p>
    <w:p>
      <w:pPr>
        <w:spacing w:after="0" w:line="37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firstLine="863"/>
        <w:spacing w:after="0" w:line="244" w:lineRule="auto"/>
        <w:tabs>
          <w:tab w:leader="none" w:pos="124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190"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E. FOLLETT CARTER</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11.1</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Computation of Basic and Diluted Earnings per Common Share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58" w:lineRule="exact"/>
        <w:rPr>
          <w:sz w:val="20"/>
          <w:szCs w:val="20"/>
          <w:color w:val="auto"/>
        </w:rPr>
      </w:pPr>
    </w:p>
    <w:p>
      <w:pPr>
        <w:ind w:left="6720"/>
        <w:spacing w:after="0"/>
        <w:rPr>
          <w:sz w:val="20"/>
          <w:szCs w:val="20"/>
          <w:color w:val="auto"/>
        </w:rPr>
      </w:pPr>
      <w:r>
        <w:rPr>
          <w:rFonts w:ascii="Courier New" w:cs="Courier New" w:eastAsia="Courier New" w:hAnsi="Courier New"/>
          <w:sz w:val="16"/>
          <w:szCs w:val="16"/>
          <w:color w:val="auto"/>
        </w:rPr>
        <w:t>For the three months ended,</w:t>
      </w:r>
    </w:p>
    <w:p>
      <w:pPr>
        <w:spacing w:after="0" w:line="4" w:lineRule="exact"/>
        <w:rPr>
          <w:sz w:val="20"/>
          <w:szCs w:val="20"/>
          <w:color w:val="auto"/>
        </w:rPr>
      </w:pPr>
    </w:p>
    <w:p>
      <w:pPr>
        <w:ind w:left="7500"/>
        <w:spacing w:after="0"/>
        <w:rPr>
          <w:sz w:val="20"/>
          <w:szCs w:val="20"/>
          <w:color w:val="auto"/>
        </w:rPr>
      </w:pP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7020"/>
        <w:spacing w:after="0"/>
        <w:tabs>
          <w:tab w:leader="none" w:pos="862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p>
    <w:p>
      <w:pPr>
        <w:spacing w:after="0" w:line="5" w:lineRule="exact"/>
        <w:rPr>
          <w:sz w:val="20"/>
          <w:szCs w:val="20"/>
          <w:color w:val="auto"/>
        </w:rPr>
      </w:pPr>
    </w:p>
    <w:p>
      <w:pPr>
        <w:ind w:left="6540"/>
        <w:spacing w:after="0"/>
        <w:tabs>
          <w:tab w:leader="none" w:pos="8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Numerator:</w:t>
      </w:r>
    </w:p>
    <w:p>
      <w:pPr>
        <w:sectPr>
          <w:pgSz w:w="11900" w:h="16838" w:orient="portrait"/>
          <w:cols w:equalWidth="0" w:num="1">
            <w:col w:w="10219"/>
          </w:cols>
          <w:pgMar w:left="240" w:top="140" w:right="1440" w:bottom="1440" w:gutter="0" w:footer="0" w:header="0"/>
        </w:sectPr>
      </w:pP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Courier New" w:cs="Courier New" w:eastAsia="Courier New" w:hAnsi="Courier New"/>
          <w:sz w:val="16"/>
          <w:szCs w:val="16"/>
          <w:color w:val="auto"/>
        </w:rPr>
        <w:t>$25,644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Courier New" w:cs="Courier New" w:eastAsia="Courier New" w:hAnsi="Courier New"/>
          <w:sz w:val="16"/>
          <w:szCs w:val="16"/>
          <w:color w:val="auto"/>
        </w:rPr>
        <w:t>$19,042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5820" w:space="720"/>
            <w:col w:w="1440" w:space="280"/>
            <w:col w:w="195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Denominator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Denominator for basic earnings per share - weighted average</w:t>
      </w:r>
    </w:p>
    <w:p>
      <w:pPr>
        <w:sectPr>
          <w:pgSz w:w="11900" w:h="16838" w:orient="portrait"/>
          <w:cols w:equalWidth="0" w:num="1">
            <w:col w:w="10219"/>
          </w:cols>
          <w:pgMar w:left="240" w:top="140" w:right="1440"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number of common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97,838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93,327</w:t>
      </w:r>
    </w:p>
    <w:p>
      <w:pPr>
        <w:spacing w:after="0" w:line="188" w:lineRule="exact"/>
        <w:rPr>
          <w:sz w:val="20"/>
          <w:szCs w:val="20"/>
          <w:color w:val="auto"/>
        </w:rPr>
      </w:pPr>
    </w:p>
    <w:p>
      <w:pPr>
        <w:sectPr>
          <w:pgSz w:w="11900" w:h="16838" w:orient="portrait"/>
          <w:cols w:equalWidth="0" w:num="3">
            <w:col w:w="6580" w:space="720"/>
            <w:col w:w="920" w:space="720"/>
            <w:col w:w="1279"/>
          </w:cols>
          <w:pgMar w:left="240" w:top="140"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Effect of dilutive securities: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Weighted average number of common shares under warrant</w:t>
      </w:r>
    </w:p>
    <w:p>
      <w:pPr>
        <w:sectPr>
          <w:pgSz w:w="11900" w:h="16838" w:orient="portrait"/>
          <w:cols w:equalWidth="0" w:num="1">
            <w:col w:w="10219"/>
          </w:cols>
          <w:pgMar w:left="240" w:top="140" w:right="1440" w:bottom="1440" w:gutter="0" w:footer="0" w:header="0"/>
          <w:type w:val="continuous"/>
        </w:sectPr>
      </w:pPr>
    </w:p>
    <w:p>
      <w:pPr>
        <w:spacing w:after="0" w:line="1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outstanding</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Weighted average number of option shares outstanding</w:t>
      </w:r>
    </w:p>
    <w:p>
      <w:pPr>
        <w:spacing w:after="0" w:line="19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Dilutive potential common shares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6"/>
          <w:szCs w:val="16"/>
          <w:color w:val="auto"/>
        </w:rPr>
        <w:t>288</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6,286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6,574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6"/>
          <w:szCs w:val="16"/>
          <w:color w:val="auto"/>
        </w:rPr>
        <w:t>316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8,308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8,624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sectPr>
          <w:pgSz w:w="11900" w:h="16838" w:orient="portrait"/>
          <w:cols w:equalWidth="0" w:num="3">
            <w:col w:w="5820" w:space="720"/>
            <w:col w:w="1440" w:space="280"/>
            <w:col w:w="1959"/>
          </w:cols>
          <w:pgMar w:left="240" w:top="140" w:right="1440" w:bottom="1440" w:gutter="0" w:footer="0" w:header="0"/>
          <w:type w:val="continuous"/>
        </w:sectPr>
      </w:pPr>
    </w:p>
    <w:p>
      <w:pPr>
        <w:ind w:left="680"/>
        <w:spacing w:after="0"/>
        <w:rPr>
          <w:sz w:val="20"/>
          <w:szCs w:val="20"/>
          <w:color w:val="auto"/>
        </w:rPr>
      </w:pPr>
      <w:r>
        <w:rPr>
          <w:rFonts w:ascii="Courier New" w:cs="Courier New" w:eastAsia="Courier New" w:hAnsi="Courier New"/>
          <w:sz w:val="15"/>
          <w:szCs w:val="15"/>
          <w:color w:val="auto"/>
        </w:rPr>
        <w:t>Denominator for diluted earnings per share - adjusted</w:t>
      </w:r>
    </w:p>
    <w:p>
      <w:pPr>
        <w:sectPr>
          <w:pgSz w:w="11900" w:h="16838" w:orient="portrait"/>
          <w:cols w:equalWidth="0" w:num="1">
            <w:col w:w="10219"/>
          </w:cols>
          <w:pgMar w:left="240" w:top="140" w:right="1440" w:bottom="1440" w:gutter="0" w:footer="0" w:header="0"/>
          <w:type w:val="continuous"/>
        </w:sectPr>
      </w:pPr>
    </w:p>
    <w:p>
      <w:pPr>
        <w:spacing w:after="0" w:line="1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weighted average number of common shares outstanding</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Courier New" w:cs="Courier New" w:eastAsia="Courier New" w:hAnsi="Courier New"/>
          <w:sz w:val="16"/>
          <w:szCs w:val="16"/>
          <w:color w:val="auto"/>
        </w:rPr>
        <w:t>104,412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Courier New" w:cs="Courier New" w:eastAsia="Courier New" w:hAnsi="Courier New"/>
          <w:sz w:val="16"/>
          <w:szCs w:val="16"/>
          <w:color w:val="auto"/>
        </w:rPr>
        <w:t>101,951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5820" w:space="720"/>
            <w:col w:w="1440" w:space="280"/>
            <w:col w:w="195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earnings per common share</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6"/>
          <w:szCs w:val="16"/>
          <w:color w:val="auto"/>
        </w:rPr>
        <w:t>$0.26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6"/>
          <w:szCs w:val="16"/>
          <w:color w:val="auto"/>
        </w:rPr>
        <w:t>$0.20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5820" w:space="720"/>
            <w:col w:w="1440" w:space="280"/>
            <w:col w:w="1959"/>
          </w:cols>
          <w:pgMar w:left="240" w:top="14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earnings per common share</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6"/>
          <w:szCs w:val="16"/>
          <w:color w:val="auto"/>
        </w:rPr>
        <w:t>$0.25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6"/>
          <w:szCs w:val="16"/>
          <w:color w:val="auto"/>
        </w:rPr>
        <w:t>$0.19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9" w:lineRule="exact"/>
        <w:rPr>
          <w:sz w:val="20"/>
          <w:szCs w:val="20"/>
          <w:color w:val="auto"/>
        </w:rPr>
      </w:pPr>
    </w:p>
    <w:p>
      <w:pPr>
        <w:sectPr>
          <w:pgSz w:w="11900" w:h="16838" w:orient="portrait"/>
          <w:cols w:equalWidth="0" w:num="3">
            <w:col w:w="5820" w:space="720"/>
            <w:col w:w="1440" w:space="280"/>
            <w:col w:w="1959"/>
          </w:cols>
          <w:pgMar w:left="240" w:top="140" w:right="1440" w:bottom="1440" w:gutter="0" w:footer="0" w:header="0"/>
          <w:type w:val="continuous"/>
        </w:sect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40" w:right="1440" w:bottom="1440" w:gutter="0" w:footer="0" w:header="0"/>
          <w:type w:val="continuous"/>
        </w:sectPr>
      </w:pPr>
    </w:p>
    <w:bookmarkStart w:id="26" w:name="page27"/>
    <w:bookmarkEnd w:id="26"/>
    <w:p>
      <w:pPr>
        <w:ind w:left="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99"/>
        <w:spacing w:after="0" w:line="243" w:lineRule="auto"/>
        <w:rPr>
          <w:sz w:val="20"/>
          <w:szCs w:val="20"/>
          <w:color w:val="auto"/>
        </w:rPr>
      </w:pPr>
      <w:r>
        <w:rPr>
          <w:rFonts w:ascii="Courier New" w:cs="Courier New" w:eastAsia="Courier New" w:hAnsi="Courier New"/>
          <w:sz w:val="16"/>
          <w:szCs w:val="16"/>
          <w:color w:val="auto"/>
        </w:rPr>
        <w:t>THE SCHEDULE CONTAINS SUMMARY FINANCIAL INFORMATION EXTRACTED FROM THE ACCOMPANYING FINANCIAL STATEMENTS AND IS QUALIFIED IN ITS ENTIRETY BY REFERENCE TO SUCH FINANCIAL STATEMENTS.</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3-MOS</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SEP-30-1998</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OCT-01-1997</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DEC-31-1997</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147,274</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29,192</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221,416</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5,302</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439,356</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95,712</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50,813</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676,640</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338,087</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334,565</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676,640</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162,667</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162,667</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66,403</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66,403</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55,119</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43,347</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17,703</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25,644</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25,644</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0.26</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0.25</w:t>
      </w:r>
    </w:p>
    <w:sectPr>
      <w:pgSz w:w="11900" w:h="16838" w:orient="portrait"/>
      <w:cols w:equalWidth="0" w:num="1">
        <w:col w:w="10199"/>
      </w:cols>
      <w:pgMar w:left="26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lowerRoman"/>
      <w:start w:val="1"/>
    </w:lvl>
    <w:lvl w:ilvl="1">
      <w:lvlJc w:val="left"/>
      <w:lvlText w:val="%2."/>
      <w:numFmt w:val="decimal"/>
      <w:start w:val="1"/>
    </w:lvl>
  </w:abstractNum>
  <w:abstractNum w:abstractNumId="4">
    <w:nsid w:val="DED7263"/>
    <w:multiLevelType w:val="hybridMultilevel"/>
    <w:lvl w:ilvl="0">
      <w:lvlJc w:val="left"/>
      <w:lvlText w:val="(%1)"/>
      <w:numFmt w:val="lowerRoman"/>
      <w:start w:val="2"/>
    </w:lvl>
    <w:lvl w:ilvl="1">
      <w:lvlJc w:val="left"/>
      <w:lvlText w:val="%2."/>
      <w:numFmt w:val="decimal"/>
      <w:start w:val="3"/>
    </w:lvl>
  </w:abstractNum>
  <w:abstractNum w:abstractNumId="5">
    <w:nsid w:val="7FDCC233"/>
    <w:multiLevelType w:val="hybridMultilevel"/>
    <w:lvl w:ilvl="0">
      <w:lvlJc w:val="left"/>
      <w:lvlText w:val="%1."/>
      <w:numFmt w:val="decimal"/>
      <w:start w:val="6"/>
    </w:lvl>
    <w:lvl w:ilvl="1">
      <w:lvlJc w:val="left"/>
      <w:lvlText w:val="%2."/>
      <w:numFmt w:val="decimal"/>
      <w:start w:val="7"/>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4"/>
    </w:lvl>
  </w:abstractNum>
  <w:abstractNum w:abstractNumId="8">
    <w:nsid w:val="6B68079A"/>
    <w:multiLevelType w:val="hybridMultilevel"/>
    <w:lvl w:ilvl="0">
      <w:lvlJc w:val="left"/>
      <w:lvlText w:val="%1"/>
      <w:numFmt w:val="lowerRoman"/>
      <w:start w:val="1"/>
    </w:lvl>
    <w:lvl w:ilvl="1">
      <w:lvlJc w:val="left"/>
      <w:lvlText w:val="%2."/>
      <w:numFmt w:val="decimal"/>
      <w:start w:val="1"/>
    </w:lvl>
  </w:abstractNum>
  <w:abstractNum w:abstractNumId="9">
    <w:nsid w:val="4E6AFB66"/>
    <w:multiLevelType w:val="hybridMultilevel"/>
    <w:lvl w:ilvl="0">
      <w:lvlJc w:val="left"/>
      <w:lvlText w:val="(%1)"/>
      <w:numFmt w:val="lowerRoman"/>
      <w:start w:val="2"/>
    </w:lvl>
    <w:lvl w:ilvl="1">
      <w:lvlJc w:val="left"/>
      <w:lvlText w:val="%2."/>
      <w:numFmt w:val="decimal"/>
      <w:start w:val="3"/>
    </w:lvl>
  </w:abstractNum>
  <w:abstractNum w:abstractNumId="10">
    <w:nsid w:val="25E45D32"/>
    <w:multiLevelType w:val="hybridMultilevel"/>
    <w:lvl w:ilvl="0">
      <w:lvlJc w:val="left"/>
      <w:lvlText w:val="%1."/>
      <w:numFmt w:val="decimal"/>
      <w:start w:val="6"/>
    </w:lvl>
    <w:lvl w:ilvl="1">
      <w:lvlJc w:val="left"/>
      <w:lvlText w:val="%2."/>
      <w:numFmt w:val="decimal"/>
      <w:start w:val="7"/>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4"/>
    </w:lvl>
  </w:abstractNum>
  <w:abstractNum w:abstractNumId="13">
    <w:nsid w:val="3F2DBA31"/>
    <w:multiLevelType w:val="hybridMultilevel"/>
    <w:lvl w:ilvl="0">
      <w:lvlJc w:val="left"/>
      <w:lvlText w:val="%1"/>
      <w:numFmt w:val="lowerRoman"/>
      <w:start w:val="1"/>
    </w:lvl>
    <w:lvl w:ilvl="1">
      <w:lvlJc w:val="left"/>
      <w:lvlText w:val="%2."/>
      <w:numFmt w:val="decimal"/>
      <w:start w:val="1"/>
    </w:lvl>
  </w:abstractNum>
  <w:abstractNum w:abstractNumId="14">
    <w:nsid w:val="7C83E458"/>
    <w:multiLevelType w:val="hybridMultilevel"/>
    <w:lvl w:ilvl="0">
      <w:lvlJc w:val="left"/>
      <w:lvlText w:val="(%1)"/>
      <w:numFmt w:val="lowerRoman"/>
      <w:start w:val="2"/>
    </w:lvl>
    <w:lvl w:ilvl="1">
      <w:lvlJc w:val="left"/>
      <w:lvlText w:val="%2."/>
      <w:numFmt w:val="decimal"/>
      <w:start w:val="3"/>
    </w:lvl>
  </w:abstractNum>
  <w:abstractNum w:abstractNumId="15">
    <w:nsid w:val="257130A3"/>
    <w:multiLevelType w:val="hybridMultilevel"/>
    <w:lvl w:ilvl="0">
      <w:lvlJc w:val="left"/>
      <w:lvlText w:val="%1."/>
      <w:numFmt w:val="decimal"/>
      <w:start w:val="6"/>
    </w:lvl>
    <w:lvl w:ilvl="1">
      <w:lvlJc w:val="left"/>
      <w:lvlText w:val="%2."/>
      <w:numFmt w:val="decimal"/>
      <w:start w:val="7"/>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5"/>
    </w:lvl>
  </w:abstractNum>
  <w:abstractNum w:abstractNumId="18">
    <w:nsid w:val="628C895D"/>
    <w:multiLevelType w:val="hybridMultilevel"/>
    <w:lvl w:ilvl="0">
      <w:lvlJc w:val="left"/>
      <w:lvlText w:val="%1"/>
      <w:numFmt w:val="lowerRoman"/>
      <w:start w:val="1"/>
    </w:lvl>
    <w:lvl w:ilvl="1">
      <w:lvlJc w:val="left"/>
      <w:lvlText w:val="%2."/>
      <w:numFmt w:val="decimal"/>
      <w:start w:val="1"/>
    </w:lvl>
  </w:abstractNum>
  <w:abstractNum w:abstractNumId="19">
    <w:nsid w:val="333AB105"/>
    <w:multiLevelType w:val="hybridMultilevel"/>
    <w:lvl w:ilvl="0">
      <w:lvlJc w:val="left"/>
      <w:lvlText w:val="(%1)"/>
      <w:numFmt w:val="lowerRoman"/>
      <w:start w:val="2"/>
    </w:lvl>
    <w:lvl w:ilvl="1">
      <w:lvlJc w:val="left"/>
      <w:lvlText w:val="%2."/>
      <w:numFmt w:val="decimal"/>
      <w:start w:val="3"/>
    </w:lvl>
  </w:abstractNum>
  <w:abstractNum w:abstractNumId="20">
    <w:nsid w:val="721DA317"/>
    <w:multiLevelType w:val="hybridMultilevel"/>
    <w:lvl w:ilvl="0">
      <w:lvlJc w:val="left"/>
      <w:lvlText w:val="%1."/>
      <w:numFmt w:val="decimal"/>
      <w:start w:val="6"/>
    </w:lvl>
    <w:lvl w:ilvl="1">
      <w:lvlJc w:val="left"/>
      <w:lvlText w:val="%2."/>
      <w:numFmt w:val="decimal"/>
      <w:start w:val="7"/>
    </w:lvl>
  </w:abstractNum>
  <w:abstractNum w:abstractNumId="21">
    <w:nsid w:val="2443A858"/>
    <w:multiLevelType w:val="hybridMultilevel"/>
    <w:lvl w:ilvl="0">
      <w:lvlJc w:val="left"/>
      <w:lvlText w:val="%1."/>
      <w:numFmt w:val="decimal"/>
      <w:start w:val="9"/>
    </w:lvl>
  </w:abstractNum>
  <w:abstractNum w:abstractNumId="22">
    <w:nsid w:val="2D1D5AE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2019-12-13T14:15:06Z</dcterms:created>
  <dcterms:modified xsi:type="dcterms:W3CDTF">2019-12-13T14:15:06Z</dcterms:modified>
</cp:coreProperties>
</file>