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6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tc>
        <w:tc>
          <w:tcPr>
            <w:tcW w:w="1700" w:type="dxa"/>
            <w:vAlign w:val="bottom"/>
          </w:tcPr>
          <w:p>
            <w:pPr>
              <w:spacing w:after="0"/>
              <w:rPr>
                <w:sz w:val="17"/>
                <w:szCs w:val="17"/>
                <w:color w:val="auto"/>
              </w:rPr>
            </w:pPr>
          </w:p>
        </w:tc>
      </w:tr>
      <w:tr>
        <w:trPr>
          <w:trHeight w:val="546"/>
        </w:trPr>
        <w:tc>
          <w:tcPr>
            <w:tcW w:w="6180" w:type="dxa"/>
            <w:vAlign w:val="bottom"/>
          </w:tcPr>
          <w:p>
            <w:pPr>
              <w:jc w:val="center"/>
              <w:ind w:left="2199"/>
              <w:spacing w:after="0"/>
              <w:rPr>
                <w:sz w:val="20"/>
                <w:szCs w:val="20"/>
                <w:color w:val="auto"/>
              </w:rPr>
            </w:pPr>
            <w:r>
              <w:rPr>
                <w:rFonts w:ascii="Times New Roman" w:cs="Times New Roman" w:eastAsia="Times New Roman" w:hAnsi="Times New Roman"/>
                <w:sz w:val="43"/>
                <w:szCs w:val="43"/>
                <w:b w:val="1"/>
                <w:bCs w:val="1"/>
                <w:color w:val="auto"/>
                <w:w w:val="98"/>
              </w:rPr>
              <w:t>Gartner, Inc.</w:t>
            </w:r>
          </w:p>
        </w:tc>
        <w:tc>
          <w:tcPr>
            <w:tcW w:w="1700" w:type="dxa"/>
            <w:vAlign w:val="bottom"/>
          </w:tcPr>
          <w:p>
            <w:pPr>
              <w:spacing w:after="0"/>
              <w:rPr>
                <w:sz w:val="24"/>
                <w:szCs w:val="24"/>
                <w:color w:val="auto"/>
              </w:rPr>
            </w:pPr>
          </w:p>
        </w:tc>
      </w:tr>
      <w:tr>
        <w:trPr>
          <w:trHeight w:val="234"/>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20"/>
                <w:szCs w:val="20"/>
                <w:color w:val="auto"/>
              </w:rPr>
            </w:pPr>
          </w:p>
        </w:tc>
      </w:tr>
      <w:tr>
        <w:trPr>
          <w:trHeight w:val="252"/>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8"/>
              </w:rPr>
              <w:t>Delaware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04-3099750</w:t>
            </w: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5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P.O. Box 10212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06902-7700</w:t>
            </w:r>
          </w:p>
        </w:tc>
      </w:tr>
      <w:tr>
        <w:trPr>
          <w:trHeight w:val="230"/>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56 Top Gallant Road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29"/>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Stamford,</w:t>
            </w:r>
          </w:p>
        </w:tc>
        <w:tc>
          <w:tcPr>
            <w:tcW w:w="1700" w:type="dxa"/>
            <w:vAlign w:val="bottom"/>
          </w:tcPr>
          <w:p>
            <w:pPr>
              <w:spacing w:after="0"/>
              <w:rPr>
                <w:sz w:val="19"/>
                <w:szCs w:val="19"/>
                <w:color w:val="auto"/>
              </w:rPr>
            </w:pP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Connecticut</w:t>
            </w:r>
          </w:p>
        </w:tc>
        <w:tc>
          <w:tcPr>
            <w:tcW w:w="1700" w:type="dxa"/>
            <w:vAlign w:val="bottom"/>
          </w:tcPr>
          <w:p>
            <w:pPr>
              <w:spacing w:after="0"/>
              <w:rPr>
                <w:sz w:val="19"/>
                <w:szCs w:val="19"/>
                <w:color w:val="auto"/>
              </w:rPr>
            </w:pPr>
          </w:p>
        </w:tc>
      </w:tr>
      <w:tr>
        <w:trPr>
          <w:trHeight w:val="23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bl>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(203) 964-0096</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$.0005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2"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240" w:hanging="1759"/>
        <w:spacing w:after="0" w:line="26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sectPr>
          <w:pgSz w:w="11900" w:h="16838" w:orient="portrait"/>
          <w:cols w:equalWidth="0" w:num="2">
            <w:col w:w="3180" w:space="720"/>
            <w:col w:w="7340"/>
          </w:cols>
          <w:pgMar w:left="320" w:top="1272" w:right="339" w:bottom="1440" w:gutter="0" w:footer="0" w:header="0"/>
          <w:type w:val="continuous"/>
        </w:sectPr>
      </w:pPr>
    </w:p>
    <w:p>
      <w:pPr>
        <w:ind w:left="20" w:right="14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3" w:lineRule="exact"/>
        <w:rPr>
          <w:sz w:val="24"/>
          <w:szCs w:val="24"/>
          <w:color w:val="auto"/>
        </w:rPr>
      </w:pPr>
    </w:p>
    <w:p>
      <w:pPr>
        <w:ind w:right="20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2024, 77,134,280 shares of the registrant’s common shares were outstanding.</w:t>
      </w:r>
    </w:p>
    <w:p>
      <w:pPr>
        <w:spacing w:after="0" w:line="200" w:lineRule="exact"/>
        <w:rPr>
          <w:sz w:val="24"/>
          <w:szCs w:val="24"/>
          <w:color w:val="auto"/>
        </w:rPr>
      </w:pPr>
    </w:p>
    <w:p>
      <w:pPr>
        <w:spacing w:after="0" w:line="376"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340" w:type="dxa"/>
            <w:vAlign w:val="bottom"/>
            <w:gridSpan w:val="10"/>
            <w:vMerge w:val="restart"/>
          </w:tcPr>
          <w:p>
            <w:pPr>
              <w:spacing w:after="0"/>
              <w:rPr>
                <w:sz w:val="20"/>
                <w:szCs w:val="20"/>
                <w:color w:val="auto"/>
              </w:rPr>
            </w:pP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80" w:type="dxa"/>
            <w:vAlign w:val="bottom"/>
            <w:tcBorders>
              <w:bottom w:val="single" w:sz="8" w:color="0000FF"/>
            </w:tcBorders>
            <w:gridSpan w:val="6"/>
            <w:vMerge w:val="continue"/>
          </w:tcPr>
          <w:p>
            <w:pPr>
              <w:spacing w:after="0"/>
              <w:rPr>
                <w:sz w:val="16"/>
                <w:szCs w:val="16"/>
                <w:color w:val="auto"/>
              </w:rPr>
            </w:pPr>
          </w:p>
        </w:tc>
        <w:tc>
          <w:tcPr>
            <w:tcW w:w="7340" w:type="dxa"/>
            <w:vAlign w:val="bottom"/>
            <w:gridSpan w:val="10"/>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668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2024 and December 31, 2023</w:t>
            </w:r>
          </w:p>
        </w:tc>
        <w:tc>
          <w:tcPr>
            <w:tcW w:w="5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5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2024 and 2023</w:t>
            </w:r>
          </w:p>
        </w:tc>
        <w:tc>
          <w:tcPr>
            <w:tcW w:w="840" w:type="dxa"/>
            <w:vAlign w:val="bottom"/>
            <w:gridSpan w:val="2"/>
          </w:tcPr>
          <w:p>
            <w:pPr>
              <w:spacing w:after="0"/>
              <w:rPr>
                <w:sz w:val="18"/>
                <w:szCs w:val="18"/>
                <w:color w:val="auto"/>
              </w:rPr>
            </w:pPr>
          </w:p>
        </w:tc>
        <w:tc>
          <w:tcPr>
            <w:tcW w:w="5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for the Three and Nine Months Ended September 30, 2024 and 2023</w:t>
            </w:r>
          </w:p>
        </w:tc>
        <w:tc>
          <w:tcPr>
            <w:tcW w:w="180" w:type="dxa"/>
            <w:vAlign w:val="bottom"/>
          </w:tcPr>
          <w:p>
            <w:pPr>
              <w:spacing w:after="0"/>
              <w:rPr>
                <w:sz w:val="18"/>
                <w:szCs w:val="18"/>
                <w:color w:val="auto"/>
              </w:rPr>
            </w:pPr>
          </w:p>
        </w:tc>
        <w:tc>
          <w:tcPr>
            <w:tcW w:w="5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230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40" w:type="dxa"/>
            <w:vAlign w:val="bottom"/>
            <w:gridSpan w:val="3"/>
          </w:tcPr>
          <w:p>
            <w:pPr>
              <w:spacing w:after="0"/>
              <w:rPr>
                <w:sz w:val="18"/>
                <w:szCs w:val="18"/>
                <w:color w:val="auto"/>
              </w:rPr>
            </w:pPr>
          </w:p>
        </w:tc>
        <w:tc>
          <w:tcPr>
            <w:tcW w:w="2480" w:type="dxa"/>
            <w:vAlign w:val="bottom"/>
            <w:gridSpan w:val="4"/>
          </w:tcPr>
          <w:p>
            <w:pPr>
              <w:spacing w:after="0"/>
              <w:rPr>
                <w:sz w:val="18"/>
                <w:szCs w:val="18"/>
                <w:color w:val="auto"/>
              </w:rPr>
            </w:pPr>
          </w:p>
        </w:tc>
        <w:tc>
          <w:tcPr>
            <w:tcW w:w="5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840" w:type="dxa"/>
            <w:vAlign w:val="bottom"/>
            <w:gridSpan w:val="2"/>
          </w:tcPr>
          <w:p>
            <w:pPr>
              <w:spacing w:after="0"/>
              <w:rPr>
                <w:sz w:val="18"/>
                <w:szCs w:val="18"/>
                <w:color w:val="auto"/>
              </w:rPr>
            </w:pP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5"/>
          </w:tcPr>
          <w:p>
            <w:pPr>
              <w:spacing w:after="0"/>
              <w:rPr>
                <w:sz w:val="18"/>
                <w:szCs w:val="18"/>
                <w:color w:val="auto"/>
              </w:rPr>
            </w:pP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10"/>
        </w:trPr>
        <w:tc>
          <w:tcPr>
            <w:tcW w:w="2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480" w:type="dxa"/>
            <w:vAlign w:val="bottom"/>
            <w:tcBorders>
              <w:top w:val="single" w:sz="8" w:color="0000FF"/>
            </w:tcBorders>
            <w:gridSpan w:val="2"/>
          </w:tcPr>
          <w:p>
            <w:pPr>
              <w:spacing w:after="0"/>
              <w:rPr>
                <w:sz w:val="18"/>
                <w:szCs w:val="18"/>
                <w:color w:val="auto"/>
              </w:rPr>
            </w:pPr>
          </w:p>
        </w:tc>
        <w:tc>
          <w:tcPr>
            <w:tcW w:w="7160" w:type="dxa"/>
            <w:vAlign w:val="bottom"/>
            <w:gridSpan w:val="9"/>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3"/>
          </w:tcPr>
          <w:p>
            <w:pPr>
              <w:spacing w:after="0"/>
              <w:rPr>
                <w:sz w:val="18"/>
                <w:szCs w:val="18"/>
                <w:color w:val="auto"/>
              </w:rPr>
            </w:pP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680" w:type="dxa"/>
            <w:vAlign w:val="bottom"/>
            <w:gridSpan w:val="5"/>
          </w:tcPr>
          <w:p>
            <w:pPr>
              <w:spacing w:after="0"/>
              <w:rPr>
                <w:sz w:val="18"/>
                <w:szCs w:val="18"/>
                <w:color w:val="auto"/>
              </w:rPr>
            </w:pP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4180" w:type="dxa"/>
            <w:vAlign w:val="bottom"/>
            <w:gridSpan w:val="7"/>
          </w:tcPr>
          <w:p>
            <w:pPr>
              <w:spacing w:after="0"/>
              <w:rPr>
                <w:sz w:val="18"/>
                <w:szCs w:val="18"/>
                <w:color w:val="auto"/>
              </w:rPr>
            </w:pPr>
          </w:p>
        </w:tc>
        <w:tc>
          <w:tcPr>
            <w:tcW w:w="3680" w:type="dxa"/>
            <w:vAlign w:val="bottom"/>
            <w:gridSpan w:val="5"/>
          </w:tcPr>
          <w:p>
            <w:pPr>
              <w:spacing w:after="0"/>
              <w:rPr>
                <w:sz w:val="18"/>
                <w:szCs w:val="18"/>
                <w:color w:val="auto"/>
              </w:rPr>
            </w:pP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1060" w:type="dxa"/>
            <w:vAlign w:val="bottom"/>
            <w:gridSpan w:val="3"/>
          </w:tcPr>
          <w:p>
            <w:pPr>
              <w:spacing w:after="0"/>
              <w:rPr>
                <w:sz w:val="18"/>
                <w:szCs w:val="18"/>
                <w:color w:val="auto"/>
              </w:rPr>
            </w:pPr>
          </w:p>
        </w:tc>
        <w:tc>
          <w:tcPr>
            <w:tcW w:w="7860" w:type="dxa"/>
            <w:vAlign w:val="bottom"/>
            <w:gridSpan w:val="12"/>
          </w:tcPr>
          <w:p>
            <w:pPr>
              <w:spacing w:after="0"/>
              <w:rPr>
                <w:sz w:val="18"/>
                <w:szCs w:val="18"/>
                <w:color w:val="auto"/>
              </w:rPr>
            </w:pPr>
          </w:p>
        </w:tc>
        <w:tc>
          <w:tcPr>
            <w:tcW w:w="5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89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share data)</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0" w:type="dxa"/>
            <w:vAlign w:val="bottom"/>
          </w:tcPr>
          <w:p>
            <w:pPr>
              <w:spacing w:after="0"/>
              <w:rPr>
                <w:sz w:val="1"/>
                <w:szCs w:val="1"/>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receivable, net of allowances of $9,000 for both periods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1,601,228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380,479</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3,427,886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366,809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2,937,260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1,127,604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3,777,719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2,448,696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7,155,285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$0.0005 par value, 250,000,000 shares authorized; 163,602,067 shares issued for both periods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86,094,671 and 85,264,526 common shares, respectively</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(6,934,865)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7,845,450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5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08"/>
        </w:trPr>
        <w:tc>
          <w:tcPr>
            <w:tcW w:w="5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1,280,908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3,815,072</w:t>
            </w:r>
          </w:p>
        </w:tc>
        <w:tc>
          <w:tcPr>
            <w:tcW w:w="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3,643,815</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290,739</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405,291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386,284</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4,552,292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4,320,838</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1,448,097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1,373,398</w:t>
            </w: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1,997,785</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72,155</w:t>
            </w: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69,625</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1,238,482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3,713,800</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3,385,357</w:t>
            </w: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838,492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935,481</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(73,769)</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1,085,726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869,875</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196,040</w:t>
            </w: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415,049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855,142</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673,835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5"/>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8.44</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5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77,880</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GARTNER,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855,142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673,835</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680,887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4,949,837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(6,522,860)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(347,969)</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5,179,385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top w:val="single" w:sz="8" w:color="CCEEFF"/>
            </w:tcBorders>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415,049</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415,049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5,594,434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(6,934,865)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1,064,682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2023</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(5,806,434)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472,858</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586,506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Borders>
              <w:top w:val="single" w:sz="8" w:color="CCEEFF"/>
            </w:tcBorders>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180,009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180,009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(223,381)</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855,142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673,835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141,780</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104,323</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(49,550)</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52,741</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418,033</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77,510</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(39,204)</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(28,752)</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(51,412)</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(247,405)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931,407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(75,145)</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divested operation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156,057</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(79,796)</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(633,377)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(447,739)</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(615,557)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(434,024)</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(23,139)</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1,249,955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Basis of Presentation</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priorities.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Gartner delivers its products and services globally through three business segments: Research, Conferences and Consulting. Revenues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for the Company’s segments are discussed in Note 7 — Segment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accompanying interim Condensed Consolidated Financial Statements have been prepared in accordance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2023.</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and nine months ended September 30, 2024 may not be indicative of the results of operations for the remainder of 2024 or beyond. When used in these notes, the terms “Gartner,” the “Company,” “we,” “us,” or “our” refer to Gartner, Inc. and its consolidated subsidiaries.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accompanying interim Condensed Consolidated Financial Statements include the accounts of the Company and its wholly-owned subsidiaries. All intercompany transactions and balances have been eliminated.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accompanying interim Condensed Consolidated Financial Statements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these interim Condensed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Below is a table presenting the beginning-of-period and end-of-period cash amounts from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and the total cash amounts presented in the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8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classified in (1):</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1,768,292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r>
      <w:tr>
        <w:trPr>
          <w:trHeight w:val="20"/>
        </w:trPr>
        <w:tc>
          <w:tcPr>
            <w:tcW w:w="4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2"/>
        </w:trPr>
        <w:tc>
          <w:tcPr>
            <w:tcW w:w="4380" w:type="dxa"/>
            <w:vAlign w:val="bottom"/>
            <w:tcBorders>
              <w:bottom w:val="single" w:sz="8" w:color="auto"/>
            </w:tcBorders>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consisted of an escrow account established in connection with one of the Company’s business acquisitions. Generally, such cash is restricted to use due to provisions contained in the underlying acquisition agreement. During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color w:val="auto"/>
        </w:rPr>
        <w:t>nine months ended September 30, 2024, the Company paid $0.6 million of restricted cash for deferred consideration related to a 2022 acquisition.</w:t>
      </w: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in accordance with the requirements of FASB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Gain on event cancellation insurance claims. </w:t>
      </w:r>
      <w:r>
        <w:rPr>
          <w:rFonts w:ascii="Times New Roman" w:cs="Times New Roman" w:eastAsia="Times New Roman" w:hAnsi="Times New Roman"/>
          <w:sz w:val="18"/>
          <w:szCs w:val="18"/>
          <w:color w:val="auto"/>
        </w:rPr>
        <w:t>On July 25, 2024 the Company entered into a settlement agreement to resolve litigation concerning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event cancellation insurance for 2020 and 2021. The settlement resolved all remaining 2020 and 2021 event cancellation insurance claims for $300.0 million, which the Company received in August 2024. In February 2023, the Company received $3.1 million of proceeds related to 2020 event cancellation insurance claims. The Company does not record any gain on insurance claims in excess of expenses incurred until the receipt of the insurance proceeds is deemed to be realizable.</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accounting standards that have not yet become effective as of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impact the Company’s Consolidated Financial Statements or related disclosures in future periods. The standards and their potential impacts are discussed below.</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No. 2023-09”).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and financial condition.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Improvements in Reportable Segment Disclosures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2023-07”). The amendments in the ASU are expected to improve disclosures about a public 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requires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will be required to report segment information in accordance with the new guidance starting in annual periods beginning after December 15, 2023 and for interim periods within annual periods beginning after December 15, 2024. The Company expects this ASU to only impact its disclosures with no impacts to the Company’s results of operations, cash flows,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 and Divestiture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the Company acquired 100% of a formerly independent sales agent of Gartner research products in the Czech Republic for an aggregate purchase price of $7.9 million, including cash acquired and deferred consideration. During the nine months ended September 30, 2024, the Company paid $2.0 million of deferred consideration.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completed the sale of a non-core business, TalentNeuron, for approximately $161.1 million net of post-close adjustments. The Company recorded a pre-tax gain of $135.4 million on the sale of TalentNeuron, which is included in Gain from sale of divested operation in the Consolidated Statement of Operations during the nine months ended September 30, 2023. TalentNeuron was included in the Company’s Research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2024 that indicated no impairment. Subsequent to completing the 2024 annual impairment test, there were no events or changes in circumstances noted that required an interim impairment test.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changes to the carrying amount of goodwill by segment during the nine months ended September 30,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2,937,260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 (1)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2,657,627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2,937,780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471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accumulated goodwill impairment losses.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the carrying amounts of the Company’s finite-lived intangible assets as of the dates indicated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fully amortized</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1,091,947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1,102,147</w:t>
            </w: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(662,000)</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440,147</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(596,625)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377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86" w:lineRule="exact"/>
        <w:rPr>
          <w:sz w:val="20"/>
          <w:szCs w:val="20"/>
          <w:color w:val="auto"/>
        </w:rPr>
      </w:pPr>
    </w:p>
    <w:p>
      <w:pPr>
        <w:ind w:left="340" w:hanging="332"/>
        <w:spacing w:after="0" w:line="28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Technology-related—3 years; and Other—11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was $22.2 million and $24.0 million during the three months ended September 30, 2024 and 2023, respectively, and $68.1 million and $69.6 million during the nine months ended September 30, 2024 and 2023, respectively. The estimated future amortization expense by year for finite-lived intangible assets is presented in the table below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82,606</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79,932</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79,324</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77,852</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98,081</w:t>
            </w:r>
          </w:p>
        </w:tc>
      </w:tr>
      <w:tr>
        <w:trPr>
          <w:trHeight w:val="248"/>
        </w:trPr>
        <w:tc>
          <w:tcPr>
            <w:tcW w:w="9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440,147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Revenue and Related Matters</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Disaggregated Revenue </w:t>
      </w:r>
      <w:r>
        <w:rPr>
          <w:rFonts w:ascii="Times New Roman" w:cs="Times New Roman" w:eastAsia="Times New Roman" w:hAnsi="Times New Roman"/>
          <w:sz w:val="18"/>
          <w:szCs w:val="18"/>
          <w:color w:val="auto"/>
        </w:rPr>
        <w:t>— The Company’s disaggregated revenue by reportable segment is presented in the tables below for the periods indicated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Primary Geographic Market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923,834</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369,039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146,797</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191,433</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1,484,306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917,462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261,813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321,713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134,525</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132,845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1,408,784</w:t>
            </w:r>
          </w:p>
        </w:tc>
        <w:tc>
          <w:tcPr>
            <w:tcW w:w="0" w:type="dxa"/>
            <w:vAlign w:val="bottom"/>
          </w:tcPr>
          <w:p>
            <w:pPr>
              <w:spacing w:after="0"/>
              <w:rPr>
                <w:sz w:val="1"/>
                <w:szCs w:val="1"/>
                <w:color w:val="auto"/>
              </w:rPr>
            </w:pPr>
          </w:p>
        </w:tc>
      </w:tr>
      <w:tr>
        <w:trPr>
          <w:trHeight w:val="21"/>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2,940,465</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873,109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1,072,472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437,828</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539,355</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3,815,072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405,291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4,552,292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2,864,991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788,725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963,438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410,566</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492,409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3,643,815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386,284</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4,320,838</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471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Timing of Revenue Recognition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1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1,307,428</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1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74,726</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75,776</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176,878</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1,484,306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3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1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1,225,004</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1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93,454</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183,780</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1,408,784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3,576,076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3,892,493</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238,996</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659,799</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4,552,292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3,649,056</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295,406</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290,739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85,637</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671,782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4,320,838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471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are recognized in connection with performance obligations that are satisfied at the point in time that the contractual deliverables are provided to the customer.</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For customer contracts that are greater than one year in duration, the aggregate amount of the transaction price allocated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that were unsatisfied (or partially unsatisfied) as of September 30, 2024 was approximately $5.7 billion. The Company expects to recognize $1.0 billion, $3.0 billion and $1.7 billion of this revenue (most of which pertains to Research) during the remainder of 2024, the year ending December 31, 2025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Research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Contract Assets and Liabilities </w:t>
      </w:r>
      <w:r>
        <w:rPr>
          <w:rFonts w:ascii="Times New Roman" w:cs="Times New Roman" w:eastAsia="Times New Roman" w:hAnsi="Times New Roman"/>
          <w:sz w:val="18"/>
          <w:szCs w:val="18"/>
          <w:color w:val="auto"/>
        </w:rPr>
        <w:t>— The timing of the recognition of revenue and the amount and timing of the Company’s billings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1,314,754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1,610,228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31,977</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28,791</w:t>
            </w:r>
          </w:p>
        </w:tc>
        <w:tc>
          <w:tcPr>
            <w:tcW w:w="0" w:type="dxa"/>
            <w:vAlign w:val="bottom"/>
          </w:tcPr>
          <w:p>
            <w:pPr>
              <w:spacing w:after="0"/>
              <w:rPr>
                <w:sz w:val="1"/>
                <w:szCs w:val="1"/>
                <w:color w:val="auto"/>
              </w:rPr>
            </w:pPr>
          </w:p>
        </w:tc>
      </w:tr>
      <w:tr>
        <w:trPr>
          <w:trHeight w:val="21"/>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7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2,562,139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2,586,537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2,674,005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to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restrictions.</w:t>
      </w:r>
    </w:p>
    <w:p>
      <w:pPr>
        <w:ind w:left="340" w:right="20" w:hanging="332"/>
        <w:spacing w:after="0" w:line="26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$1.1 billion and $1.0 billion during the three months ended September 30, 2024 and 2023, respectively and $2.1 billion and $1.9 billion during the nine months ended September 30, 2024 and 2023, respectively, that was attributable to deferred revenues that were recorded at the beginning of each such period. Those amounts primarily consisted of Research revenues that were recognized ratably as control of the goods or services passed to the customer during the reporting periods. During each of the three and nine months ended September 30, 2024 and 2023, the Company did not record any material impairments related to its contract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Computation of Earnings Per Share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periods indicated (in thousands, except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673,835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5"/>
        </w:trPr>
        <w:tc>
          <w:tcPr>
            <w:tcW w:w="6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79,220</w:t>
            </w:r>
          </w:p>
        </w:tc>
      </w:tr>
      <w:tr>
        <w:trPr>
          <w:trHeight w:val="176"/>
        </w:trPr>
        <w:tc>
          <w:tcPr>
            <w:tcW w:w="6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(1)</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8.44</w:t>
            </w:r>
          </w:p>
        </w:tc>
      </w:tr>
      <w:tr>
        <w:trPr>
          <w:trHeight w:val="20"/>
        </w:trPr>
        <w:tc>
          <w:tcPr>
            <w:tcW w:w="5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63" w:lineRule="exact"/>
        <w:rPr>
          <w:sz w:val="20"/>
          <w:szCs w:val="20"/>
          <w:color w:val="auto"/>
        </w:rPr>
      </w:pPr>
    </w:p>
    <w:p>
      <w:pPr>
        <w:jc w:val="both"/>
        <w:ind w:left="340" w:hanging="332"/>
        <w:spacing w:after="0" w:line="256" w:lineRule="auto"/>
        <w:tabs>
          <w:tab w:leader="none" w:pos="336" w:val="left"/>
        </w:tabs>
        <w:numPr>
          <w:ilvl w:val="0"/>
          <w:numId w:val="8"/>
        </w:numPr>
        <w:rPr>
          <w:rFonts w:ascii="Calibri" w:cs="Calibri" w:eastAsia="Calibri" w:hAnsi="Calibri"/>
          <w:sz w:val="20"/>
          <w:szCs w:val="20"/>
          <w:color w:val="auto"/>
        </w:rPr>
      </w:pPr>
      <w:r>
        <w:rPr>
          <w:rFonts w:ascii="Times New Roman" w:cs="Times New Roman" w:eastAsia="Times New Roman" w:hAnsi="Times New Roman"/>
          <w:sz w:val="18"/>
          <w:szCs w:val="18"/>
          <w:color w:val="auto"/>
        </w:rPr>
        <w:t>Certain outstanding awards associated with stock-based compensation plans were not included in the computation of diluted income per share because the effect would have been anti-dilutive. These anti-dilutive outstanding awards associated with stock-based compensation plans was de minimis and approximately 0.1 million for the three and nine months ended September 30, 2024, respectively and approximately 0.1 million for both the three and nine months ended September 30,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Stock-Based Compensation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September 30, 2024, the Company had 5.6 million shares of its common stock, par value $0.0005 per share, (the “Common Stock”) available for stock-based compensation awards under the Gartner, Inc. Long-Term Incentive Plan as amended and restated in June 2023 (the “Plan”).</w:t>
      </w:r>
    </w:p>
    <w:p>
      <w:pPr>
        <w:spacing w:after="0" w:line="20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9"/>
                <w:szCs w:val="19"/>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18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
        </w:trPr>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7"/>
        </w:trPr>
        <w:tc>
          <w:tcPr>
            <w:tcW w:w="3760" w:type="dxa"/>
            <w:vAlign w:val="bottom"/>
          </w:tcPr>
          <w:p>
            <w:pPr>
              <w:spacing w:after="0"/>
              <w:rPr>
                <w:sz w:val="24"/>
                <w:szCs w:val="24"/>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48"/>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34715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58" w:lineRule="auto"/>
        <w:tabs>
          <w:tab w:leader="none" w:pos="336" w:val="left"/>
        </w:tabs>
        <w:numPr>
          <w:ilvl w:val="0"/>
          <w:numId w:val="9"/>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Includes costs of $12.9 million and $8.5 million during the three months ended September 30, 2024 and 2023, respectively, and $61.9 million and $48.4 million during the nine months ended September 30, 2024 and 2023, respectively, for awards to retirement-eligible employees. Those awards are expensed on an accelerated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Segment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and services are delivered through three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color w:val="auto"/>
        </w:rPr>
      </w:pPr>
    </w:p>
    <w:p>
      <w:pPr>
        <w:jc w:val="both"/>
        <w:ind w:left="340" w:hanging="332"/>
        <w:spacing w:after="0" w:line="253" w:lineRule="auto"/>
        <w:tabs>
          <w:tab w:leader="none" w:pos="333" w:val="left"/>
        </w:tabs>
        <w:numPr>
          <w:ilvl w:val="0"/>
          <w:numId w:val="1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evaluates segment performance and allocates resources based on gross contribution margin.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and Gain from sale of divested operation.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1,484,306</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1,015,432</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(769,608)</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245,824</w:t>
            </w: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1,408,784</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963,149</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(718,732)</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244,417</w:t>
            </w:r>
          </w:p>
        </w:tc>
      </w:tr>
      <w:tr>
        <w:trPr>
          <w:trHeight w:val="21"/>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4,552,292</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3,132,495</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(2,294,003)</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838,492</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4,320,838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2,678,945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2,971,312</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(2,035,831)</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935,481</w:t>
            </w:r>
          </w:p>
        </w:tc>
      </w:tr>
      <w:tr>
        <w:trPr>
          <w:trHeight w:val="21"/>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segment gross contribution to net income for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contribution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1,015,432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2,971,312</w:t>
            </w: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 and product development - unallocated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23,872</w:t>
            </w:r>
          </w:p>
        </w:tc>
      </w:tr>
      <w:tr>
        <w:trPr>
          <w:trHeight w:val="230"/>
        </w:trPr>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711,729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1,997,785</w:t>
            </w:r>
          </w:p>
        </w:tc>
      </w:tr>
      <w:tr>
        <w:trPr>
          <w:trHeight w:val="229"/>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141,780</w:t>
            </w:r>
          </w:p>
        </w:tc>
      </w:tr>
      <w:tr>
        <w:trPr>
          <w:trHeight w:val="230"/>
        </w:trPr>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r>
      <w:tr>
        <w:trPr>
          <w:trHeight w:val="229"/>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245,824</w:t>
            </w: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838,492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935,481</w:t>
            </w:r>
          </w:p>
        </w:tc>
      </w:tr>
      <w:tr>
        <w:trPr>
          <w:trHeight w:val="230"/>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(68,683)</w:t>
            </w:r>
          </w:p>
        </w:tc>
      </w:tr>
      <w:tr>
        <w:trPr>
          <w:trHeight w:val="230"/>
        </w:trPr>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29"/>
        </w:trPr>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111,823</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196,040</w:t>
            </w: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415,049</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673,835</w:t>
            </w: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5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76" w:lineRule="exact"/>
        <w:rPr>
          <w:sz w:val="20"/>
          <w:szCs w:val="20"/>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5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facility (1), (2)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Credit Agreement - Term loan facility</w:t>
            </w: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credit facility</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4.50% Senior Notes due 2028 (“2028 Notes”)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Senior Notes due 2029 (“2029 Notes”)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3.75% Senior Notes due 2030 (“2030 Notes”)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(5)</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r>
      <w:tr>
        <w:trPr>
          <w:trHeight w:val="223"/>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2,458,889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2,458,296</w:t>
            </w:r>
          </w:p>
        </w:tc>
      </w:tr>
      <w:tr>
        <w:trPr>
          <w:trHeight w:val="20"/>
        </w:trPr>
        <w:tc>
          <w:tcPr>
            <w:tcW w:w="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17" w:lineRule="exact"/>
        <w:rPr>
          <w:sz w:val="20"/>
          <w:szCs w:val="20"/>
          <w:color w:val="auto"/>
        </w:rPr>
      </w:pPr>
    </w:p>
    <w:p>
      <w:pPr>
        <w:jc w:val="both"/>
        <w:ind w:left="340" w:hanging="332"/>
        <w:spacing w:after="0" w:line="257"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September 30, 2024 on the 2024 Credit Agreement was 6.600%, which consisted of Term Secured Overnight Financing Rate (“SOFR”) of 5.250% plus a margin of 1.350%. However, the Company has an interest rate swap contract that effectively converts the floating SOFR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$0.7 billion of available borrowing capacity on the 2024 Credit Agreement revolver (not including the expansion feature) as of September 30, 2024.</w:t>
      </w:r>
    </w:p>
    <w:p>
      <w:pPr>
        <w:ind w:left="34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bears interest at a fixed rate of 1.75%. This loan may be repaid at any time by the Company without penalty.</w:t>
      </w:r>
    </w:p>
    <w:p>
      <w:pPr>
        <w:ind w:left="340" w:right="2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the three and nine months ended September 30, 2024, including the effects of its interest rate swaps discussed below, was 4.96% and 5.00%, respectively.</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net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the Company entered into a Credit Agreement (the “2024 Credit Agreement”) among the Company, as borrower, the lenders party thereto and JPMorgan Chase Bank, N.A., as administrative agent (the “Administrative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September 30, 2024, the applicable all-in margin on the revolving facility was 1.35% (including the credit spread adjustment). The commitment fee payable on the unused portion of the facility is equal to between 0.125% and 0.25% based on utilization of the facility. The Company has also agreed to pay customary letter of credit fees.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Subsidiaries of the Company are not required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guarantee obligations under the facility, unless such subsidiaries guarantee indebtedness in excess of a threshold set out in the 2024 Credit Agreement, subject to certain limitations and exceptions.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allows the lenders to terminate their obligations to lend under the 2024 Credit Agreement and could result in the acceleration of the Company’s obligations under the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2029 Notes at any time on or after June 15, 2024 for cash at the redemption prices set forth in the 2029 Notes Indenture, plus accrued and unpaid interest to, but excluding, the redemption date. Prior to June 15, 2024, the Company may redeem up to 40% of the aggregate principal amount of the 2029 Notes in connection with certain equity offerings, or some or all of the 2029 Notes with a “make-whole” premium, in each case subject to the terms set forth in the 2029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2029 Notes were released from their guarantee obligations with respect to the Notes, in accordance with the terms of the indenture pursuant to which the 2029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2030 Notes were released from their guarantee obligations with respect to the Notes, in accordance with the terms of the indenture pursuant to which the 2030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2028 Notes were released from their guarantee obligations with respect to the Notes, in accordance with the terms of the indenture pursuant to which the 2028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entering into the 2024 Credit Agreement, the Company had a credit facility that provided for a $400.0 million Term loan facility and a $1.0 billion Revolving credit facility (the “2020 Credit Agreement”). The 2020 Credit Agreement contained certain customary restrictive loan covenants, including, among others, financial covenants that applied a maximum consolidated leverage ratio and a minimum consolidated interest expense coverage ratio. On March 26, 2024, concurrently with the Company’s entry into the 2024 Credit Agreement, the Company terminated the 2020 Credit Agreement and repaid all amounts outstanding.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one fixed-for-floating interest rate swap contract with a notional value of $350.0 million that matures in September 2025. Under the contract, the Company pays a base fixed rate of 2.98% and in return receives a floating Term SOFR base rate on 30-day notional borrowings.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 are recorded in Other (expense) income, net. The amounts previously recorded in Accumulated other comprehensive loss are amortized into Interest expense, net over the terms of the hedged forecasted interest payments. As of September 30, 2024, $17.8 million is remaining in Accumulated other comprehensive loss, net. See Note 11 — Derivatives and Hedging for the amounts remaining in Accumulated other comprehensive loss, net of tax effect, at September 30, 2024 and December 31, 2023. See Note 12 — Fair Value Disclosures for a discussion of the fair values of Company’s interest rate swaps.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the Company’s Board of Directors (the “Board”) authorized a share repurchase program to repurchase up to $1.2 billion of the Company’s common stock. The Board authorized incremental share repurchases of up to an aggregate additional $4.1 billion of the Company’s common stock from February 2021 to July 2024. As of September 30, 2024, $1.0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Company’s share repurchase activity is presented in the table below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 (1)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1,400,129</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repurchased shares (in thousands) (2)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68,660</w:t>
            </w:r>
          </w:p>
        </w:tc>
        <w:tc>
          <w:tcPr>
            <w:tcW w:w="1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633,377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34715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35" w:lineRule="exact"/>
        <w:rPr>
          <w:sz w:val="20"/>
          <w:szCs w:val="20"/>
          <w:color w:val="auto"/>
        </w:rPr>
      </w:pPr>
    </w:p>
    <w:p>
      <w:pPr>
        <w:jc w:val="both"/>
        <w:ind w:left="340" w:hanging="332"/>
        <w:spacing w:after="0" w:line="257"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purchase price for repurchased shares was $466.99 and $341.11 for the three months ended September 30, 2024 and 2023, respectively, and $450.92 and $330.50 for the nine months ended September 30, 2024 and 2023, respectively. The repurchased shares during the three and nine months ended September 30, 2024 and 2023 included purchases for both open market purchases and stock-based compensation award settlements.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repurchased shares during the nine months ended September 30, 2024 excluded excise tax accrued. The cash paid for repurchased shares during the nine months ended September 30, 2023 excluded $15.0 million of open market purchases with trade dates in September 2023 that settled in October 2023 and excise tax accrued. The cash paid for repurchased shares during the three months ended September 30, 2024 included $5.0 million of open market purchases with trade dates in June 2024 that settled in July 2024. The cash paid for repurchased shares during the three months ended September 30, 2023 included $3.1 million of open market purchases with trade dates in June 2023 that settled in July 2023, and excluded $15.0 million of open market purchases with trade dates in September 2023 that settled in October 2023 and excise tax accrued.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net (“AOCL”)</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AOCL by component and the related amounts reclassified out of AOCL to income during the periods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June 30, 2024</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(59,112)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(36,714)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June 30, 2023</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(49,351)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(85,127)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(13,171)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(13,171)</w:t>
            </w: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(13,171)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September 30, 2023</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(62,522)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(94,558)</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0" w:type="dxa"/>
            <w:vAlign w:val="bottom"/>
          </w:tcPr>
          <w:p>
            <w:pPr>
              <w:spacing w:after="0"/>
              <w:rPr>
                <w:sz w:val="1"/>
                <w:szCs w:val="1"/>
                <w:color w:val="auto"/>
              </w:rPr>
            </w:pP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(55,633)</w:t>
            </w:r>
          </w:p>
        </w:tc>
        <w:tc>
          <w:tcPr>
            <w:tcW w:w="0" w:type="dxa"/>
            <w:vAlign w:val="bottom"/>
          </w:tcPr>
          <w:p>
            <w:pPr>
              <w:spacing w:after="0"/>
              <w:rPr>
                <w:sz w:val="1"/>
                <w:szCs w:val="1"/>
                <w:color w:val="auto"/>
              </w:rPr>
            </w:pPr>
          </w:p>
        </w:tc>
      </w:tr>
      <w:tr>
        <w:trPr>
          <w:trHeight w:val="21"/>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9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 September 30, 2023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and $4.9 million of the reclassifications related to interest rate swaps (cash flow hedges) were recorded in Interest expense, net, for the three months ended September 30, 2024 and 2023, respectively. $14.4 million and $15.2 million of the reclassifications related to interest rate swaps (cash flow hedges) were recorded in Interest expense, net, for the nine months ended September 30, 2024 and 2023, respectively. See Note 8 — Debt and Note 11 — Derivatives and Hedging for information regarding the cash flow hedges.</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recorded in Other (expense) income, net.</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September 30, 2024 that is expected to be reclassified into earnings within the next 12 months is $17.8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provision for income taxes was $111.8 million and $44.5 million for the three months ended September 30, 2024 and 2023, respectively. The effective income tax rate was 21.2% and 19.8% for the three months ended September 30, 2024 and 2023, respectively. The effective income tax rate is higher in the current year primarily due to favorable impact of the expiration of statutes for uncertain tax positions in the three months ended September 30, 2023.</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$230.6 million and $196.0 million for the nine months ended September 30, 2024 and 2023, respectively. The effective income tax rate was 21.2% and 22.5% for the nine months ended September 30, 2024 and 2023, respectively. The effective income tax rate was higher in the prior year primarily due to the impact of the sale of the TalentNeuron business.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gross unrecognized tax benefits of $166.5 million on September 30, 2024 and $148.4 million on December 31, 2023. It is reasonably possible that gross unrecognized tax benefits will decrease by approximately $9.4 million within the next twelve months due to the anticipated closure of audits and the expiration of certain statutes of limitation.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the Company completed an intercompany transfer of certain intellectual property (“IP”). The tax impact of the transfer did not have a significant impact on our effective tax rate. Prior to the sale, the Company had a $103.1 million deferred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tax asset for tax basis in the related IP and a full valuation allowance due to there being no expected local tax benefit of the asset. As a result of the IP transfer, the deferred tax asset and related valuation allowance were written off with no impact to tax expense. The Company’s intellectual property footprint continues to evolve and may result in tax rate volatility in the future.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tax proposals including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Derivatives and Hedging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5"/>
                <w:szCs w:val="15"/>
                <w:color w:val="auto"/>
              </w:rPr>
            </w:pPr>
          </w:p>
        </w:tc>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6"/>
                <w:szCs w:val="16"/>
                <w:color w:val="auto"/>
              </w:rPr>
            </w:pPr>
          </w:p>
        </w:tc>
        <w:tc>
          <w:tcPr>
            <w:tcW w:w="19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6"/>
                <w:szCs w:val="16"/>
                <w:color w:val="auto"/>
              </w:rPr>
            </w:pPr>
          </w:p>
        </w:tc>
        <w:tc>
          <w:tcPr>
            <w:tcW w:w="14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29"/>
        </w:trPr>
        <w:tc>
          <w:tcPr>
            <w:tcW w:w="308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AOCL, net of tax</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96,449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446,449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0" w:type="dxa"/>
            <w:vAlign w:val="bottom"/>
          </w:tcPr>
          <w:p>
            <w:pPr>
              <w:spacing w:after="0"/>
              <w:rPr>
                <w:sz w:val="1"/>
                <w:szCs w:val="1"/>
                <w:color w:val="auto"/>
              </w:rPr>
            </w:pPr>
          </w:p>
        </w:tc>
      </w:tr>
      <w:tr>
        <w:trPr>
          <w:trHeight w:val="21"/>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0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5"/>
                <w:szCs w:val="15"/>
                <w:color w:val="auto"/>
              </w:rPr>
            </w:pPr>
          </w:p>
        </w:tc>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5"/>
                <w:szCs w:val="15"/>
                <w:color w:val="auto"/>
              </w:rPr>
            </w:pPr>
          </w:p>
        </w:tc>
        <w:tc>
          <w:tcPr>
            <w:tcW w:w="19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21"/>
                <w:szCs w:val="21"/>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AOCL, net of tax</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525,719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875,719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5"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fair value of the interest rate swap are recorded in Other (expense) income, net. The amounts previously recorded in Accumulated other comprehensive loss are amortized into Interest expense, net over the terms of the hedged forecasted interest payments. See Note 8 — Debt for additional information regarding the Company’s interest rate swap contract.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contracts as hedges for accounting purposes. All of the outstanding foreign currency forward exchange contracts at September 30, 2024 matured before October 31, 2024.</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 Fair Value Disclosures for the determination of the fair values of these instruments.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accompanying Condensed Consolidated Statements of Operations for derivative contracts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4,948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30"/>
        </w:trPr>
        <w:tc>
          <w:tcPr>
            <w:tcW w:w="5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 (2)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(2,567)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w:t>
            </w:r>
          </w:p>
        </w:tc>
      </w:tr>
      <w:tr>
        <w:trPr>
          <w:trHeight w:val="248"/>
        </w:trPr>
        <w:tc>
          <w:tcPr>
            <w:tcW w:w="56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and gains and losses on de-designated interest rate swaps.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Disclosures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values of certain financial assets and liabilities that are measured at fair value on a recurring basis in the Company's financial statements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8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1 inputs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104,555</w:t>
            </w: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113,260</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5"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interest rate swap contract that hedges the risk of variability from interest payments on its borrowings (see Note 8 — Debt). The fair value of the interest rate swap is based on mark-to-market valuations prepared by a third-party broker. This valuation is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60" w:type="dxa"/>
            <w:vAlign w:val="bottom"/>
          </w:tcPr>
          <w:p>
            <w:pPr>
              <w:spacing w:after="0"/>
              <w:rPr>
                <w:sz w:val="20"/>
                <w:szCs w:val="20"/>
                <w:color w:val="auto"/>
              </w:rPr>
            </w:pPr>
          </w:p>
        </w:tc>
        <w:tc>
          <w:tcPr>
            <w:tcW w:w="292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4"/>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759,040</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543,408</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709,600</w:t>
            </w:r>
          </w:p>
        </w:tc>
      </w:tr>
      <w:tr>
        <w:trPr>
          <w:trHeight w:val="22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2,184,297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2,117,900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2,012,048</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right-of-use assets and other long-lived assets, are measured at fair value on a nonrecurring basis when there are indicators of impairment. The Company recorded</w:t>
      </w:r>
    </w:p>
    <w:p>
      <w:pPr>
        <w:jc w:val="both"/>
        <w:spacing w:after="0" w:line="255" w:lineRule="auto"/>
        <w:rPr>
          <w:sz w:val="20"/>
          <w:szCs w:val="20"/>
          <w:color w:val="auto"/>
        </w:rPr>
      </w:pPr>
      <w:r>
        <w:rPr>
          <w:rFonts w:ascii="Times New Roman" w:cs="Times New Roman" w:eastAsia="Times New Roman" w:hAnsi="Times New Roman"/>
          <w:sz w:val="18"/>
          <w:szCs w:val="18"/>
          <w:color w:val="auto"/>
        </w:rPr>
        <w:t>impairment losses during the three months ended September 30, 2024 and 2023 of $2.4 million and $0.3 million, respectively, and $3.0 million and $19.0 million for the nine months ended September 30, 2024 and 2023, respectively, on right-of-use assets and other long-lived assets primarily related to certain office leases that the Company determined will no longer be used.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impairments were derived by comparing the fair value of the impacted assets to the carrying value of those assets as of the impairment measurement date, as required under ASC Topic 360 using Level 3 inputs. See Note 14 — Leases for additional discussion related to these impairment charges.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Contingencies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and litigation arising in the ordinary course of business. A provision is recorded for 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in the Company’s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September 30, 2024, the Company did not have any material payment obligations under any such indemnification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2024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2024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9"/>
                <w:szCs w:val="19"/>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85,307</w:t>
            </w:r>
          </w:p>
        </w:tc>
      </w:tr>
      <w:tr>
        <w:trPr>
          <w:trHeight w:val="229"/>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 cost (2)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r>
      <w:tr>
        <w:trPr>
          <w:trHeight w:val="23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(39,831)</w:t>
            </w:r>
          </w:p>
        </w:tc>
      </w:tr>
      <w:tr>
        <w:trPr>
          <w:trHeight w:val="22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57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paid for amounts included in the measurement of operating lease</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43"/>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109,787</w:t>
            </w:r>
          </w:p>
        </w:tc>
      </w:tr>
      <w:tr>
        <w:trPr>
          <w:trHeight w:val="23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38,580</w:t>
            </w:r>
          </w:p>
        </w:tc>
      </w:tr>
      <w:tr>
        <w:trPr>
          <w:trHeight w:val="23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155"/>
        </w:trPr>
        <w:tc>
          <w:tcPr>
            <w:tcW w:w="5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63" w:lineRule="exact"/>
        <w:rPr>
          <w:sz w:val="20"/>
          <w:szCs w:val="20"/>
          <w:color w:val="auto"/>
        </w:rPr>
      </w:pPr>
    </w:p>
    <w:p>
      <w:pPr>
        <w:ind w:left="340" w:right="2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$9.1 million and $10.9 million for the three months ended September 30, 2024 and 2023, respectively, and $27.5 million and $32.3 million for the nine months ended September 30, 2024 and 2023, respectively, for costs related to subleasing activities.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left="340" w:hanging="332"/>
        <w:spacing w:after="0" w:line="261"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are not fixed at the lease commencement date or are dependent on something other than an index or a rate.</w:t>
      </w: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operating lease costs during any of the periods presented.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on lease related assets, as discussed below.</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accompanying Condensed Consolidated Balance Sheets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513,406</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included in the Condensed Consolidated Balance Sheets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 As a result of the evaluation, the Company recognized impairment losses during the three months ended September 30, 2024 and 2023 of $2.4 million and $0.3 million, respectively, and $3.0 million and $19.0 million for the nine months ended September 30, 2024 and 2023, respectively, which are included as a component of Selling, general and administrative expenses in the accompanying Condensed Consolidated Statements of Operations. The impairment losses recorded include $2.6 million and $0.1 million related to other long-lived assets, primarily leasehold improvements, for the three months ended September 30, 2024 and 2023, respectively. The impairment losses recorded include $0.2 million and $13.6 million related to right-of-use assets and $2.8 million and $5.4 million related to other long-lived assets, primarily leasehold improvements, for the nine months ended September 30, 2024 and 2023, respectively.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values include the expected downtime prior to the commencement of future subleases, projected sublease income over the remaining lease periods and discount rates that reflect the level of risk associated with receiving future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2023 (the “2023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recession, and national elections in a number of large countries on economic activity and our operations; changes in macroeconomic and market conditions and market volatility, including interest rates and the effect on the credit markets and access to capital;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additional risks associated with international operations, including foreign currency fluctuations; the impact on our business resulting from changes in global geopolitical conditions, including those resulting from the conflict in the Middle East, the war in Ukraine and current and future sanctions imposed by governments or other authorities; the impact of restructuring and other charges on our businesses and operations; cybersecurity incidents; risks associated with the creditworthiness, budget cuts, and shutdown of governments and agencies; our ability to meet ESG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2023 Form 10-K, which is incorporated herein by reference.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2023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deliver our products and services globally through three business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20"/>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color w:val="auto"/>
        </w:rPr>
      </w:pPr>
    </w:p>
    <w:p>
      <w:pPr>
        <w:jc w:val="both"/>
        <w:ind w:left="340" w:hanging="332"/>
        <w:spacing w:after="0" w:line="253" w:lineRule="auto"/>
        <w:tabs>
          <w:tab w:leader="none" w:pos="333" w:val="left"/>
        </w:tabs>
        <w:numPr>
          <w:ilvl w:val="0"/>
          <w:numId w:val="2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had 20,990 employees globally, an increase of 3.6% from September 30,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25, 2024 the Company entered into a settlement agreement to resolve litigation concerning the Company's event cancellation insurance for 2020 and 2021. The settlement resolves all remaining 2020 and 2021 event cancellation insurance claims for $300.0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Contract value primarily includes Research deliverables for which revenue is recognized on a ratable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as well as other deliverables (primarily Conferences tickets) for which revenue is recognized when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deliverable is utilized. Comparing contract value year-over-year not only measures the short-term growth of our</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but also signals the long-term health of our Research subscription business since it measures revenue that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is highly likely to recur 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w:t>
            </w: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value, which includes 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includes sales to all other functional leaders.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twelve-month period. Wallet retention is calculated on a percentage basis by dividing the contract value of our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clients, who were also clients a year ago, by the contract value from a year ago, excluding the impact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When wallet retention exceeds client retention, it is an indication of retention of higher-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spending clients, or increased spending by retained clients, or both. Wallet retention is calculated at an enterprise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which represents a single company or customer.</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virtual or in-person conferences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virtual or in-</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 conferences. Single day, local meetings are excluded.</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insight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total revenues of $1.5 billion during the third quarter of 2024, an increase of 5% compared to the third quarter of 2023. During the third quarter of 2024, revenues for Research increased by 5%, Conferences revenue increased by 32% and Consulting revenues decreased by 4%, compared to the third quarter of 2023. For a more complete discussion of our results by segment, see Segment Results below.</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third quarter of 2024 and 2023, we had net income of $415.0 million and $180.0 million, respectively, and diluted income per share of $5.32 and $2.26, respectively. Cash provided by operating activities was $1.1 billion and $0.9 billion during the nine months ended September 30, 2024 and 2023, respectively. As of September 30, 2024, we had $1.8 billion of cash and cash equivalents and approximately $0.7 billion of available borrowing capacity on our revolving credit facility. For a more complete discussion of our cash flows and financial position, see the Liquidity and Capital Resources section below.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Part II, Item 7, “Critical Accounting Policies and Estimates” contained in our Annual Report on Form 10-K for the fiscal year ended December 31, 2023. There have been no material changes to the critical accounting policies previously disclosed in that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period-over-period changes in our interim Condensed Consolidated Statements of Operations for the periods indicated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1,408,784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415,049</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4,552,292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115,848</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855,142</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181,307</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for the three months ended September 30, 2024 were $1.5 billion, an increase of $75.5 million, or 5% compared to the same period in 2023 on a reported basis and 6% excluding the foreign currency impact. Total revenues for the nine months ended September 30, 2024 were $4.6 billion, an increase of $0.2 billion, or 5% compared to the same period in 2023 on a reported basis and 6% excluding the foreign currency impact. Refer to the section of this MD&amp;A below entitled “Segment Results” for a discussion of revenues and results by segment.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services and product development was $475.3 million during the three months ended September 30, 2024, an increase of $24.5 million compared to the same period in 2023, or 5% on both a reported basis and excluding the foreign currency impact. The increase in Cost of services and product development was primarily due to increased compensation costs associated with merit increases. Cost of services and product development as a percent of revenues was 32% for each of the three months ended September 30, 2024 and 2023. Cost of services and product development was $1.4 billion during the nine months ended September 30, 2024, an increase of $74.7 million compared to the same period in 2023, or 5% on a reported basis and 6% excluding the foreign currency impact. The increase was primarily due to the same factor that caused the year-over-year quarterly increase. Cost of services and product development as a percent of revenues was 32% for both the nine months ended September 30, 2024 and 2023.</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 was $711.7 million during the three months ended September 30, 2024, an increase of $51.2 million compared to the same period in 2023, or 8% and on both reported basis and excluding the foreign currency impact. The increase in SG&amp;A expense during the three months ended September 30, 2024 was primarily a result of higher personnel expenses due to increased headcount and merit increases. SG&amp;A expense was $2.1 billion during the nine months ended September 30, 2024, an increase of $115.8 million compared to the same period in 2023, or 6% on both reported basis and excluding the foreign currency impact. The increase was primarily due to the same factors that caused the year-over-year quarterly increase. The number of quota-bearing sales associates in Global Technology Sales increased by 1% to 3,666 and in Global Business Sales, increased by 8% to 1,244 compared to September 30, 2023. On a combined basis, the total number of quota-bearing sales associates increased by 3% when compared to September 30, 2023. We expect that quota-bearing headcount will increase in the mid single digits from 2023 levels by the end of 2024. SG&amp;A expense as a percent of revenues was 48% and 47% during the three months ended September 30, 2024 and 2023, respectively. SG&amp;A expense as a percent of revenues was 46% for both the nine months ended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increased by 18% and 15% during the three and nine months ended September 30, 2024, respectively, compared to the same periods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and nine months ended September 30, 2024 was primarily due to increased software additions during the last twelve months.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decreased by 8% and 2% during the three and nine months ended September 30, 2024, respectively, compared to the same periods in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and integration charges decreased by $4.3 million and $6.8 million during the three and nine months ended September 30, 2024, respectively, compared to the same periods in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from sale of divested operation was attributable to the sale of the TalentNeuron business in February 2023. We recognized a pre-tax gain of $135.4 million during the nine months ended September 30, 2023.</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was $245.8 million and $244.4 million during the three months ended September 30, 2024 and 2023, respectively. Operating income was $838.5 million and $935.5 million during the nine months ended September 30, 2024 and 2023, respectively. The slight increase in operating income for the three months ended September 30, 2024 as compared to the prior year period was primarily due to increased revenue, partially offset by increases in cost of services and product development and selling, general and administrative expenses. The decrease in operating income for the nine months ended September 30, 2024 as compared to the prior year period was primarily due to the gain from sale of divested operation recognized during the nine months ended September 30, 2023 and increases in cost of services and product development and selling, general and administrative expenses, partially offset by increased revenue.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$3.9 million and $16.6 million during the three and nine months ended September 30, 2024, respectively, compared to the same periods in 2023. The decrease for both the three and nine months ended September 30, 2024 was due to increased interest income, primarily as a result of higher cash balances than the prior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on event cancellation insurance claims of $300.0 million during the three and nine months ended September 30, 2024 reflected proceeds from a settlement agreement to resolve litigation concerning the Company's event cancellation insurance for 2020 and 2021. The settlement resolved all remaining 2020 and 2021 event cancellation insurance claims. Gain on event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cancellation insurance claims of $3.1 million during the nine months ended September 30, 2023 reflected proceeds related to 2020 conference cancellation insurance claims.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income, net for the periods presented herein included the net impact of foreign currency gains and losses from our hedging activities. Other (expense) income, net for the three and nine months ended September 30, 2024 also included a loss of $2.9 million and a gain of $2.2 million, respectively, on de-designated interest rate swaps. Other (expense) income, net for the three and nine months ended September 30, 2023 included gains of $2.5 million and $7.7 million, respectively, on de-designated interest rate swaps.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income taxes was $111.8 million and $44.5 million for the three months ended September 30, 2024 and 2023, respectively and $230.6 million and $196.0 million for the nine months ended September 30, 2024 and 2023, respectively. The effective income tax rate was 21.2% and 19.8% for the three months ended September 30, 2024 and 2023, respectively, and 21.2% and 22.5% for the nine months ended September 30, 2024 and 2023, respectively. The higher effective income tax rate for the three months ended September 30, 2024 compared to the same period in the prior year was primarily due to favorable impact of the expiration of statutes for uncertain tax positions in the three months ended September 30, 2023. The lower effective income tax rate for the nine months ended September 30, 2024 was primarily due to the impact of the sale of the TalentNeuron business on the prior year rate.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for the three months ended September 30, 2024 and 2023 was $415.0 million and $180.0 million, respectively, while net income for the nine months ended September 30, 2024 and 2023 was $855.1 million and $673.8 million, respectively. Our diluted net income per share during the three and nine months ended September 30, 2024 increased by $3.06 and $2.46, respectively. The increase in net income during the three months ended September 30, 2024 was primarily due to the gain on event cancellation insurance claims, as well as an increase in revenue and lower interest expense, net, partially offset by an increase in operating expenses. The increase in net income during the nine months ended September 30, 2024 was primarily due to the gain on event cancellation insurance claims, as well as an increase in revenue and lower interest expense, net, partially offset by the gain from sale of divested operation recognized during the nine months ended September 30, 2023 and increased operating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Gain from sale of divested operation. Gross contribution margin is defined as gross contribution as a percent of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reportable business segments: Research, Conferences and Consulting.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4" w:lineRule="exact"/>
              <w:rPr>
                <w:sz w:val="20"/>
                <w:szCs w:val="20"/>
                <w:color w:val="auto"/>
              </w:rPr>
            </w:pPr>
            <w:r>
              <w:rPr>
                <w:rFonts w:ascii="Times New Roman" w:cs="Times New Roman" w:eastAsia="Times New Roman" w:hAnsi="Times New Roman"/>
                <w:sz w:val="15"/>
                <w:szCs w:val="15"/>
                <w:b w:val="1"/>
                <w:bCs w:val="1"/>
                <w:color w:val="auto"/>
                <w:w w:val="98"/>
              </w:rPr>
              <w:t>The Nine</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The Nine</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2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2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80" w:type="dxa"/>
            <w:vAlign w:val="bottom"/>
          </w:tcPr>
          <w:p>
            <w:pPr>
              <w:spacing w:after="0"/>
              <w:rPr>
                <w:sz w:val="13"/>
                <w:szCs w:val="13"/>
                <w:color w:val="auto"/>
              </w:rPr>
            </w:pPr>
          </w:p>
        </w:tc>
        <w:tc>
          <w:tcPr>
            <w:tcW w:w="122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2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1,280,908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1,218,739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62,169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3,815,072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3,643,815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171,257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943,426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894,149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49,277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2,821,116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2,678,945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142,171</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0 point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5,042,000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4,698,000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Technology Sales (2):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3,865,000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3,643,000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 point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Business Sales (2):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1,177,000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1,055,000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points</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currency neutral basis. Contract values as of September 30, 2023 have been calculated using the same foreign currency rates as 2024.</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revenues increased by $62.2 million during the three months ended September 30, 2024 compared to the same period in 2023, or 5% on both a reported basis and excluding the foreign currency impact. For the nine months ended September 30, 2024, research revenue increased by $171.3 million compared to the same period in 2023 or 5% on both a reported basis and excluding the foreign currency impact. The increase in revenues during 2024 was primarily due to Research contract value growth in 2023. The segment gross contribution margin was 74% and 73% for the three months ended September 30, 2024 and 2023, respectively, and 74% for both the nine months ended September 30, 2024 and 2023.</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value increased to $5.0 billion at September 30, 2024, or 7% compared to September 30, 2023 excluding the foreign currency impact. The majority of industry sectors grew high single-digit rates or faster. Growth was led by the energy, manufacturing and healthcare sectors. Global Technology Sales (“GTS”) contract value increased by 6% at September 30, 2024 when compared to September 30, 2023. The increase in GTS contract value was primarily due to new business from existing clients. GTS contract value increased by mid single-digit rates or faster for all enterprise sizes except small enterprises and nearly half of industry sectors. Global Business Sales (“GBS”) contract value increased by 12% year-over-year, also primarily driven by new business from existing clients. The majority of our GBS practices achieved double-digit growth rates, with all enterprise sizes and the majority of sectors growing double-digits year-over-year.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GTS client retention was 83% as of both September 30, 2024 and 2023, while wallet retention was 101% and 102%, respectively. GBS client retention was 87% and 88% as of September 30, 2024 and 2023, respectively, while wallet retention was 106% and 108%, respectively. The decrease in GBS wallet retention was largely due to lower levels of spending by existing clients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5"/>
                <w:szCs w:val="15"/>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Nine Months</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Nine Months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Ended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0" w:type="dxa"/>
            <w:vAlign w:val="bottom"/>
          </w:tcPr>
          <w:p>
            <w:pPr>
              <w:spacing w:after="0"/>
              <w:rPr>
                <w:sz w:val="17"/>
                <w:szCs w:val="17"/>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75,776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57,200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32 %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331,929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290,739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41,190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0" w:type="dxa"/>
            <w:vAlign w:val="bottom"/>
          </w:tcPr>
          <w:p>
            <w:pPr>
              <w:spacing w:after="0"/>
              <w:rPr>
                <w:sz w:val="1"/>
                <w:szCs w:val="1"/>
                <w:color w:val="auto"/>
              </w:rPr>
            </w:pPr>
          </w:p>
        </w:tc>
      </w:tr>
      <w:tr>
        <w:trPr>
          <w:trHeight w:val="200"/>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30,489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20,449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100" w:type="dxa"/>
            <w:vAlign w:val="bottom"/>
          </w:tcPr>
          <w:p>
            <w:pPr>
              <w:spacing w:after="0"/>
              <w:rPr>
                <w:sz w:val="17"/>
                <w:szCs w:val="17"/>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49 %</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161,856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145,687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16,169</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20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 points</w:t>
            </w: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 point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Number of destination</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conferences (2)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11 %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Number of destination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conferences attendees (2)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12,208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9,808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24 %</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52,434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45,453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6,981</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day, local meetings are excluded.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Conferences revenues increased by $18.6 million during the three months ended September 30, 2024 compared to the same period in 2023, or 32% on a reported basis and 30% excluding the foreign currency impact. Conferences revenues increased by $41.2 million during the nine months ended September 30, 2024 compared to the same period in 2023, or 14% on both a reported basis and excluding the foreign currency impact. The increase in revenue for the three and nine months ended September 30, 2024 was primarily due to increased exhibitor revenue and an increase in attendees compared to the same periods in 2023. We held 10 and 9 in-person destination conferences during the three months ended September 30, 2024 and 2023, respectively. We held 38 and 36 in-person destination conferences during the nine months ended September 30, 2024 and 2023, respectively. Gross contribution increased to $30.5 million during the three months ended September 30, 2024 compared to $20.4 million in the same period last year. Gross contribution increased to $161.9 million during the nine months ended September 30, 2024 compared to $145.7 million in the same period last year. The increase in gross contribution during the three and nine months ended September 30, 2024 was primarily the result of the increase in revenue, partially offset by an increase in conference-related expenses and increased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The Nine</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The Nine</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18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1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118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1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60" w:type="dxa"/>
            <w:vAlign w:val="bottom"/>
          </w:tcPr>
          <w:p>
            <w:pPr>
              <w:spacing w:after="0"/>
              <w:rPr>
                <w:sz w:val="18"/>
                <w:szCs w:val="18"/>
                <w:color w:val="auto"/>
              </w:rPr>
            </w:pPr>
          </w:p>
        </w:tc>
        <w:tc>
          <w:tcPr>
            <w:tcW w:w="94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127,622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132,845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405,291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386,284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19,007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41,517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48,551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(7,034)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149,523</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146,680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2,843</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 points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 point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 (1),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218,300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180,900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37,400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Billable headcount</w:t>
            </w:r>
          </w:p>
        </w:tc>
        <w:tc>
          <w:tcPr>
            <w:tcW w:w="14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Consultant utilization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 point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 point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September 30, 2023 has been calculated using the same foreign currency rates as 2024.</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Consulting revenues decreased by 4% during the three months ended September 30, 2024 compared to the same period in 2023 on both a reported basis and excluding the foreign currency impact, with an increase in labor-based consulting revenue of 2% and a decrease in contract optimization revenue of 20%, each on a reported basis. Contract optimization revenue may vary significantly and, as such, revenues for the third quarter of 2024 may not be indicative of results for the remainder of 2024 or beyond. The segment gross contribution margin was 33% and 37% for the three months ended September 30, 2024 and 2023, respectively. The decrease in gross contribution margin for the three months ended September 30, 2024 was primarily due to the decrease in revenue.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Consulting revenues increased 5% compared to the same period in 2023 on a reported basis and 6% excluding the foreign currency impact, with an increase in labor-based consulting revenue of 5% and an increase in contract optimization revenue of 4%, each on a reported basis. The segment gross contribution margin was 37% and 38% for the nine months ended September 30,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by $37.4 million, or 21%, from September 30, 2023 to September 30, 2024, excluding the foreign currency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to a lesser extent, borrowings. Note 8 — Debt in the Notes to Condensed Consolidated Financial Statements provides additional information regarding the Company’s outstanding debt obligations. At September 30, 2024, we had $1.8 billion of cash and cash equivalents and approximately $707.0 million of available borrowing capacity on the revolving credit facility under our 2024 Credit Agreement. We believe that the Company has adequate liquidity to meet its currently anticipated needs for both the next twelve months and the foreseeable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fourth quarter of 2024, the Company entered into an amended lease agreement to significantly reduce the square footage and reduce future lease payments at one of its leased locations. The Company will make two equal installment payments of $24.0 million during the fourth quarter of 2024 and the second quarter of 2025 in consideration for the lease amendment.</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48% held outside the U.S. at September 30, 2024. We intend to reinvest substantially all of our accumulated undistributed foreign earnings, except in instances where repatriation would result in minimal additional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our cash balances for the periods indicated (in thousands).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27" w:lineRule="exact"/>
        <w:rPr>
          <w:sz w:val="20"/>
          <w:szCs w:val="20"/>
          <w:color w:val="auto"/>
        </w:rPr>
      </w:pPr>
    </w:p>
    <w:p>
      <w:pPr>
        <w:ind w:left="20" w:right="2400"/>
        <w:spacing w:after="0" w:line="271" w:lineRule="auto"/>
        <w:rPr>
          <w:sz w:val="20"/>
          <w:szCs w:val="20"/>
          <w:color w:val="auto"/>
        </w:rPr>
      </w:pPr>
      <w:r>
        <w:rPr>
          <w:rFonts w:ascii="Times New Roman" w:cs="Times New Roman" w:eastAsia="Times New Roman" w:hAnsi="Times New Roman"/>
          <w:sz w:val="18"/>
          <w:szCs w:val="18"/>
          <w:color w:val="auto"/>
        </w:rPr>
        <w:t>Cash (used in) provided by investing activities Cash used in financing activities</w:t>
      </w:r>
    </w:p>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1230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220" w:type="dxa"/>
            <w:vAlign w:val="bottom"/>
          </w:tcPr>
          <w:p>
            <w:pPr>
              <w:spacing w:after="0"/>
              <w:rPr>
                <w:sz w:val="17"/>
                <w:szCs w:val="17"/>
                <w:color w:val="auto"/>
              </w:rPr>
            </w:pPr>
          </w:p>
        </w:tc>
        <w:tc>
          <w:tcPr>
            <w:tcW w:w="12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15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Ended September</w:t>
            </w:r>
          </w:p>
        </w:tc>
        <w:tc>
          <w:tcPr>
            <w:tcW w:w="160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Ended September</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931,407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218,160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(156,908)</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(615,557)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(181,533)</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(120,281)</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621,000</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1,768,292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518,337</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-1079500</wp:posOffset>
            </wp:positionV>
            <wp:extent cx="705485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-779780</wp:posOffset>
            </wp:positionV>
            <wp:extent cx="705485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-479425</wp:posOffset>
            </wp:positionV>
            <wp:extent cx="705485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-187960</wp:posOffset>
            </wp:positionV>
            <wp:extent cx="705485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720"/>
            <w:col w:w="4740"/>
          </w:cols>
          <w:pgMar w:left="320" w:top="887" w:right="339" w:bottom="1440" w:gutter="0" w:footer="0" w:header="0"/>
          <w:type w:val="continuous"/>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$1.1 billion and $931.4 million during the nine months ended September 30, 2024 and 2023, respectively. The year-over-year increase was primarily due to the $300.0 million of insurance proceeds received during 2024 as well as increased operating income, excluding the 2023 gain from sale of divested operation, partially offset by the timing of collections.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investing activities was $(79.8) million and $77.1 million during the nine months ended September 30, 2024 and 2023, respectively. The decrease from 2023 to 2024 was the result of the proceeds received from the sale of the TalentNeuron business in February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$615.6 million and $434.0 million during the nine months ended September 30, 2024 and 2023, respectively. We used $633.4 million and $447.7 million of cash for share repurchases during the nine months ended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September 30, 2024 and 2023, respectively. In March 2024, the Company borrowed $274.4 million under the 2024 Credit Agreement. The initial borrowing was used to repay the outstanding amounts under the 2020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we entered into a Credit Agreement (the “2024 Credit Agreement”) among us, as borrower, the lenders party thereto and JPMorgan Chase Bank, N.A., as administrative agent (the “Administrative Agent”).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$2.5 billion of principal amount of debt outstanding. Note 8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1, 2024 through September 30, 2024, the Company has not entered into any material off-balance sheet arrangements or transactions with unconsolidated entities or other persons.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$2.5 billion in total debt principal outstanding. Note 8 — Debt in the Notes to Condensed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$274.4 million of the Company’s total debt outstanding as of September 30, 2024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September 30, 2024, we had $1.8 billion of cash and cash equivalents, with a substantial portion denominated in foreign currencies. If the exchange rates of the foreign currencies we hold all changed in comparison to the U.S. dollar by 10%, the amount of cash and cash equivalents we would have reported on September 30, 2024 could have increased or decreased by approximately $79.0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September 30, 2024 had an immaterial net unrealized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as of September 30, 2024,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September 30, 2024, the Company’s disclosure controls and procedures were effective.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Exchange Act Rules 13a-15 or 15d-15 that occurred during the quarter ended September 30, 2024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-175895</wp:posOffset>
            </wp:positionV>
            <wp:extent cx="28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Part I, Item 1A of our Annual Report on Form 10-K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2015, the Company’s Board of Directors (the “Board”) authorized a share repurchase program to repurchase up to $1.2 billion of the Company’s common stock. The Board authorized incremental share repurchases of up to an aggregate additional $3.5 billion of the Company’s common stock during 2021, 2022, and 2023. The Board also authorized incremental shares repurchases of up to an additional $600.0 million in July 2024.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September 30, 2024.</w:t>
      </w: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Under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18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16"/>
                <w:szCs w:val="16"/>
                <w:color w:val="auto"/>
              </w:rPr>
            </w:pPr>
          </w:p>
        </w:tc>
        <w:tc>
          <w:tcPr>
            <w:tcW w:w="108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30"/>
        </w:trPr>
        <w:tc>
          <w:tcPr>
            <w:tcW w:w="3960" w:type="dxa"/>
            <w:vAlign w:val="bottom"/>
            <w:gridSpan w:val="2"/>
            <w:vMerge w:val="continue"/>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to July 31, 2024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1,049,480</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to August 31,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1,049,480</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30, 2024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1,049,480</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for the quarter (1)</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136,319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466.99</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September 30, 2024 included 50,596 shares purchased for the settlement of stock-based compensation awards and 85,723 shares purchased in the open market. All amounts presented are exclusive of the excise tax accrual.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By-Laws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31, 2024, the Board of Directors of the Company approved and adopted amended and restated by-laws of the Company to reflect the amendments summarized below (as so amended and restated, the “Amended and Restated By-laws”), effective immediately.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Among other things, the amendments affected by the Amended and Restated By-laws update certain procedural and other requirements in Article II, Section 13, related to director nominations by stockholders in light of Rule 14a-19 under the Securities Exchange Act of 1934, as amended (“Rule 14a-19”) adopted by the SEC by requiring (i) compliance with Rule 14a-19, including directly incorporating the 67% solicitation requirement; (ii) director candidates to consent to being named in any proxy statement; (iii) documentation confirming the stockholder’s compliance with the Rule 14a-19 requirements; and (iv) reserving a white proxy card for the exclusive use of the Company. In addition, the amendments affected by the Amended and Restated By-laws (i) update certain other disclosure requirements related to director nominations and/or other business proposals by stockholders included in Article II, Section 13, by (1) clarifying the definition of “control person” and which Schedule 13D disclosure requirements should be addressed in stockholder notice; (2) limiting the scope of the director &amp; officer questionnaires and other informational requirements; (3) requiring all written and signed representations and agreements of director nominees and completed director &amp; officer questionnaires to be submitted at the same time as the stockholder notice of nomination; (ii) define and clarify the role of the chair of the meeting included in Article II, Sections 11 and 13; and (iii) remove reference to the director resignation policy as the policy is addressed elsewhere.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amendments affected by the Amended and Restated By-laws: (i) update certain provisions in Article II, Sections 5, 7 and 12, consistent with recent amendments to the Delaware General Corporation Law by (1) clarifying the adjournment procedures for virtual meetings of stockholders; (2) deleting the requirement to make available stockholder lists at stockholder meetings, and (3) clarifying that a person can execute a stockholder written consent prior to becoming a stockholder so long as the person is a stockholder as of the applicable record date; and (ii) make certain changes to the provisions relating to appointing of officers to provide additional flexibility. The Amended and Restated By-laws also incorporate technical and conforming revisions and clarifications.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is qualified in its entirety by reference to the Amended and Restated By-laws which are filed as Exhibit 3.2 to this Quarterly Report on Form 10-Q and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0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 w:type="dxa"/>
            <w:vAlign w:val="bottom"/>
            <w:gridSpan w:val="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680" w:type="dxa"/>
            <w:vAlign w:val="bottom"/>
          </w:tcPr>
          <w:p>
            <w:pPr>
              <w:spacing w:after="0"/>
              <w:rPr>
                <w:sz w:val="21"/>
                <w:szCs w:val="21"/>
                <w:color w:val="auto"/>
              </w:rPr>
            </w:pPr>
          </w:p>
        </w:tc>
        <w:tc>
          <w:tcPr>
            <w:tcW w:w="8800" w:type="dxa"/>
            <w:vAlign w:val="bottom"/>
            <w:gridSpan w:val="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Restated Certificate of Incorporation of the Company.</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By-laws of Gartner, Inc. (as amended and restated through October 31, 2024).</w:t>
            </w: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20" w:type="dxa"/>
            <w:vAlign w:val="bottom"/>
            <w:gridSpan w:val="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8800" w:type="dxa"/>
            <w:vAlign w:val="bottom"/>
            <w:gridSpan w:val="5"/>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Second Amendment to Employment Agreement between Eugene A. Hall and the Corporation effective as of July 1, 2024.</w:t>
              </w:r>
            </w:hyperlink>
          </w:p>
        </w:tc>
        <w:tc>
          <w:tcPr>
            <w:tcW w:w="0" w:type="dxa"/>
            <w:vAlign w:val="bottom"/>
          </w:tcPr>
          <w:p>
            <w:pPr>
              <w:spacing w:after="0"/>
              <w:rPr>
                <w:sz w:val="1"/>
                <w:szCs w:val="1"/>
                <w:color w:val="auto"/>
              </w:rPr>
            </w:pPr>
          </w:p>
        </w:tc>
      </w:tr>
      <w:tr>
        <w:trPr>
          <w:trHeight w:val="264"/>
        </w:trPr>
        <w:tc>
          <w:tcPr>
            <w:tcW w:w="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Borders>
              <w:top w:val="single" w:sz="8" w:color="0000FF"/>
            </w:tcBorders>
          </w:tcPr>
          <w:p>
            <w:pPr>
              <w:spacing w:after="0"/>
              <w:rPr>
                <w:sz w:val="22"/>
                <w:szCs w:val="22"/>
                <w:color w:val="auto"/>
              </w:rPr>
            </w:pPr>
          </w:p>
        </w:tc>
        <w:tc>
          <w:tcPr>
            <w:tcW w:w="680" w:type="dxa"/>
            <w:vAlign w:val="bottom"/>
          </w:tcPr>
          <w:p>
            <w:pPr>
              <w:spacing w:after="0"/>
              <w:rPr>
                <w:sz w:val="22"/>
                <w:szCs w:val="22"/>
                <w:color w:val="auto"/>
              </w:rPr>
            </w:pPr>
          </w:p>
        </w:tc>
        <w:tc>
          <w:tcPr>
            <w:tcW w:w="8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under Rule 13a — 14(a)/15d — 14(a).</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2"/>
            <w:shd w:val="clear" w:color="auto" w:fill="0000FF"/>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Rule 13a — 14(a)/15d — 14(a).</w:t>
            </w:r>
          </w:p>
        </w:tc>
        <w:tc>
          <w:tcPr>
            <w:tcW w:w="0" w:type="dxa"/>
            <w:vAlign w:val="bottom"/>
          </w:tcPr>
          <w:p>
            <w:pPr>
              <w:spacing w:after="0"/>
              <w:rPr>
                <w:sz w:val="1"/>
                <w:szCs w:val="1"/>
                <w:color w:val="auto"/>
              </w:rPr>
            </w:pPr>
          </w:p>
        </w:tc>
      </w:tr>
      <w:tr>
        <w:trPr>
          <w:trHeight w:val="439"/>
        </w:trPr>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under 18 U.S.C. 1350.</w:t>
            </w:r>
          </w:p>
        </w:tc>
        <w:tc>
          <w:tcPr>
            <w:tcW w:w="3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July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not applicable and have been omitted.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29"/>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887"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BY-LAWS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GARTNER,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and restated through October 31, 2024)</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shall be located in the City of Wilmington, County of New Castle, at such location as the Board of Directors of the corporation (the “Board of Directors”) may determine from time to time.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offices at such other places, both within and without the state of Delaware, as the corporation may from time to time determine or the business of the corporation may require.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MEETINGS OF STOCKHOLDERS</w:t>
      </w:r>
    </w:p>
    <w:p>
      <w:pPr>
        <w:spacing w:after="0" w:line="2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An annual meeting of the stockholders shall be held each year for the purpose of electing directors and conducting such other proper business as may come before the meeting. The date and time of the annual meeting shall be determined by the Board.</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stockholders may be called for any purpose and may be held at such date and time as shall be stated in the notice of meeting. Such meetings may be called at any time by only the Board of Directors or the chief executive officer. No business may be transacted at any special meeting otherwise than as specified in the notice to stockholders of such meeting.</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The Board of Directors may designate any place, either within or without the State of Delaware, as the place of meeting for any annual meeting or for any special meeting called by the Board of Directors. If no designation is made, the place of meeting shall be the principal executive office of the corporation. The Board of Directors may, in its sole discretion, determine that a meeting of stockholders shall not be held at any place, but may instead be held solely by means of remote communication in accordance with Section 211(a)(2) of the General Corporation Law of the State of Delaware (as the same exists or may hereafter be amended from time to time, the “DGCL”). The Board of Directors may postpone, reschedule or cancel any annual or special meeting of stockholders previously scheduled pursuant to this Article II.</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6" w:lineRule="auto"/>
        <w:tabs>
          <w:tab w:leader="none" w:pos="1293"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stockholders are required or permitted to take action at a meeting, a notice stating the place, if any, date, time, and, in the case of special meetings, the purpose or purposes, of such meeting, the means of remote communications, if any, by which stockholders and proxyholders may be deemed to be present in person and vote at such meeting. The notice shall be given to each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45" w:name="page46"/>
    <w:bookmarkEnd w:id="4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stockholder entitled to vote at such meeting as of the record date for determining the stockholders entitled to notice of the meeting, not less than 10 nor more than 60 days before the date of the meeting, except as otherwise provided by law, or by the certificate of incorporation (including any certificate of designations relating to any series of preferred stock) or these by-laws.</w:t>
      </w:r>
    </w:p>
    <w:p>
      <w:pPr>
        <w:spacing w:after="0" w:line="186" w:lineRule="exact"/>
        <w:rPr>
          <w:sz w:val="20"/>
          <w:szCs w:val="20"/>
          <w:color w:val="auto"/>
        </w:rPr>
      </w:pPr>
    </w:p>
    <w:p>
      <w:pPr>
        <w:jc w:val="both"/>
        <w:ind w:firstLine="656"/>
        <w:spacing w:after="0" w:line="250" w:lineRule="auto"/>
        <w:tabs>
          <w:tab w:leader="none" w:pos="1291"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notice may be given by or at the direction of the Board of Directors, the chief executive officer or the secretary, in writing directed to a stockholder’s mailing address as the same appears on the records of the corporation and shall be given: (i) if mailed, when deposited in the United States mail, postage prepaid; and (ii) if delivered by courier service, the earlier of when notice is received or left at such stockholder’s address as the same appears on the records of the corporation.</w:t>
      </w:r>
    </w:p>
    <w:p>
      <w:pPr>
        <w:spacing w:after="0" w:line="194" w:lineRule="exact"/>
        <w:rPr>
          <w:rFonts w:ascii="Times New Roman" w:cs="Times New Roman" w:eastAsia="Times New Roman" w:hAnsi="Times New Roman"/>
          <w:sz w:val="22"/>
          <w:szCs w:val="22"/>
          <w:color w:val="010000"/>
        </w:rPr>
      </w:pPr>
    </w:p>
    <w:p>
      <w:pPr>
        <w:jc w:val="both"/>
        <w:ind w:firstLine="656"/>
        <w:spacing w:after="0" w:line="262" w:lineRule="auto"/>
        <w:tabs>
          <w:tab w:leader="none" w:pos="1293" w:val="left"/>
        </w:tabs>
        <w:numPr>
          <w:ilvl w:val="0"/>
          <w:numId w:val="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 long as the corporation is subject to the proxy rules set forth in Regulation 14A of the Securities Exchange Act of 1934, as amended (the “</w:t>
      </w:r>
      <w:r>
        <w:rPr>
          <w:rFonts w:ascii="Times New Roman" w:cs="Times New Roman" w:eastAsia="Times New Roman" w:hAnsi="Times New Roman"/>
          <w:sz w:val="21"/>
          <w:szCs w:val="21"/>
          <w:b w:val="1"/>
          <w:bCs w:val="1"/>
          <w:color w:val="auto"/>
        </w:rPr>
        <w:t>1934 Act</w:t>
      </w:r>
      <w:r>
        <w:rPr>
          <w:rFonts w:ascii="Times New Roman" w:cs="Times New Roman" w:eastAsia="Times New Roman" w:hAnsi="Times New Roman"/>
          <w:sz w:val="21"/>
          <w:szCs w:val="21"/>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Stockholders List</w:t>
      </w:r>
      <w:r>
        <w:rPr>
          <w:rFonts w:ascii="Times New Roman" w:cs="Times New Roman" w:eastAsia="Times New Roman" w:hAnsi="Times New Roman"/>
          <w:sz w:val="22"/>
          <w:szCs w:val="22"/>
          <w:color w:val="auto"/>
        </w:rPr>
        <w:t>. The corporation shall prepare, at least 10 days before every meeting of the stockholders, a complete list of the stockholders entitled to vote at such meeting arranged in alphabetical order, showing the address of each stockholder and the class and number of shares registered in the name of each stockholder. Nothing in this Section 5 shall require the corporation to include electronic mail addresses or other electronic contact information on such list.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The holders of a majority of the outstanding shares of capital stock, present in person or represented by proxy, shall constitute a quorum at all meetings of the stockholders, except as otherwise provided by law or by the certificate of incorporation (including any certificate of designations relating to any series of preferred stock). Where a separate vote by class or group is required, a majority of the members of such class or group, present in person or represented by proxy, shall constitute a quorum entitled to take action with respect to that vote on that matter. If a quorum is not present, the chairperson of the meeting, or the holders of a majority of the shares present in person or represented by proxy at the meeting and entitled to vote thereon, may adjourn or recess the meeting from time to time in accordance with Section 7 of this Article II, until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22"/>
          <w:szCs w:val="22"/>
          <w:color w:val="auto"/>
        </w:rPr>
        <w:t>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Adjourned or Recessed Meetings</w:t>
      </w:r>
      <w:r>
        <w:rPr>
          <w:rFonts w:ascii="Times New Roman" w:cs="Times New Roman" w:eastAsia="Times New Roman" w:hAnsi="Times New Roman"/>
          <w:sz w:val="21"/>
          <w:szCs w:val="21"/>
          <w:color w:val="auto"/>
        </w:rPr>
        <w:t>. Any meeting of stockholders, whether or not a quorum is present, may be adjourned or recessed for any or no reason from time to time by the chairperson of the meeting, subject to any rules and regulations adopted by the Board of Directors pursuant to Section 11 of this Article II. Any such meeting may be adjourned for any or no reason (and may be recessed if a quorum is not present or represented) from time to time by the holders of a majority of the shares present in person or represented by proxy at the meeting, and entitled to vote thereon. At any adjourned or recessed meeting at which a quorum is present, the corporation may transact any business which might have been transacted at the original meeting. 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4; provided, however,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3 of Article VI herein and shall give notice of the adjourned meeting to each stockholder of record entitled to vote at such adjourned meeting as of the record date fixed for notice of such adjourned meeting.</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Vote Required</w:t>
      </w:r>
      <w:r>
        <w:rPr>
          <w:rFonts w:ascii="Times New Roman" w:cs="Times New Roman" w:eastAsia="Times New Roman" w:hAnsi="Times New Roman"/>
          <w:sz w:val="22"/>
          <w:szCs w:val="22"/>
          <w:color w:val="auto"/>
        </w:rPr>
        <w:t>.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the certificate of incorporation (including any certificate of designations relating to any series of preferred stock), these by-laws, or the rules and regulations of any stock exchange applicable to the corporation or its securities, a different vote is required, in which case such express provision shall govern and control the decision of such question. Where a separate vote by class or group is required, if a quorum of such class or group is present, the affirmative vote of the majority of shares of such class or group present in person or represented by proxy at the meeting shall be the act of such class or group.</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provided by the DGCL or by the certificate of incorporation of the corporation (including any certificate of designations relating to any series of preferred stock), every stockholder shall at every meeting of the stockholders be entitled to one vote in person or by proxy for each share of common stock held by such stockholder. The holders of preferred stock will be entitled to vote as provided by law and by the corporation’s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certificate of incorporation (including any certificate of designations relating to any series of preferred stock).</w:t>
      </w:r>
    </w:p>
    <w:p>
      <w:pPr>
        <w:spacing w:after="0" w:line="2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Proxies</w:t>
      </w:r>
      <w:r>
        <w:rPr>
          <w:rFonts w:ascii="Times New Roman" w:cs="Times New Roman" w:eastAsia="Times New Roman" w:hAnsi="Times New Roman"/>
          <w:sz w:val="21"/>
          <w:szCs w:val="21"/>
          <w:color w:val="auto"/>
        </w:rPr>
        <w:t>. Each stockholder entitled to vote at a meeting of stockholders or to express consent or dissent to corporate action in writing without a meeting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19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Conduct of Meetings.</w:t>
      </w:r>
    </w:p>
    <w:p>
      <w:pPr>
        <w:spacing w:after="0" w:line="247" w:lineRule="exact"/>
        <w:rPr>
          <w:sz w:val="20"/>
          <w:szCs w:val="20"/>
          <w:color w:val="auto"/>
        </w:rPr>
      </w:pPr>
    </w:p>
    <w:p>
      <w:pPr>
        <w:jc w:val="both"/>
        <w:ind w:firstLine="656"/>
        <w:spacing w:after="0" w:line="253" w:lineRule="auto"/>
        <w:tabs>
          <w:tab w:leader="none" w:pos="121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Board of Directors, meetings of stockholders shall be presided over by the Chairman of the Board, or in his or her absence, by the chief executive officer or, in his or her absence, by an officer or director designated by the Board of Directors. The secretary of the corporation, or in his or her absence, an assistant secretary, or in the absence of the secretary and all assistant secretaries, a person whom the chairperson of the meeting shall appoint, shall act as secretary of the meeting and keep a record of the proceedings thereof.</w:t>
      </w:r>
    </w:p>
    <w:p>
      <w:pPr>
        <w:spacing w:after="0" w:line="205"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Subject to any such rules and regulations as adopted by, and the supervision of, the Board of Directors, the chairperson of the meeting shall have the authority to adopt and enforce such rules and regulations for the conduct of any meeting of stockholders and the safety of those in attendance as, in the judgment of the chairperson, are necessary, appropriate or convenient for the conduct of the meeting. Rules and regulations for the conduct of meetings of stockholders, whether adopted by the Board of Directors or by the chairperson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chairperson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71" w:lineRule="auto"/>
        <w:rPr>
          <w:sz w:val="20"/>
          <w:szCs w:val="20"/>
          <w:color w:val="auto"/>
        </w:rPr>
      </w:pPr>
      <w:r>
        <w:rPr>
          <w:rFonts w:ascii="Times New Roman" w:cs="Times New Roman" w:eastAsia="Times New Roman" w:hAnsi="Times New Roman"/>
          <w:sz w:val="22"/>
          <w:szCs w:val="22"/>
          <w:color w:val="auto"/>
        </w:rPr>
        <w:t>Directors, the chairperson of the meeting may convene and, for any or no reason, from time to time, adjourn and/or recess any meeting of stockholders pursuant to Section 7 of this Article II.</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Action by Written Consent</w:t>
      </w:r>
      <w:r>
        <w:rPr>
          <w:rFonts w:ascii="Times New Roman" w:cs="Times New Roman" w:eastAsia="Times New Roman" w:hAnsi="Times New Roman"/>
          <w:sz w:val="21"/>
          <w:szCs w:val="21"/>
          <w:color w:val="auto"/>
        </w:rPr>
        <w:t>. Unless otherwise provided in the certificate of incorporation (including any certificate of designations relating to any series of preferred stock),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 or books in which proceedings of meetings of the stockholders are recorded. Delivery made to the corporation’s registered office shall be by hand or by certified or registered mail, return receipt requested. All consents properly delivered in accordance with this section shall be deemed to be recorded when so delivered. No written consent shall be effective to take the corporate action referred to therein unless, within sixty (60) days of the first date on which a consent is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stockholders to take the action were delivered to the corporation as provided in this section. If the person is not a stockholder of record when the consent is executed, the consent shall not be valid unless the person is a stockholder of record as of the record date for determining stockholders entitled to consent to the action. Any action taken pursuant to such written consent or consents of the stockholders shall have the same force and effect as if taken by the stockholders at a meeting thereof.</w:t>
      </w:r>
    </w:p>
    <w:p>
      <w:pPr>
        <w:spacing w:after="0" w:line="21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Nominations and Proposals; Advance Notice</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left="1460" w:hanging="642"/>
        <w:spacing w:after="0"/>
        <w:tabs>
          <w:tab w:leader="none" w:pos="1460" w:val="left"/>
        </w:tabs>
        <w:numPr>
          <w:ilvl w:val="1"/>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Submission of Information by Director Nominees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010000"/>
        </w:rPr>
      </w:pPr>
    </w:p>
    <w:p>
      <w:pPr>
        <w:ind w:firstLine="1304"/>
        <w:spacing w:after="0" w:line="271" w:lineRule="auto"/>
        <w:tabs>
          <w:tab w:leader="none" w:pos="1932" w:val="left"/>
        </w:tabs>
        <w:numPr>
          <w:ilvl w:val="2"/>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57" w:lineRule="exact"/>
        <w:rPr>
          <w:rFonts w:ascii="Times New Roman" w:cs="Times New Roman" w:eastAsia="Times New Roman" w:hAnsi="Times New Roman"/>
          <w:sz w:val="22"/>
          <w:szCs w:val="22"/>
          <w:color w:val="010000"/>
        </w:rPr>
      </w:pPr>
    </w:p>
    <w:p>
      <w:pPr>
        <w:jc w:val="both"/>
        <w:ind w:firstLine="2600"/>
        <w:spacing w:after="0" w:line="261" w:lineRule="auto"/>
        <w:tabs>
          <w:tab w:leader="none" w:pos="3162" w:val="left"/>
        </w:tabs>
        <w:numPr>
          <w:ilvl w:val="3"/>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representation and agreement, which shall be signed by such person and pursuant to which such person shall represent and agree that such person: (1) consents to serving as a director if elected and to being named as a nominee in a proxy statement and form of proxy relating to the meeting at which directors are to be elected and to serving as a director if elected, and currently intends to serve as a director for the full term for which such person is standing for election;</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and will not become a party to any agreement, arrangement or understanding with, and has not given any commitment or assurance to, any person or entity: (x) as to how the person, if elected as a director, will act or vote on any issue or question that has not been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9" w:name="page50"/>
    <w:bookmarkEnd w:id="49"/>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disclosed to the corporation; or (y) that could limit or interfere with the person’s ability to comply, if elected as a director, with such person’s fiduciary duties under applicable law; (3)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(4)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180" w:lineRule="exact"/>
        <w:rPr>
          <w:sz w:val="20"/>
          <w:szCs w:val="20"/>
          <w:color w:val="auto"/>
        </w:rPr>
      </w:pPr>
    </w:p>
    <w:p>
      <w:pPr>
        <w:jc w:val="both"/>
        <w:ind w:firstLine="2600"/>
        <w:spacing w:after="0" w:line="253" w:lineRule="auto"/>
        <w:tabs>
          <w:tab w:leader="none" w:pos="3157" w:val="left"/>
        </w:tabs>
        <w:numPr>
          <w:ilvl w:val="3"/>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completed and signed questionnaire(s) prepared by the corporation with respect to the background and qualification of such person that the corporation determines is necessary or advisable to assess whether a nominee will satisfy any qualifications or requirements imposed by the certificate of incorporation or these by-laws, any law, rule, regulation or listing standard that may be applicable to the corporation) (all of the foregoing, “</w:t>
      </w:r>
      <w:r>
        <w:rPr>
          <w:rFonts w:ascii="Times New Roman" w:cs="Times New Roman" w:eastAsia="Times New Roman" w:hAnsi="Times New Roman"/>
          <w:sz w:val="22"/>
          <w:szCs w:val="22"/>
          <w:b w:val="1"/>
          <w:bCs w:val="1"/>
          <w:color w:val="auto"/>
        </w:rPr>
        <w:t>Questionnaires</w:t>
      </w:r>
      <w:r>
        <w:rPr>
          <w:rFonts w:ascii="Times New Roman" w:cs="Times New Roman" w:eastAsia="Times New Roman" w:hAnsi="Times New Roman"/>
          <w:sz w:val="22"/>
          <w:szCs w:val="22"/>
          <w:color w:val="auto"/>
        </w:rPr>
        <w:t>”). The Questionnaires will be promptly provided following a request therefor.</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8" w:val="left"/>
        </w:tabs>
        <w:numPr>
          <w:ilvl w:val="2"/>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nominee for election or re-election as a director of the corporation shall also provide to the corporation such other information as it may reasonably request to determine whether such proposed nominee is qualified under the certificate of incorporation or these by-laws and any law, rule, regulation or listing standard that may be applicable to the corporation, including information relevant to a determination whether such person can be considered an independent director.</w:t>
      </w:r>
    </w:p>
    <w:p>
      <w:pPr>
        <w:spacing w:after="0" w:line="176"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944" w:val="left"/>
        </w:tabs>
        <w:numPr>
          <w:ilvl w:val="2"/>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stockholder has submitted notice of an intent to nominate a candidate for election or re-election as a director pursuant to Section 13(b) or Section 14, all written and signed representations and agreements and all fully completed and signed Questionnaires required pursuant to Section 13(a)(i)(A) and (B) above shall be provided to the corporation at the same time as such notice in the case of nomination under Section 13 or within the time period for delivery of a Stockholder Notice in the case of nomination under Section 14, and the additional information described in Section 13(a)(ii) above shall be provided to the corporation promptly upon request by the corporation, but in any event within five business days after such request. All information provided pursuant to Sections 13(a)(i) and (ii) shall be deemed part of the stockholder’s notice submitted pursuant to Section 13(b) or a Stockholder Notice submitted pursuant to such Section 14, as applicable.</w:t>
      </w:r>
    </w:p>
    <w:p>
      <w:pPr>
        <w:spacing w:after="0" w:line="191" w:lineRule="exact"/>
        <w:rPr>
          <w:rFonts w:ascii="Times New Roman" w:cs="Times New Roman" w:eastAsia="Times New Roman" w:hAnsi="Times New Roman"/>
          <w:sz w:val="22"/>
          <w:szCs w:val="22"/>
          <w:color w:val="010000"/>
        </w:rPr>
      </w:pPr>
    </w:p>
    <w:p>
      <w:pPr>
        <w:jc w:val="both"/>
        <w:ind w:firstLine="656"/>
        <w:spacing w:after="0" w:line="260" w:lineRule="auto"/>
        <w:tabs>
          <w:tab w:leader="none" w:pos="1291" w:val="left"/>
        </w:tabs>
        <w:numPr>
          <w:ilvl w:val="1"/>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Advance Notice of Stockholder Nominations and Other Business. </w:t>
      </w:r>
      <w:r>
        <w:rPr>
          <w:rFonts w:ascii="Times New Roman" w:cs="Times New Roman" w:eastAsia="Times New Roman" w:hAnsi="Times New Roman"/>
          <w:sz w:val="21"/>
          <w:szCs w:val="21"/>
          <w:color w:val="auto"/>
        </w:rPr>
        <w:t>At an annual meeting of the stockholders, only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nominations for directors shall be made and only such business other than nominations shall be conducted as shall have been properly brought before the meeting. To be properly brought before an annual meeting, nominations for directors and other business must be brought: (i) pursuant to the corporation’s proxy materials with respect to such meeting (including the notice of meeting and any supplement thereto); (ii) by or at the direction of the Board of Directors (or any authorized committee thereof);</w:t>
      </w:r>
    </w:p>
    <w:p>
      <w:pPr>
        <w:spacing w:after="0" w:line="2" w:lineRule="exact"/>
        <w:rPr>
          <w:rFonts w:ascii="Times New Roman" w:cs="Times New Roman" w:eastAsia="Times New Roman" w:hAnsi="Times New Roman"/>
          <w:sz w:val="21"/>
          <w:szCs w:val="21"/>
          <w:color w:val="010000"/>
        </w:rPr>
      </w:pPr>
    </w:p>
    <w:p>
      <w:pPr>
        <w:jc w:val="both"/>
        <w:ind w:firstLine="8"/>
        <w:spacing w:after="0" w:line="249" w:lineRule="auto"/>
        <w:tabs>
          <w:tab w:leader="none" w:pos="3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stockholder of the corporation who: (A) is a stockholder of record at the time of the giving of the notice required by this Section 13(b) and on the record date for the determination of stockholders entitled to vote at the annual meeting; and (B) has timely complied in proper written form with the notice procedures set forth in this Section 13(b); or (iv) by any Eligible Stockholder (as defined in Section 14(b)) whose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Stockholder Nominee (as defined in Section 14(a)) is included in the corporation’s proxy materials for the relevant annual meeting pursuant to Section 14(a). In addition, for business to be properly brought before an annual meeting by a stockholder, such business must be a proper matter for stockholder action pursuant to these by-laws and applicable law. For the avoidance of doubt, clauses (iii) and (iv) above shall be the exclusive means for a stockholder to make director nominations, and the foregoing clause (iii) shall be the exclusive means for a stockholder to propose other business before an annual meeting of stockholders (other than a proposal included in the corporation’s proxy statement pursuant to and in compliance with Rule 14a-8 under the 1934 Act).</w:t>
      </w:r>
    </w:p>
    <w:p>
      <w:pPr>
        <w:spacing w:after="0" w:line="180" w:lineRule="exact"/>
        <w:rPr>
          <w:sz w:val="20"/>
          <w:szCs w:val="20"/>
          <w:color w:val="auto"/>
        </w:rPr>
      </w:pPr>
    </w:p>
    <w:p>
      <w:pPr>
        <w:jc w:val="both"/>
        <w:ind w:firstLine="1304"/>
        <w:spacing w:after="0" w:line="260" w:lineRule="auto"/>
        <w:tabs>
          <w:tab w:leader="none" w:pos="1932"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comply with Section 13(b)(iii) above, a stockholder’s notice must set forth all information required under this Section 13(b) and must be timely delivered to the secretary of the corporation. To be timely, a stockholder’s notice must be delivered to the secretary at the principal executive offices of the corporation not later than the Close of Business (as defined in Section 13(c)) on the 90th day nor earlier than the Close of Business on the 120th day prior to the first anniversary of the preceding year’s annual meeting; provided, however, that in the event that the date of the annual meeting is more than 30 days before or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tenth day following the date on which Public Announcement (as defined in Section 13(c)) of the date of such meeting is first made by the corporation.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w:t>
      </w:r>
    </w:p>
    <w:p>
      <w:pPr>
        <w:spacing w:after="0" w:line="179" w:lineRule="exact"/>
        <w:rPr>
          <w:rFonts w:ascii="Times New Roman" w:cs="Times New Roman" w:eastAsia="Times New Roman" w:hAnsi="Times New Roman"/>
          <w:sz w:val="21"/>
          <w:szCs w:val="21"/>
          <w:color w:val="010000"/>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be in proper written form, a stockholder’s notice to the secretary must set forth:</w:t>
      </w:r>
    </w:p>
    <w:p>
      <w:pPr>
        <w:spacing w:after="0" w:line="219" w:lineRule="exact"/>
        <w:rPr>
          <w:rFonts w:ascii="Times New Roman" w:cs="Times New Roman" w:eastAsia="Times New Roman" w:hAnsi="Times New Roman"/>
          <w:sz w:val="22"/>
          <w:szCs w:val="22"/>
          <w:color w:val="010000"/>
        </w:rPr>
      </w:pPr>
    </w:p>
    <w:p>
      <w:pPr>
        <w:jc w:val="both"/>
        <w:ind w:firstLine="2600"/>
        <w:spacing w:after="0" w:line="250" w:lineRule="auto"/>
        <w:tabs>
          <w:tab w:leader="none" w:pos="313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or re-election as a director: (1) the name, age, business address and residence address of the person; (2) the principal occupation or employment of the person; (3) the class and number of shares of capital stock of the corporation that are held of record or Beneficially Owned (as defined in Section 13(c)) by the person; (4) all other information relating to the person that is required to be disclosed in solicitations of proxies for election of directors in an election contest, or is otherwise required, in each case pursuant to and in accordance with Regulation 14A under the 1934 Act; and (5) the information required to be submitted by nominees pursuant to Section 13(a)(i)(A) and Section 13(a)(i)(B) above as well as Section 13(a)(ii) above within the time periods specified in Section 13(a)(iii) above;</w:t>
      </w:r>
    </w:p>
    <w:p>
      <w:pPr>
        <w:spacing w:after="0" w:line="186" w:lineRule="exact"/>
        <w:rPr>
          <w:rFonts w:ascii="Times New Roman" w:cs="Times New Roman" w:eastAsia="Times New Roman" w:hAnsi="Times New Roman"/>
          <w:sz w:val="22"/>
          <w:szCs w:val="22"/>
          <w:color w:val="auto"/>
        </w:rPr>
      </w:pPr>
    </w:p>
    <w:p>
      <w:pPr>
        <w:jc w:val="both"/>
        <w:ind w:firstLine="2600"/>
        <w:spacing w:after="0" w:line="257" w:lineRule="auto"/>
        <w:tabs>
          <w:tab w:leader="none" w:pos="309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the stockholder intends to bring before the annual meeting: (1) a brief description of the business intended to be brought before the annual meeting, the text of the proposal or business (including the text of any resolutions proposed for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consideration and in the event that such business includes a proposal to amend the by-laws of the corporation, the language of the proposed amendment); and the reasons for conducting such business at the annual meeting and (2) any substantial interest (within the meaning of Item 5 of Schedule 14A under the 1934 Act) in such business of such stockholder and the beneficial owner (within the meaning of Section 13(d) of the 1934 Act), if any, on whose behalf the business is being proposed and, if such stockholder or beneficial owner is an entity, any Control Person (as defined in Section 13(b)(ii)(D) below);</w:t>
      </w:r>
    </w:p>
    <w:p>
      <w:pPr>
        <w:spacing w:after="0" w:line="179" w:lineRule="exact"/>
        <w:rPr>
          <w:sz w:val="20"/>
          <w:szCs w:val="20"/>
          <w:color w:val="auto"/>
        </w:rPr>
      </w:pPr>
    </w:p>
    <w:p>
      <w:pPr>
        <w:jc w:val="both"/>
        <w:ind w:firstLine="2600"/>
        <w:spacing w:after="0" w:line="250" w:lineRule="auto"/>
        <w:tabs>
          <w:tab w:leader="none" w:pos="314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and the beneficial owner, if any, on whose behalf the nomination is made or the other business is proposed: (1) the name and address, as they appear on the corporation’s books, of such stockholder, and the name and address of such beneficial owner; (2) the class and number of shares of the corporation that are held of record by the stockholder and such beneficial owner as of the date of the notice; and (3) a representation that the stockholder is a holder of record of stock of the corporation entitled to vote at such meeting and the stockholder (or a Qualified Representative of the stockholder, as defined in Section 13(c)) intends to appear at the meeting to make such nomination or propose such business;</w:t>
      </w:r>
    </w:p>
    <w:p>
      <w:pPr>
        <w:spacing w:after="0" w:line="180" w:lineRule="exact"/>
        <w:rPr>
          <w:rFonts w:ascii="Times New Roman" w:cs="Times New Roman" w:eastAsia="Times New Roman" w:hAnsi="Times New Roman"/>
          <w:sz w:val="22"/>
          <w:szCs w:val="22"/>
          <w:color w:val="auto"/>
        </w:rPr>
      </w:pPr>
    </w:p>
    <w:p>
      <w:pPr>
        <w:jc w:val="both"/>
        <w:ind w:firstLine="2600"/>
        <w:spacing w:after="0" w:line="246" w:lineRule="auto"/>
        <w:tabs>
          <w:tab w:leader="none" w:pos="32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individual who is a director, executive officer, general partner or managing member of such entity or of any other entity that has or shares control of such entity (any such individual or entity, a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(1) the class and number of shares of stock of the corporation that are Beneficially Owned (as defined in Section 13(c)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by the stockholder or beneficial owner and by any Control Person as of the date of the notice; (2) a description of (x) any plans or proposals which such stockholder, beneficial owner, if any, or Control Person may have with respect to securities of the corporation that would be required to be disclosed pursuant to Item 4 of Exchange Act Schedule 13D and (y) any agreement, arrangement or understanding with respect to the nomination or other business between or among such stockholder, beneficial owner, if any, or Control Person and any other person, including without limitation any agreements that would be required to be disclosed pursuant to Item 5 or Item 6 of Schedule 13D under the 1934 Act which description shall include, in addition to all other information, information identifying all parties thereto (in the case of either clause (x) or (y) (regardless of whether the requirement to file a Schedule 13D is applicable); (3) a description (which description shall include, in addition to all other information, information identifying all parties thereto) of any agreement, arrangement or understanding (including, without limitation, any option, warrant, forward contract, swap, contract of sale, or other derivative or similar agreement or short positions, profit interests, convertible securities, stock appreciation or similar rights, hedging or pledging transactions, voting rights, dividend rights, and any borrowing or lending of shares), whether the instrument or agreement is to be settled with shares or with cash based on the notional amount or value of outstanding shares of stock, that has been entered into as of the date of the stockholder’s notice by, or on behalf, of such stockholder, beneficial owner, if any, or Control Person, the effect or intent of which is to mitigate loss to, or to manage the risk or benefit from share price changes for, or to maintain, increase or decrease the voting power of, such stockholder, beneficial owner, if any, or Control Person with respect to any securities of the corporation; (4) a representation as to whether such stockholder, the beneficial owner, if any, Control Person or any other participant (as defined in Item 4 of Schedule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14A under the Exchange Act) will engage in a solicitation (within the meaning of Exchange Act Rule 14a-1(1)) with respect to the nomination or other business and, if so, whether such solicitation will be conducted as an exempt solicitation as described in Rule 14a-2(b) under the Exchange Act, the name of each participant in such solicitation, the amount of the cost of solicitation that has been and will be borne, directly or indirectly, by each participant in such solicitation and (x) in the case of a proposal of business other than director nominations, whether such person or group intends to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the percentage of the corporation’s outstanding capital stock required under applicable law to carry the proposal or (y) in the case of any non-exempt solicitation made with respect to any director nomination (except for a nomination made by an Eligible Stockholder pursuant to Section 14), confirming that such person or group will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sixty-seven percent (67%) of the voting power of the corporation’s stock entitled to vote generally in the election of directors; (5) a representation that, promptly after soliciting proxies from the percentage of stockholders referred to in the representation required under clause (b)(ii)(D)(4) of this Section 13, and no later than the tenth day before such meeting of stockholders, such stockholder, beneficial owner, if any, Control Person or participant will provide the corporation with documentation, which may take the form of a statement and documentation from a proxy solicitor, confirming that the necessary steps have been taken to deliver a proxy statement and form of proxy to holders of such percentage of the voting power of the corporation’s stock entitled to vote generally in the election of directors and (6) any other information relating to such stockholder, beneficial owner, if any, or Control Person that would be required to be disclosed in solicitations of proxies for election of directors in an election contest, or is otherwise required, in each case pursuant to and in accordance with Regulation 14A under the 1934 Act, whether or not an election contest is involved. In addition, to be in proper written form, a stockholder’s notice to the secretary must be supplemented not later than five business days following the record date for such meeting to disclose the information contained in Section 13(b)(ii)(C)(2) and Section 13(b)(ii)(D)(1)-(3) above as of the record date for the meeting.</w:t>
      </w:r>
    </w:p>
    <w:p>
      <w:pPr>
        <w:spacing w:after="0" w:line="200" w:lineRule="exact"/>
        <w:rPr>
          <w:sz w:val="20"/>
          <w:szCs w:val="20"/>
          <w:color w:val="auto"/>
        </w:rPr>
      </w:pPr>
    </w:p>
    <w:p>
      <w:pPr>
        <w:spacing w:after="0" w:line="238"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For purposes of these by-laws, including Section 13 and Section 14, “</w:t>
      </w:r>
      <w:r>
        <w:rPr>
          <w:rFonts w:ascii="Times New Roman" w:cs="Times New Roman" w:eastAsia="Times New Roman" w:hAnsi="Times New Roman"/>
          <w:sz w:val="21"/>
          <w:szCs w:val="21"/>
          <w:b w:val="1"/>
          <w:bCs w:val="1"/>
          <w:color w:val="auto"/>
        </w:rPr>
        <w:t>Close of Business</w:t>
      </w:r>
      <w:r>
        <w:rPr>
          <w:rFonts w:ascii="Times New Roman" w:cs="Times New Roman" w:eastAsia="Times New Roman" w:hAnsi="Times New Roman"/>
          <w:sz w:val="21"/>
          <w:szCs w:val="21"/>
          <w:color w:val="auto"/>
        </w:rPr>
        <w:t>” shall mean</w:t>
      </w:r>
    </w:p>
    <w:p>
      <w:pPr>
        <w:spacing w:after="0" w:line="43" w:lineRule="exact"/>
        <w:rPr>
          <w:rFonts w:ascii="Times New Roman" w:cs="Times New Roman" w:eastAsia="Times New Roman" w:hAnsi="Times New Roman"/>
          <w:sz w:val="21"/>
          <w:szCs w:val="21"/>
          <w:color w:val="010000"/>
        </w:rPr>
      </w:pPr>
    </w:p>
    <w:p>
      <w:pPr>
        <w:jc w:val="both"/>
        <w:spacing w:after="0" w:line="246"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6:00 p.m. local time at the principal executive offices of the corporation on any calendar day, whether or not the day is a business day, and a “</w:t>
      </w:r>
      <w:r>
        <w:rPr>
          <w:rFonts w:ascii="Times New Roman" w:cs="Times New Roman" w:eastAsia="Times New Roman" w:hAnsi="Times New Roman"/>
          <w:sz w:val="22"/>
          <w:szCs w:val="22"/>
          <w:b w:val="1"/>
          <w:bCs w:val="1"/>
          <w:color w:val="auto"/>
        </w:rPr>
        <w:t>Public Announcement</w:t>
      </w:r>
      <w:r>
        <w:rPr>
          <w:rFonts w:ascii="Times New Roman" w:cs="Times New Roman" w:eastAsia="Times New Roman" w:hAnsi="Times New Roman"/>
          <w:sz w:val="22"/>
          <w:szCs w:val="22"/>
          <w:color w:val="auto"/>
        </w:rPr>
        <w:t>” shall mean disclosure in a press release reported by the Dow Jones News Service, Associated Press or a comparable national news service or in a document publicly filed by the corporation with the Securities and Exchange Commission pursuant to Sections 13, 14 or 15(d) of the 1934 Act. For purposes of Section 13(b)(ii)(A)(3) and Section 13(b)(ii)(D)(1), shares shall be treated as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by a person if the person beneficially owns such shares, directly or indirectly, for purposes of Section 13(d) of the 1934 Act and Regulations 13D and 13G thereunder or has or shares pursuant to any agreement, arrangement or understanding (whether or not in writing): (1) the right to acquire such shares (whether such right is exercisable immediately or only after the passage of time or the fulfillment of a condition or both); (2) the right to vote such shares, alone or in concert with others; and/or (3) investment power with respect to such shares, including the power to</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dispose of, or to direct the disposition of, such shares. For purposes of this Section 13 and Section 14 of these by-laws, to be considered a "</w:t>
      </w:r>
      <w:r>
        <w:rPr>
          <w:rFonts w:ascii="Times New Roman" w:cs="Times New Roman" w:eastAsia="Times New Roman" w:hAnsi="Times New Roman"/>
          <w:sz w:val="22"/>
          <w:szCs w:val="22"/>
          <w:b w:val="1"/>
          <w:bCs w:val="1"/>
          <w:color w:val="auto"/>
        </w:rPr>
        <w:t>Qualified Representative</w:t>
      </w:r>
      <w:r>
        <w:rPr>
          <w:rFonts w:ascii="Times New Roman" w:cs="Times New Roman" w:eastAsia="Times New Roman" w:hAnsi="Times New Roman"/>
          <w:sz w:val="22"/>
          <w:szCs w:val="22"/>
          <w:color w:val="auto"/>
        </w:rPr>
        <w:t>" of a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stating that such person is authorized to act for such stockholder as proxy at the meeting of stockholders.</w:t>
      </w:r>
    </w:p>
    <w:p>
      <w:pPr>
        <w:spacing w:after="0" w:line="175" w:lineRule="exact"/>
        <w:rPr>
          <w:sz w:val="20"/>
          <w:szCs w:val="20"/>
          <w:color w:val="auto"/>
        </w:rPr>
      </w:pPr>
    </w:p>
    <w:p>
      <w:pPr>
        <w:jc w:val="both"/>
        <w:ind w:firstLine="656"/>
        <w:spacing w:after="0" w:line="259" w:lineRule="auto"/>
        <w:tabs>
          <w:tab w:leader="none" w:pos="1291"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Advance Notice of Director Nominations for Special Meetings</w:t>
      </w:r>
      <w:r>
        <w:rPr>
          <w:rFonts w:ascii="Times New Roman" w:cs="Times New Roman" w:eastAsia="Times New Roman" w:hAnsi="Times New Roman"/>
          <w:sz w:val="21"/>
          <w:szCs w:val="21"/>
          <w:color w:val="auto"/>
        </w:rPr>
        <w:t>. For a special meeting of stockholders at which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directors are to be elected pursuant to Section 2 of this Article II, nominations of persons for election to the Board of Directors shall be made only: (A) by or at the direction of the Board of Directors (or any authorized committee thereof), or (B) by any stockholder of the corporation who: (1) is a stockholder of record at the time of the giving of the notice required by this Section 13(d) and on the record date for the determination of stockholders entitled to vote at the special meeting, and (2) delivers a timely written notice of the nomination to the secretary of the corporation that includes the information set forth in Section 13(b) above, including the additional information required by Section 13(a) above; provided, however, that the Questionnaires described in Section 13(a)(i)(B) above shall be provided to the Secretary of the corporation within the time period for delivery of a stockholder’s notice under this Section 13(d). To be timely, such notice must be delivered to the secretary at the principal executive offices of the corporation not earlier than the Close of Business on the 120th day prior to the meeting and not later than the Close of Business on the later of the 90th day prior to such special meeting or the tenth day following the date on which Public Announcement of the date of the meeting and of the nominees proposed by the Board of Directors to be elected at such meeting is first made by the corporation. The number of nominees a stockholder may nominate for election at the special meeting (or in the case of a stockholder giving the notice on behalf of a beneficial owner, the number of nominees a stockholder may nominate for election at the special meeting on behalf of the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 A person shall not be eligible for election or re-election as a director at a special meeting unless the person is nominated: (A) by or at the direction of the Board of Directors; or (B) by a stockholder in accordance with the notice procedures set forth in this Section 13(d).</w:t>
      </w:r>
    </w:p>
    <w:p>
      <w:pPr>
        <w:spacing w:after="0" w:line="192" w:lineRule="exact"/>
        <w:rPr>
          <w:rFonts w:ascii="Times New Roman" w:cs="Times New Roman" w:eastAsia="Times New Roman" w:hAnsi="Times New Roman"/>
          <w:sz w:val="21"/>
          <w:szCs w:val="21"/>
          <w:color w:val="010000"/>
        </w:rPr>
      </w:pPr>
    </w:p>
    <w:p>
      <w:pPr>
        <w:jc w:val="both"/>
        <w:ind w:firstLine="656"/>
        <w:spacing w:after="0" w:line="248" w:lineRule="auto"/>
        <w:tabs>
          <w:tab w:leader="none" w:pos="1293"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Without exception, no person shall be eligible for election or re-election as a director of the corporation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a meeting of stockholders unless nominated in accordance with the provisions set forth in this Section 13 or, with respect to annual meetings only, Section 14, and no other business shall be conducted at a meeting of stockholders except in accordance with the provisions set forth in these by-laws. Except as otherwise provided by applicable law, the Board of Directors (or an authorized committee thereof), or, at any meeting of stockholders, each of the Board of Directors, the Chairman of the Board and the chairperson of the meeting (in the case of Chairman of the Board and chairperson of the meeting, subject to the third sentence in Section 11(b) and supervision, discretion and control of the Board of Directors) shall have the power to determine whether a nomination or any other business proposed to be brought before the meeting was made or proposed, as the case may be, in accordance with the procedures set forth in these by-laws (including whether a stockholder or beneficial owner provided all information and complied with all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representations required under Section 13(a) and/or this Section 13(b) and/or complied with the requirements of Rule 14a-19 under the 1934 Act). If any proposed nomination or other business is not in compliance with these by-laws, including due to a failure to comply with the requirements of Rule 14a-19 under the 1934 Act, then except as otherwise required by law, the chairperson of the meeting (subject to the third sentence in Section 11(b) and supervision, discretion and control of the Board of Directors) shall have the power to declare at the meeting that the nomination or other business was not made in accordance with the procedures prescribed by these by-laws and that the defective nomination or business shall be disregarded, notwithstanding that proxies and votes in respect of any such nomination or other business may have been received by the corporation. In furtherance and not by way of limitation of the foregoing provisions of this Section 13, unless otherwise required by law, or otherwise determined by the Chairman of the Board, the Board of Directors, or the chairperson of the meeting (in the case of Chairman of the Board and chairperson of the meeting, subject to the third sentence in Section 11(b) and supervision, discretion and control of the Board of Directors), if: (i) the stockholder does not provide (or supplement) the information required under Section 13(a) or Section 13(b) to the corporation within the time frames specified herein or (ii) the stockholder (or a Qualified Representative of the stockholder) does not appear at the meeting of stockholders of the corporation to present a nomination or other business, such nomination shall be disregarded and such other business shall not be transacted, notwithstanding that proxies and votes in respect of any such nomination or other business may have been received by the corporation.</w:t>
      </w:r>
    </w:p>
    <w:p>
      <w:pPr>
        <w:spacing w:after="0" w:line="176" w:lineRule="exact"/>
        <w:rPr>
          <w:sz w:val="20"/>
          <w:szCs w:val="20"/>
          <w:color w:val="auto"/>
        </w:rPr>
      </w:pPr>
    </w:p>
    <w:p>
      <w:pPr>
        <w:jc w:val="both"/>
        <w:ind w:firstLine="656"/>
        <w:spacing w:after="0" w:line="248" w:lineRule="auto"/>
        <w:tabs>
          <w:tab w:leader="none" w:pos="1296"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Other Requirements and Rights. </w:t>
      </w:r>
      <w:r>
        <w:rPr>
          <w:rFonts w:ascii="Times New Roman" w:cs="Times New Roman" w:eastAsia="Times New Roman" w:hAnsi="Times New Roman"/>
          <w:sz w:val="22"/>
          <w:szCs w:val="22"/>
          <w:color w:val="auto"/>
        </w:rPr>
        <w:t>In addition to the foregoing provisions of this Section 13, a stockholder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beneficial owner on whose behalf a nomination is made or other business is proposed, and if such stockholder or beneficial owner is an entity, any Control Person) must also comply with all applicable requirements of state law and of the 1934 Act and the rules and regulations thereunder with respect to the matters set forth in this Section 13, including, with respect to business such stockholder intends to bring before a meeting that involves a proposal that such stockholder requests to be included in the corporation’s proxy statement, the requirements of Rule 14a-8 under the 1934 Act; provided, however, that any references in these by-laws to the 1934 Act or the rules and regulations promulgated thereunder are not intended to and shall not limit any requirements applicable to nominations or proposals as to any other business to be considered pursuant to this Section 13. Nothing in this Section 13 shall be deemed to affect any right of the corporation to omit a proposal from the corporation’s proxy statement pursuant to Rule 14a-8 under the 1934 Act. Any stockholder directly or indirectly soliciting proxies from other stockholders must use a proxy card color other than white, which shall be reserved for the exclusive use for solicitation by the board of directors.</w:t>
      </w:r>
    </w:p>
    <w:p>
      <w:pPr>
        <w:spacing w:after="0" w:line="188" w:lineRule="exact"/>
        <w:rPr>
          <w:sz w:val="20"/>
          <w:szCs w:val="20"/>
          <w:color w:val="auto"/>
        </w:rPr>
      </w:pPr>
    </w:p>
    <w:p>
      <w:pPr>
        <w:ind w:left="220"/>
        <w:spacing w:after="0"/>
        <w:tabs>
          <w:tab w:leader="none" w:pos="1400" w:val="left"/>
        </w:tabs>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Proxy Access for Director Nominations.</w:t>
      </w:r>
    </w:p>
    <w:p>
      <w:pPr>
        <w:spacing w:after="0" w:line="243" w:lineRule="exact"/>
        <w:rPr>
          <w:sz w:val="20"/>
          <w:szCs w:val="20"/>
          <w:color w:val="auto"/>
        </w:rPr>
      </w:pPr>
    </w:p>
    <w:p>
      <w:pPr>
        <w:ind w:right="100" w:firstLine="656"/>
        <w:spacing w:after="0" w:line="254"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Eligibility. </w:t>
      </w:r>
      <w:r>
        <w:rPr>
          <w:rFonts w:ascii="Times New Roman" w:cs="Times New Roman" w:eastAsia="Times New Roman" w:hAnsi="Times New Roman"/>
          <w:sz w:val="22"/>
          <w:szCs w:val="22"/>
          <w:color w:val="auto"/>
        </w:rPr>
        <w:t>Subject to the terms and conditions of these by-laws, in connection with an annual meeting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at which directors are to be elected, the corporation: (i) shall include in its proxy statement and on its form of proxy the names of, and (ii) shall include in its proxy statement the “Additional Information” (as defined below) relating to, a number of nominees specified pursuant to Article I, Section 14(b)(i) (the “Authorized Number”) for election to the Board of Directors submitted pursuant to this Section 14 (each, a “Stockholder Nominee”), if: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8" w:lineRule="exact"/>
        <w:rPr>
          <w:sz w:val="20"/>
          <w:szCs w:val="20"/>
          <w:color w:val="auto"/>
        </w:rPr>
      </w:pPr>
    </w:p>
    <w:p>
      <w:pPr>
        <w:ind w:left="3240" w:hanging="640"/>
        <w:spacing w:after="0"/>
        <w:tabs>
          <w:tab w:leader="none" w:pos="3240" w:val="left"/>
        </w:tabs>
        <w:numPr>
          <w:ilvl w:val="3"/>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Nominee satisfies the eligibility requirements in this Section 14;</w:t>
      </w:r>
    </w:p>
    <w:p>
      <w:pPr>
        <w:spacing w:after="0" w:line="219" w:lineRule="exact"/>
        <w:rPr>
          <w:rFonts w:ascii="Times New Roman" w:cs="Times New Roman" w:eastAsia="Times New Roman" w:hAnsi="Times New Roman"/>
          <w:sz w:val="22"/>
          <w:szCs w:val="22"/>
          <w:color w:val="010000"/>
        </w:rPr>
      </w:pPr>
    </w:p>
    <w:p>
      <w:pPr>
        <w:jc w:val="both"/>
        <w:ind w:firstLine="2600"/>
        <w:spacing w:after="0" w:line="263" w:lineRule="auto"/>
        <w:tabs>
          <w:tab w:leader="none" w:pos="3231" w:val="left"/>
        </w:tabs>
        <w:numPr>
          <w:ilvl w:val="3"/>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Nominee is identified in a timely notice (the “Stockholder Notice”) that satisfies this Section 14 and is delivered by a stockholder that qualifies as, or is acting on behalf of, an Eligible Stockholder (as defined below);</w:t>
      </w:r>
    </w:p>
    <w:p>
      <w:pPr>
        <w:spacing w:after="0" w:line="167" w:lineRule="exact"/>
        <w:rPr>
          <w:rFonts w:ascii="Times New Roman" w:cs="Times New Roman" w:eastAsia="Times New Roman" w:hAnsi="Times New Roman"/>
          <w:sz w:val="22"/>
          <w:szCs w:val="22"/>
          <w:color w:val="010000"/>
        </w:rPr>
      </w:pPr>
    </w:p>
    <w:p>
      <w:pPr>
        <w:jc w:val="both"/>
        <w:ind w:firstLine="2600"/>
        <w:spacing w:after="0" w:line="257" w:lineRule="auto"/>
        <w:tabs>
          <w:tab w:leader="none" w:pos="3231" w:val="left"/>
        </w:tabs>
        <w:numPr>
          <w:ilvl w:val="3"/>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Eligible Stockholder satisfies the requirements in this Section 14 and expressly elects at the time of the delivery of the Stockholder Notice to have the Stockholder Nominee included in the corporation’s proxy materials; and</w:t>
      </w:r>
    </w:p>
    <w:p>
      <w:pPr>
        <w:spacing w:after="0" w:line="172"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3"/>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additional requirements of these by-laws are met.</w:t>
      </w:r>
    </w:p>
    <w:p>
      <w:pPr>
        <w:spacing w:after="0" w:line="256"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Definitions.</w:t>
      </w:r>
    </w:p>
    <w:p>
      <w:pPr>
        <w:spacing w:after="0" w:line="200" w:lineRule="exact"/>
        <w:rPr>
          <w:rFonts w:ascii="Times New Roman" w:cs="Times New Roman" w:eastAsia="Times New Roman" w:hAnsi="Times New Roman"/>
          <w:sz w:val="22"/>
          <w:szCs w:val="22"/>
          <w:color w:val="auto"/>
        </w:rPr>
      </w:pPr>
    </w:p>
    <w:p>
      <w:pPr>
        <w:spacing w:after="0" w:line="266" w:lineRule="exact"/>
        <w:rPr>
          <w:rFonts w:ascii="Times New Roman" w:cs="Times New Roman" w:eastAsia="Times New Roman" w:hAnsi="Times New Roman"/>
          <w:sz w:val="22"/>
          <w:szCs w:val="22"/>
          <w:color w:val="auto"/>
        </w:rPr>
      </w:pPr>
    </w:p>
    <w:p>
      <w:pPr>
        <w:jc w:val="both"/>
        <w:ind w:firstLine="1304"/>
        <w:spacing w:after="0" w:line="258" w:lineRule="auto"/>
        <w:tabs>
          <w:tab w:leader="none" w:pos="1741"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Stockholder Nominees appearing in the corporation’s proxy materials with respect to an annual meeting of stockholders (the “Authorized Number”) shall not exceed the greater of (a) two or (b) 20% of the number of directors in office as of the last day on which a Stockholder Notice may be delivered pursuant to this Section 14 with respect to the annual meeting, or if such amount is not a whole number, the closest whole number (rounding down) below 20%, but not less than one; provided that the Authorized Number shall be reduced: (A) by any Stockholder Nominee whose name was submitted for inclusion in the corporation’s proxy materials pursuant to this Section 14 but either is subsequently withdrawn or that the Board of Directors decides to nominate as a Board nominee, (B) by any directors in office or director nominees that in either case shall be included in the corporation’s proxy materials with respect to the annual meeting as an unopposed (by the corporation) nominee pursuant to an agreement, arrangement or other understanding between the corporation and a stockholder or group of stockholders (other than any such agreement, arrangement or understanding entered into in connection with an acquisition of capital stock, by the stockholder or group of stockholders, from the corporation), (C) by any directors currently serving on the Board of Directors who were previously elected to the Board of Directors as Stockholder Nominees at any of the preceding two annual meetings and who are nominated for election at the annual meeting by the Board of Directors as a Board nominee, and</w:t>
      </w:r>
    </w:p>
    <w:p>
      <w:pPr>
        <w:spacing w:after="0" w:line="10" w:lineRule="exact"/>
        <w:rPr>
          <w:rFonts w:ascii="Times New Roman" w:cs="Times New Roman" w:eastAsia="Times New Roman" w:hAnsi="Times New Roman"/>
          <w:sz w:val="21"/>
          <w:szCs w:val="21"/>
          <w:color w:val="auto"/>
        </w:rPr>
      </w:pPr>
    </w:p>
    <w:p>
      <w:pPr>
        <w:jc w:val="both"/>
        <w:ind w:firstLine="8"/>
        <w:spacing w:after="0" w:line="247" w:lineRule="auto"/>
        <w:tabs>
          <w:tab w:leader="none" w:pos="35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Stockholder Nominee who is not included in the corporation’s proxy materials or is not submitted for director election for any reason, in accordance with the last sentence of Article I, Section 14(d)(ii).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w:t>
      </w:r>
    </w:p>
    <w:p>
      <w:pPr>
        <w:spacing w:after="0" w:line="18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qualify as an “Eligible Stockholder,” a stockholder or a group as described in this Section 14 must:</w:t>
      </w:r>
    </w:p>
    <w:p>
      <w:pPr>
        <w:spacing w:after="0" w:line="21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229" w:val="left"/>
        </w:tabs>
        <w:numPr>
          <w:ilvl w:val="3"/>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Own and have Owned (as defined below), continuously for at least three years as of the date of the Stockholder Notice, a number of shares (as adjusted to account for any stock dividend, stock split, subdivision, combination, reclassification or recapitalization of outstanding shares of capital stock of the corporation that are entitled to vote generally in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election of directors) that represents at least 3% of the outstanding shares of capital stock of the corporation that are entitled to vote generally in the election of directors as of the date of the Stockholder Notice (the “Required Shares”); and</w:t>
      </w:r>
    </w:p>
    <w:p>
      <w:pPr>
        <w:spacing w:after="0" w:line="158" w:lineRule="exact"/>
        <w:rPr>
          <w:sz w:val="20"/>
          <w:szCs w:val="20"/>
          <w:color w:val="auto"/>
        </w:rPr>
      </w:pPr>
    </w:p>
    <w:p>
      <w:pPr>
        <w:ind w:left="2680"/>
        <w:spacing w:after="0"/>
        <w:tabs>
          <w:tab w:leader="none" w:pos="3220" w:val="left"/>
        </w:tabs>
        <w:rPr>
          <w:sz w:val="20"/>
          <w:szCs w:val="20"/>
          <w:color w:val="auto"/>
        </w:rPr>
      </w:pPr>
      <w:r>
        <w:rPr>
          <w:rFonts w:ascii="Times New Roman" w:cs="Times New Roman" w:eastAsia="Times New Roman" w:hAnsi="Times New Roman"/>
          <w:sz w:val="22"/>
          <w:szCs w:val="22"/>
          <w:color w:val="010000"/>
        </w:rPr>
        <w:t>(B)</w:t>
      </w:r>
      <w:r>
        <w:rPr>
          <w:rFonts w:ascii="Times New Roman" w:cs="Times New Roman" w:eastAsia="Times New Roman" w:hAnsi="Times New Roman"/>
          <w:sz w:val="22"/>
          <w:szCs w:val="22"/>
          <w:color w:val="auto"/>
        </w:rPr>
        <w:tab/>
        <w:t>thereafter  continue  to  Own  the  Required  Shares  through  such  annual  meeting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stockholders.</w:t>
      </w:r>
    </w:p>
    <w:p>
      <w:pPr>
        <w:spacing w:after="0" w:line="207" w:lineRule="exact"/>
        <w:rPr>
          <w:sz w:val="20"/>
          <w:szCs w:val="20"/>
          <w:color w:val="auto"/>
        </w:rPr>
      </w:pPr>
    </w:p>
    <w:p>
      <w:pPr>
        <w:jc w:val="both"/>
        <w:ind w:firstLine="2673"/>
        <w:spacing w:after="0" w:line="258" w:lineRule="auto"/>
        <w:rPr>
          <w:sz w:val="20"/>
          <w:szCs w:val="20"/>
          <w:color w:val="auto"/>
        </w:rPr>
      </w:pPr>
      <w:r>
        <w:rPr>
          <w:rFonts w:ascii="Times New Roman" w:cs="Times New Roman" w:eastAsia="Times New Roman" w:hAnsi="Times New Roman"/>
          <w:sz w:val="21"/>
          <w:szCs w:val="21"/>
          <w:color w:val="auto"/>
        </w:rPr>
        <w:t>For purposes of satisfying the ownership requirements of this Section 14(b)(ii), a group of not more than twenty stockholders and/or beneficial owners may aggregate the number of shares of capital stock of the corporation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14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14. A group of any two or more funds shall be treated as only one stockholder or beneficial owner for this purpose if they are (1) under common management and investment control, (2) under common management and funded primarily by a single employer, or (3) part of a “group of investment companies,” as such term is defined in Section 12(d)(1)(G)</w:t>
      </w:r>
    </w:p>
    <w:p>
      <w:pPr>
        <w:spacing w:after="0" w:line="9" w:lineRule="exact"/>
        <w:rPr>
          <w:sz w:val="20"/>
          <w:szCs w:val="20"/>
          <w:color w:val="auto"/>
        </w:rPr>
      </w:pPr>
    </w:p>
    <w:p>
      <w:pPr>
        <w:ind w:firstLine="8"/>
        <w:spacing w:after="0" w:line="259" w:lineRule="auto"/>
        <w:tabs>
          <w:tab w:leader="none" w:pos="32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as amended. For purposes of this Section 14, the term “affiliate” or “affiliates” shall have the meanings ascribed thereto under the rules and regulations promulgated under the 1934 Act.</w:t>
      </w:r>
    </w:p>
    <w:p>
      <w:pPr>
        <w:spacing w:after="0" w:line="17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purposes of this Section 14:</w:t>
      </w:r>
    </w:p>
    <w:p>
      <w:pPr>
        <w:spacing w:after="0" w:line="219" w:lineRule="exact"/>
        <w:rPr>
          <w:rFonts w:ascii="Times New Roman" w:cs="Times New Roman" w:eastAsia="Times New Roman" w:hAnsi="Times New Roman"/>
          <w:sz w:val="18"/>
          <w:szCs w:val="18"/>
          <w:color w:val="auto"/>
        </w:rPr>
      </w:pPr>
    </w:p>
    <w:p>
      <w:pPr>
        <w:jc w:val="both"/>
        <w:ind w:firstLine="2600"/>
        <w:spacing w:after="0" w:line="248" w:lineRule="auto"/>
        <w:tabs>
          <w:tab w:leader="none" w:pos="3229" w:val="left"/>
        </w:tabs>
        <w:numPr>
          <w:ilvl w:val="2"/>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or beneficial owner is deemed to “Own” only those outstanding shares of capital stock of the corporation that are entitled to vote generally in the election of directors as to which the person possesses both: (1) the full voting and investment rights pertaining to the shares, and (2) the full economic interest in (including the opportunity for profit and risk of loss on) such shares, except that the number of shares calculated in accordance with clauses (1) and (2) shall not include any shares: (a) sold by such person in any transaction that has not been settled or closed, (b) borrowed by the person for any purposes or purchased by the person pursuant to an agreement to resell, or (c) subject to any option, warrant, forward contract, swap, contract of sale, or other derivative or similar agreement entered into by the person, whether the instrument or agreement is to be settled with shares or with cash based on the notional amount or value of outstanding shares of capital stock of the corporation that are entitled to vote generally in the election of directors, if the instrument or agreement has, or is intended to have, or if exercised would have, the purpose or effect of: (i) reducing in any manner, to any extent or at any time in the future, the person’s full right to vote or direct the voting of the shares, and/or (ii)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(a) through (c), the term “person” includes its affiliates.</w:t>
      </w:r>
    </w:p>
    <w:p>
      <w:pPr>
        <w:spacing w:after="0" w:line="187" w:lineRule="exact"/>
        <w:rPr>
          <w:rFonts w:ascii="Times New Roman" w:cs="Times New Roman" w:eastAsia="Times New Roman" w:hAnsi="Times New Roman"/>
          <w:sz w:val="22"/>
          <w:szCs w:val="22"/>
          <w:color w:val="010000"/>
        </w:rPr>
      </w:pPr>
    </w:p>
    <w:p>
      <w:pPr>
        <w:ind w:firstLine="2600"/>
        <w:spacing w:after="0" w:line="271" w:lineRule="auto"/>
        <w:tabs>
          <w:tab w:leader="none" w:pos="3231" w:val="left"/>
        </w:tabs>
        <w:numPr>
          <w:ilvl w:val="2"/>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or beneficial owner “Owns” shares held in the name of a nominee or other intermediary so long as the person retains both: (1) the full voting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86" w:lineRule="exact"/>
        <w:rPr>
          <w:sz w:val="20"/>
          <w:szCs w:val="20"/>
          <w:color w:val="auto"/>
        </w:rPr>
      </w:pPr>
    </w:p>
    <w:p>
      <w:pPr>
        <w:jc w:val="both"/>
        <w:ind w:firstLine="2600"/>
        <w:spacing w:after="0" w:line="250" w:lineRule="auto"/>
        <w:tabs>
          <w:tab w:leader="none" w:pos="3231"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or beneficial owner’s Ownership of shares shall be deemed to continue during any period in which the person has loaned the shares if the person has the power to recall the loaned shares on not more than five business days’ notice and (1) the person recalls the loaned shares within five business days of being notified that its Stockholder Nominee shall be included in the corporation’s proxy materials for the relevant annual meeting, and (2) the person holds the recalled shares through the annual meeting.</w:t>
      </w:r>
    </w:p>
    <w:p>
      <w:pPr>
        <w:spacing w:after="0" w:line="194" w:lineRule="exact"/>
        <w:rPr>
          <w:rFonts w:ascii="Times New Roman" w:cs="Times New Roman" w:eastAsia="Times New Roman" w:hAnsi="Times New Roman"/>
          <w:sz w:val="22"/>
          <w:szCs w:val="22"/>
          <w:color w:val="010000"/>
        </w:rPr>
      </w:pPr>
    </w:p>
    <w:p>
      <w:pPr>
        <w:ind w:firstLine="1304"/>
        <w:spacing w:after="0" w:line="271" w:lineRule="auto"/>
        <w:tabs>
          <w:tab w:leader="none" w:pos="19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purposes of this Section 14, the “Additional Information” referred to in Section 14(a)(ii) that the corporation will include in its proxy statement is:</w:t>
      </w:r>
    </w:p>
    <w:p>
      <w:pPr>
        <w:spacing w:after="0" w:line="157" w:lineRule="exact"/>
        <w:rPr>
          <w:rFonts w:ascii="Times New Roman" w:cs="Times New Roman" w:eastAsia="Times New Roman" w:hAnsi="Times New Roman"/>
          <w:sz w:val="18"/>
          <w:szCs w:val="18"/>
          <w:color w:val="auto"/>
        </w:rPr>
      </w:pPr>
    </w:p>
    <w:p>
      <w:pPr>
        <w:jc w:val="both"/>
        <w:ind w:firstLine="2600"/>
        <w:spacing w:after="0" w:line="257" w:lineRule="auto"/>
        <w:tabs>
          <w:tab w:leader="none" w:pos="3229"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information set forth in the Schedule 14N provided with the Stockholder Notice concerning each Stockholder Nominee and the Eligible Stockholder that is required to be disclosed in the corporation’s proxy statement by the applicable requirements of the 1934 Act and the rules and regulations thereunder; and</w:t>
      </w:r>
    </w:p>
    <w:p>
      <w:pPr>
        <w:spacing w:after="0" w:line="172" w:lineRule="exact"/>
        <w:rPr>
          <w:rFonts w:ascii="Times New Roman" w:cs="Times New Roman" w:eastAsia="Times New Roman" w:hAnsi="Times New Roman"/>
          <w:sz w:val="22"/>
          <w:szCs w:val="22"/>
          <w:color w:val="010000"/>
        </w:rPr>
      </w:pPr>
    </w:p>
    <w:p>
      <w:pPr>
        <w:jc w:val="both"/>
        <w:ind w:firstLine="2600"/>
        <w:spacing w:after="0" w:line="256" w:lineRule="auto"/>
        <w:tabs>
          <w:tab w:leader="none" w:pos="3231"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(the “Statement”).</w:t>
      </w:r>
    </w:p>
    <w:p>
      <w:pPr>
        <w:spacing w:after="0" w:line="203"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Section 14,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14 shall limit the corporation’s ability to solicit against and include in its proxy materials its own statements relating to any Eligible Stockholder or Stockholder Nominee.</w:t>
      </w:r>
    </w:p>
    <w:p>
      <w:pPr>
        <w:spacing w:after="0" w:line="187"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Notice and Other Informational Requirements.</w:t>
      </w:r>
    </w:p>
    <w:p>
      <w:pPr>
        <w:spacing w:after="0" w:line="200" w:lineRule="exact"/>
        <w:rPr>
          <w:rFonts w:ascii="Times New Roman" w:cs="Times New Roman" w:eastAsia="Times New Roman" w:hAnsi="Times New Roman"/>
          <w:sz w:val="22"/>
          <w:szCs w:val="22"/>
          <w:color w:val="auto"/>
        </w:rPr>
      </w:pPr>
    </w:p>
    <w:p>
      <w:pPr>
        <w:spacing w:after="0" w:line="26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2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Notice shall set forth all information, representations and agreements required under Section 13(a)(i) above, including the information required with respect to any nominee for election as a director, any stockholder giving notice of an intent to nominate a candidate for election, and any stockholder, beneficial owner or other person on whose behalf the nomination is made under this Section 14. In addition, such Stockholder Notice shall include:</w:t>
      </w:r>
    </w:p>
    <w:p>
      <w:pPr>
        <w:spacing w:after="0" w:line="176" w:lineRule="exact"/>
        <w:rPr>
          <w:rFonts w:ascii="Times New Roman" w:cs="Times New Roman" w:eastAsia="Times New Roman" w:hAnsi="Times New Roman"/>
          <w:sz w:val="22"/>
          <w:szCs w:val="22"/>
          <w:color w:val="auto"/>
        </w:rPr>
      </w:pPr>
    </w:p>
    <w:p>
      <w:pPr>
        <w:ind w:left="3200" w:hanging="600"/>
        <w:spacing w:after="0"/>
        <w:tabs>
          <w:tab w:leader="none" w:pos="320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concurrently is filed with the SEC under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1934 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98" w:lineRule="exact"/>
        <w:rPr>
          <w:sz w:val="20"/>
          <w:szCs w:val="20"/>
          <w:color w:val="auto"/>
        </w:rPr>
      </w:pPr>
    </w:p>
    <w:p>
      <w:pPr>
        <w:jc w:val="both"/>
        <w:ind w:firstLine="2600"/>
        <w:spacing w:after="0" w:line="251" w:lineRule="auto"/>
        <w:tabs>
          <w:tab w:leader="none" w:pos="324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(i) setting forth and certifying to the number of shares of capital stock of the corporation that are entitled to vote generally in the election of directors the Eligible Stockholder Owns and has Owned (as defined in Article I, Section 14(b)(iii)) continuously for at least three years as of the date of the Stockholder Notice, and (ii) agreeing to continue to Own such shares through the annual meeting;</w:t>
      </w:r>
    </w:p>
    <w:p>
      <w:pPr>
        <w:spacing w:after="0" w:line="181"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31"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w:t>
      </w:r>
    </w:p>
    <w:p>
      <w:pPr>
        <w:spacing w:after="0" w:line="167" w:lineRule="exact"/>
        <w:rPr>
          <w:rFonts w:ascii="Times New Roman" w:cs="Times New Roman" w:eastAsia="Times New Roman" w:hAnsi="Times New Roman"/>
          <w:sz w:val="22"/>
          <w:szCs w:val="22"/>
          <w:color w:val="010000"/>
        </w:rPr>
      </w:pPr>
    </w:p>
    <w:p>
      <w:pPr>
        <w:jc w:val="both"/>
        <w:ind w:firstLine="3248"/>
        <w:spacing w:after="0" w:line="249" w:lineRule="auto"/>
        <w:tabs>
          <w:tab w:leader="none" w:pos="3883"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shall provide: (a)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14, (b) within five business days after the record date for determining stockholders entitled to vote at the annual meeting both the information required under clauses (b)(ii)(C)(2) and (b)(ii)(D)(1)-(3) of Section 13 above and notification in writing verifying the Eligible Stockholder’s continuous Ownership of the Required Shares, in each case, as of such date, and (c) immediate notice to the corporation if the Eligible Stockholder ceases to own any of the Required Shares prior to the annual meeting;</w:t>
      </w:r>
    </w:p>
    <w:p>
      <w:pPr>
        <w:spacing w:after="0" w:line="200" w:lineRule="exact"/>
        <w:rPr>
          <w:rFonts w:ascii="Times New Roman" w:cs="Times New Roman" w:eastAsia="Times New Roman" w:hAnsi="Times New Roman"/>
          <w:sz w:val="22"/>
          <w:szCs w:val="22"/>
          <w:color w:val="010000"/>
        </w:rPr>
      </w:pPr>
    </w:p>
    <w:p>
      <w:pPr>
        <w:spacing w:after="0" w:line="224" w:lineRule="exact"/>
        <w:rPr>
          <w:rFonts w:ascii="Times New Roman" w:cs="Times New Roman" w:eastAsia="Times New Roman" w:hAnsi="Times New Roman"/>
          <w:sz w:val="22"/>
          <w:szCs w:val="22"/>
          <w:color w:val="010000"/>
        </w:rPr>
      </w:pPr>
    </w:p>
    <w:p>
      <w:pPr>
        <w:jc w:val="both"/>
        <w:ind w:firstLine="3248"/>
        <w:spacing w:after="0" w:line="250" w:lineRule="auto"/>
        <w:tabs>
          <w:tab w:leader="none" w:pos="370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 acquired the Required Shares in the ordinary course of business and not with the intent to change or influence control at the corporation, and does not presently have this intent, (b) has not nominated and shall not nominate for election to the Board of Directors at the annual meeting any person other than the Stockholder Nominee(s) being nominated pursuant to this Section 14, (c) has not engaged and shall not engage in, and has not been and shall not be a participant (as defined in Item 4 of 1934 Act Schedule 14A) in, a solicitation within the meaning of 1934 Act Rule 14a-1(l), in support of the election of any individual as a director at the annual meeting other than its Stockholder Nominee(s) or any nominee(s) of the Board of Directors, and (d) shall not distribute to any stockholder any form of proxy for the annual meeting other than the form distributed by the corporation; and</w:t>
      </w:r>
    </w:p>
    <w:p>
      <w:pPr>
        <w:spacing w:after="0" w:line="186" w:lineRule="exact"/>
        <w:rPr>
          <w:rFonts w:ascii="Times New Roman" w:cs="Times New Roman" w:eastAsia="Times New Roman" w:hAnsi="Times New Roman"/>
          <w:sz w:val="22"/>
          <w:szCs w:val="22"/>
          <w:color w:val="auto"/>
        </w:rPr>
      </w:pPr>
    </w:p>
    <w:p>
      <w:pPr>
        <w:jc w:val="both"/>
        <w:ind w:firstLine="3248"/>
        <w:spacing w:after="0" w:line="249" w:lineRule="auto"/>
        <w:tabs>
          <w:tab w:leader="none" w:pos="373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nomination or solicitation process pursuant to this Section 14, (c) comply with all laws, rules, regulations and listing standards applicable to its nomination or any solicitation in connection with the annual meeting, (d) file with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SEC any solicitation or other communication by or on behalf of the Eligible Stockholder relating to the corporation’s annual meeting of stockholders, one or more of the corporation’s directors or director nominees or any Stockholder Nominee, regardless of whether the filing is required under the 1934 Act Regulation 14A, or whether any exemption from filing is available for the materials under the 1934 Act Regulation 14A, and (e) at the request of the corporation, promptly, but in any event within five business days after such request (or by the day prior to the day of the annual meeting, if earlier), provide to the corporation such additional information as the corporation may reasonably request; and</w:t>
      </w:r>
    </w:p>
    <w:p>
      <w:pPr>
        <w:spacing w:after="0" w:line="181" w:lineRule="exact"/>
        <w:rPr>
          <w:sz w:val="20"/>
          <w:szCs w:val="20"/>
          <w:color w:val="auto"/>
        </w:rPr>
      </w:pPr>
    </w:p>
    <w:p>
      <w:pPr>
        <w:jc w:val="both"/>
        <w:ind w:firstLine="2600"/>
        <w:spacing w:after="0" w:line="250" w:lineRule="auto"/>
        <w:tabs>
          <w:tab w:leader="none" w:pos="3229"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corporation demonstrating that the number of stockholders and/or beneficial owners within such group does not exceed twenty, including whether a group of funds qualifies as one stockholder or beneficial owner within the meaning of Article I, Section 14(b)(ii).</w:t>
      </w:r>
    </w:p>
    <w:p>
      <w:pPr>
        <w:spacing w:after="0" w:line="180" w:lineRule="exact"/>
        <w:rPr>
          <w:rFonts w:ascii="Times New Roman" w:cs="Times New Roman" w:eastAsia="Times New Roman" w:hAnsi="Times New Roman"/>
          <w:sz w:val="22"/>
          <w:szCs w:val="22"/>
          <w:color w:val="010000"/>
        </w:rPr>
      </w:pPr>
    </w:p>
    <w:p>
      <w:pPr>
        <w:jc w:val="both"/>
        <w:ind w:firstLine="1304"/>
        <w:spacing w:after="0" w:line="248" w:lineRule="auto"/>
        <w:tabs>
          <w:tab w:leader="none" w:pos="191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under this Section 14, the Stockholder Notice must be delivered by a stockholder to the secretary of the corporation at the principal executive offices of the corporation not later than the close of business (as defined in Section 13(c) above) on the one hundred twentieth day nor earlier than the close of business on the one hundred fiftieth day prior to the first anniversary of the date (as stated in the corporation’s proxy materials) the definitive proxy statement was first released to stockholders in connection with the preceding year’s annual meeting of stockholders; provided, however, that in the event that the date of the annual meeting is more than thirty days before or after the anniversary of the previous year’s annual meeting, or if no annual meeting was held in the preceding year, to be timely, the Stockholder Notice must be so delivered not earlier than the close of business on the one hundred fiftieth day prior to such annual meeting and not later than the close of business on the later of the one hundred twentieth day prior to such annual meeting or the tenth day following the day on which public announcement (as defined in Section 13(c) above)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the Stockholder Notice as described above.</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54"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 Notice shall include, for each Stockholder Nominee, all written and signed representations and agreements required pursuant to Section 13(a)(i)(A) above. In addition to the information required in a Stockholder Notice, the Questionnaires described in Section 13(a)(i)(B) above shall be provided to the secretary of the corporation within the time period for delivery of a Stockholder Notice. At the request of the corporation, a Stockholder Nominee shall promptly, but in any event within five business days after such request (or by the day prior to the day of the annual meeting, if earlier), provide to the corporation such additional information as the corporation may reasonably request. The corporation may request such additional information as necessary to permit the corporation to determine if a Stockholder Nominee satisfies the requirements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of this Section 14, including information relevant to a determination whether the Stockholder Nominee can be considered an independent director.</w:t>
      </w:r>
    </w:p>
    <w:p>
      <w:pPr>
        <w:spacing w:after="0" w:line="158" w:lineRule="exact"/>
        <w:rPr>
          <w:sz w:val="20"/>
          <w:szCs w:val="20"/>
          <w:color w:val="auto"/>
        </w:rPr>
      </w:pPr>
    </w:p>
    <w:p>
      <w:pPr>
        <w:jc w:val="both"/>
        <w:ind w:firstLine="1304"/>
        <w:spacing w:after="0" w:line="266" w:lineRule="auto"/>
        <w:tabs>
          <w:tab w:leader="none" w:pos="212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corporation’s right to omit a Stockholder Nominee from its proxy materials as provided in this Section 14.</w:t>
      </w:r>
    </w:p>
    <w:p>
      <w:pPr>
        <w:spacing w:after="0" w:line="192" w:lineRule="exact"/>
        <w:rPr>
          <w:rFonts w:ascii="Times New Roman" w:cs="Times New Roman" w:eastAsia="Times New Roman" w:hAnsi="Times New Roman"/>
          <w:sz w:val="21"/>
          <w:szCs w:val="21"/>
          <w:color w:val="auto"/>
        </w:rPr>
      </w:pPr>
    </w:p>
    <w:p>
      <w:pPr>
        <w:ind w:right="340" w:firstLine="1304"/>
        <w:spacing w:after="0" w:line="271" w:lineRule="auto"/>
        <w:tabs>
          <w:tab w:leader="none" w:pos="17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All information provided pursuant to this Section 14(c) shall be deemed part of the Stockholder Notice for purposes of this Section 14.</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Proxy Access Procedures.</w:t>
      </w:r>
    </w:p>
    <w:p>
      <w:pPr>
        <w:spacing w:after="0" w:line="250" w:lineRule="exact"/>
        <w:rPr>
          <w:rFonts w:ascii="Times New Roman" w:cs="Times New Roman" w:eastAsia="Times New Roman" w:hAnsi="Times New Roman"/>
          <w:sz w:val="22"/>
          <w:szCs w:val="22"/>
          <w:color w:val="auto"/>
        </w:rPr>
      </w:pPr>
    </w:p>
    <w:p>
      <w:pPr>
        <w:ind w:right="160" w:firstLine="1304"/>
        <w:spacing w:after="0" w:line="263" w:lineRule="auto"/>
        <w:tabs>
          <w:tab w:leader="none" w:pos="193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14, the corporation may omit from its proxy materials any Stockholder Nominee, and such nomination shall be disregarded and no vote on such Stockholder Nominee shall occur, notwithstanding that proxies in respect of such vote may have been received by the corporation, if:</w:t>
      </w:r>
    </w:p>
    <w:p>
      <w:pPr>
        <w:spacing w:after="0" w:line="167"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29"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Eligible Stockholder or Stockholder Nominee breaches any of its agreements, representations or warranties set forth in the Stockholder Notice or otherwise submitted pursuant to this Section 14, any of the information in the Stockholder Notice or otherwise submitted pursuant to this Section 14 was not, when provided, true, correct and complete, or the Eligible Stockholder or applicable Stockholder Nominee otherwise fails to comply with its obligations pursuant to these by-laws, including, but not limited to, its obligations under this Section 14;</w:t>
      </w:r>
    </w:p>
    <w:p>
      <w:pPr>
        <w:spacing w:after="0" w:line="178" w:lineRule="exact"/>
        <w:rPr>
          <w:rFonts w:ascii="Times New Roman" w:cs="Times New Roman" w:eastAsia="Times New Roman" w:hAnsi="Times New Roman"/>
          <w:sz w:val="22"/>
          <w:szCs w:val="22"/>
          <w:color w:val="010000"/>
        </w:rPr>
      </w:pPr>
    </w:p>
    <w:p>
      <w:pPr>
        <w:jc w:val="both"/>
        <w:ind w:firstLine="2600"/>
        <w:spacing w:after="0" w:line="263" w:lineRule="auto"/>
        <w:tabs>
          <w:tab w:leader="none" w:pos="3231" w:val="left"/>
        </w:tabs>
        <w:numPr>
          <w:ilvl w:val="2"/>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Stockholder Nominee: (i) is not independent under any applicable listing standards, any applicable rules of the Securities and Exchange Commission and any publicly disclosed standards used by the Board of Directors in determining and disclosing the independence of the corporation’s directors, (ii) is or has been, within the past three years, an officer or director of a competitor, as defined for the purposes of Section 8 of the Clayton Antitrust Act of 1914, as amended, (iii) is a named subject of a pending criminal proceeding (excluding traffic violations and other minor offenses) or has been convicted in a criminal proceeding (excluding traffic violations and other minor offenses) within the past ten years, or (iv) is subject to any order of the type specified in Rule 506(d) of Regulation D promulgated under the Securities Act of 1933, as amended;</w:t>
      </w:r>
    </w:p>
    <w:p>
      <w:pPr>
        <w:spacing w:after="0" w:line="172" w:lineRule="exact"/>
        <w:rPr>
          <w:rFonts w:ascii="Times New Roman" w:cs="Times New Roman" w:eastAsia="Times New Roman" w:hAnsi="Times New Roman"/>
          <w:sz w:val="21"/>
          <w:szCs w:val="21"/>
          <w:color w:val="010000"/>
        </w:rPr>
      </w:pPr>
    </w:p>
    <w:p>
      <w:pPr>
        <w:jc w:val="both"/>
        <w:ind w:firstLine="2600"/>
        <w:spacing w:after="0" w:line="257" w:lineRule="auto"/>
        <w:tabs>
          <w:tab w:leader="none" w:pos="3231"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 has received a notice (whether or not subsequently withdrawn) that a stockholder intends to nominate any candidate for election to the Board of Directors pursuant to the advance notice requirements for stockholder nominees for director in Section 13(a) above; 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8" w:lineRule="exact"/>
        <w:rPr>
          <w:sz w:val="20"/>
          <w:szCs w:val="20"/>
          <w:color w:val="auto"/>
        </w:rPr>
      </w:pPr>
    </w:p>
    <w:p>
      <w:pPr>
        <w:ind w:firstLine="2600"/>
        <w:spacing w:after="0" w:line="271" w:lineRule="auto"/>
        <w:tabs>
          <w:tab w:leader="none" w:pos="3229"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election of the Stockholder Nominee to the Board of Directors would cause the corporation to violate the certificate of incorporation, these by-laws, or any applicable law, rule, regulation or listing standard.</w:t>
      </w:r>
    </w:p>
    <w:p>
      <w:pPr>
        <w:spacing w:after="0" w:line="157" w:lineRule="exact"/>
        <w:rPr>
          <w:rFonts w:ascii="Times New Roman" w:cs="Times New Roman" w:eastAsia="Times New Roman" w:hAnsi="Times New Roman"/>
          <w:sz w:val="22"/>
          <w:szCs w:val="22"/>
          <w:color w:val="010000"/>
        </w:rPr>
      </w:pPr>
    </w:p>
    <w:p>
      <w:pPr>
        <w:jc w:val="both"/>
        <w:ind w:firstLine="1304"/>
        <w:spacing w:after="0" w:line="247" w:lineRule="auto"/>
        <w:tabs>
          <w:tab w:leader="none" w:pos="182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Stockholder submitting more than one Stockholder Nominee for inclusion in the corporation’s proxy materials pursuant to this Section 14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14 exceeds the Authorized Number, the Stockholder Nominees to be included in the corporation’s proxy materials shall be determined in accordance with the following provisions: one Stockholder Nominee who satisfies the eligibility requirements in this Section 14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the rank (highest to lowest) assigned to each Stockholder Nominee by such Eligible Stockholder. If the Authorized Number is not reached after one Stockholder Nominee who satisfies the eligibility requirements in this Section 14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14 thereafter is nominated by the Board of Directors, thereafter is not included in the corporation’s proxy materials or thereafter is not submitted for director election for any reason (including the Eligible Stockholder’s or Stockholder Nominee’s failure to comply with this Section 14), no other nominee or nominees shall be included in the corporation’s proxy materials or otherwise submitted for election as a director at the applicable annual meeting in substitution for such Stockholder Nominee.</w:t>
      </w:r>
    </w:p>
    <w:p>
      <w:pPr>
        <w:spacing w:after="0" w:line="20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Stockholder Nominee who is included in the corporation’s proxy materials for a particular annual meeting of stockholders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that is at least equal to 25% of the shares present in person or represented by proxy and entitled to vote in the election of directors, shall be ineligible to be a Stockholder Nominee pursuant to this Section 14 for the next two annual meetings.</w:t>
      </w:r>
    </w:p>
    <w:p>
      <w:pPr>
        <w:spacing w:after="0" w:line="180"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5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14, unless otherwise required by law or otherwise determined by the chairperson of the meeting or the Board of Directors, if the stockholder delivering the Stockholder Notice (or a Qualified Representative of the stockholder, as defined in Section 13(c) above)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Without limiting the Board of Directors’ power and authority to interpret any other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provisions of these by-laws, the Board of Directors (and any other person or body authorized by the Board of Directors) shall have the power and authority to interpret this Section 14 and to make any and all determinations necessary or advisable to apply this Section 14 to any persons, facts or circumstances, in each case acting in good faith. This Section 14 shall be the exclusive method for stockholders to include nominees for director election in the corporation’s proxy materials.</w:t>
      </w:r>
    </w:p>
    <w:p>
      <w:pPr>
        <w:spacing w:after="0" w:line="200" w:lineRule="exact"/>
        <w:rPr>
          <w:sz w:val="20"/>
          <w:szCs w:val="20"/>
          <w:color w:val="auto"/>
        </w:rPr>
      </w:pPr>
    </w:p>
    <w:p>
      <w:pPr>
        <w:spacing w:after="0" w:line="219" w:lineRule="exact"/>
        <w:rPr>
          <w:sz w:val="20"/>
          <w:szCs w:val="20"/>
          <w:color w:val="auto"/>
        </w:rPr>
      </w:pPr>
    </w:p>
    <w:p>
      <w:pPr>
        <w:jc w:val="both"/>
        <w:ind w:firstLine="216"/>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to the Corporation</w:t>
      </w:r>
      <w:r>
        <w:rPr>
          <w:rFonts w:ascii="Times New Roman" w:cs="Times New Roman" w:eastAsia="Times New Roman" w:hAnsi="Times New Roman"/>
          <w:sz w:val="22"/>
          <w:szCs w:val="22"/>
          <w:color w:val="auto"/>
        </w:rPr>
        <w:t>. Whenever this Article requires one or more persons (including a record or beneficial owner of stock) to deliver a 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BOARD OF DIRECTORS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or under the direction of the Board of Directors, except as otherwise required by the DGCL or as provided in the certificate of incorporation (including any certificate of designations relating to any series of preferred stock).</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number of directors which shall constitute the Board of Directors shall be not less than nine (9) nor more than thirteen (13), as set from time to time by resolution of the Board of Directors or the stockholders, except as otherwise provided for or fixed pursuant to the certificate of incorporation (including any certificate of designations relating to any series of preferred stock).</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 of Directors and Term of Office</w:t>
      </w:r>
      <w:r>
        <w:rPr>
          <w:rFonts w:ascii="Times New Roman" w:cs="Times New Roman" w:eastAsia="Times New Roman" w:hAnsi="Times New Roman"/>
          <w:sz w:val="22"/>
          <w:szCs w:val="22"/>
          <w:color w:val="auto"/>
        </w:rPr>
        <w:t xml:space="preserve">. Except as provided in Section 5 of this Article III, each nominee for election as a director shall be elected by the vote of a majority of the votes cast with respect to the director nominee at any meeting for the election of directors at which a quorum is present,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at a contested election meeting, director nominees shall be elected by a plurality of the votes cast by the holders of the shares present in person or represented by proxy at the meeting and entitled to vote on the election of directors. For purposes of this section, a majority of the votes cast means that the number of shares voted “for” a director nominee must exceed the number of votes cast “against” that director nominee. For purposes of this section, a “contested election meeting” is any meeting of stockholders for which (a) the secretary of the corporation receives a notice that a stockholder has nominated a person for election to the Board of Directors in compliance with the advance notice requirements for stockholder nominees for director set forth in Section 13 of Article II herein, and (b) such nomination has not been withdrawn by such stockholder on or prior to the tenth day preceding the date the corporation first gives notice of such meeting to the stockholders, as required by Section 4 of Article II herein. At each annual meeting of the stockholders, the stockholders shall elect the successors of the directors whose terms expire at such meeting, to hold office until their successors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72" w:lineRule="auto"/>
        <w:rPr>
          <w:sz w:val="20"/>
          <w:szCs w:val="20"/>
          <w:color w:val="auto"/>
        </w:rPr>
      </w:pPr>
      <w:r>
        <w:rPr>
          <w:rFonts w:ascii="Times New Roman" w:cs="Times New Roman" w:eastAsia="Times New Roman" w:hAnsi="Times New Roman"/>
          <w:sz w:val="21"/>
          <w:szCs w:val="21"/>
          <w:color w:val="auto"/>
        </w:rPr>
        <w:t>are duly elected and qualified at the next annual meeting of stockholders or until their earlier death, resignation, retirement, disqualification or removal as herein or in the certificate of incorporation provided (including any certificate of designations relating to any series of preferred stock). The directors shall be elected in this manner, except as provided in Section 5 of this Article III and the certificate of incorporation (including any certificate of designations relating to any series of preferred stock).</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Removal and Resignation</w:t>
      </w:r>
      <w:r>
        <w:rPr>
          <w:rFonts w:ascii="Times New Roman" w:cs="Times New Roman" w:eastAsia="Times New Roman" w:hAnsi="Times New Roman"/>
          <w:sz w:val="21"/>
          <w:szCs w:val="21"/>
          <w:color w:val="auto"/>
        </w:rPr>
        <w:t>. Any director or the entire Board of Directors may be removed at any time, with or without cause, by the holders of a majority of the shares then entitled to vote at an election of directors. Whenever the holders of any class or series are entitled to elect one or more directors by the provisions of the corporation’s certificate of incorporation (including any certificate of designations relating to any series of preferred stock), the provisions of this section shall apply, in respect to the removal without cause of a director or directors so elected, to the vote of the holders of the outstanding shares of that class or series and not to the vote of the outstanding shares as a whole. Any director may resign at any time upon notice in writing or by electronic transmission to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Newly Created Directorships and Vacancies</w:t>
      </w:r>
      <w:r>
        <w:rPr>
          <w:rFonts w:ascii="Times New Roman" w:cs="Times New Roman" w:eastAsia="Times New Roman" w:hAnsi="Times New Roman"/>
          <w:sz w:val="22"/>
          <w:szCs w:val="22"/>
          <w:color w:val="auto"/>
        </w:rPr>
        <w:t>. Subject to the rights of the holders of any outstanding series of preferred stock, and unless otherwise required by law, newly created directorships resulting from an increase in the authorized number of directors and vacancies resulting from the death, resignation, retirement, disqualification, removal from office or other cause shall be filled by the vote of the majority of the remaining directors then in office, even though less than a quorum, or by the sole remaining director. Each director so chosen shall hold office until the next election of directors and until a successor is duly elected and qualified or until his or her earlier death, resignation, retirement, disqualification or removal as provided herein. No decrease in the authorized number of directors shall shorten the term of any incumbent director.</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xml:space="preserve">. The annual meeting of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color w:val="auto"/>
        </w:rPr>
        <w:t xml:space="preserve"> Board of Directors shall be held without other notice than this by-law immediately after, and at the same place as, the annual meeting of stockholders, unless otherwise determined by the Board of Directors, or with appropriate notice at another time and place determined by the Board of Directors.</w:t>
      </w:r>
    </w:p>
    <w:p>
      <w:pPr>
        <w:spacing w:after="0" w:line="19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Other Meetings and Notice</w:t>
      </w:r>
      <w:r>
        <w:rPr>
          <w:rFonts w:ascii="Times New Roman" w:cs="Times New Roman" w:eastAsia="Times New Roman" w:hAnsi="Times New Roman"/>
          <w:sz w:val="21"/>
          <w:szCs w:val="21"/>
          <w:color w:val="auto"/>
        </w:rPr>
        <w:t>. Regular meetings, other than the annual meeting, of the Board of Directors may be held without notice at such date and time and at such place as shall from time to time be determined by resolution of the Board. Special meetings of the Board of Directors may be called by or at the request of the Chairman of the Board, the chief executive officer, the Lead Independent Director, if any, or a majority of the directors then in office on at least 48 hours’ notice to each director, either personally, by telephone, by mail, or by electronic mail or other form of electronic transmission. The person or persons authorized to call special meetings of the Board of Directors may fix the date, time and place of such meetings.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Quorum, Required Vote and Adjournment</w:t>
      </w:r>
      <w:r>
        <w:rPr>
          <w:rFonts w:ascii="Times New Roman" w:cs="Times New Roman" w:eastAsia="Times New Roman" w:hAnsi="Times New Roman"/>
          <w:sz w:val="22"/>
          <w:szCs w:val="22"/>
          <w:color w:val="auto"/>
        </w:rPr>
        <w:t>. A majority of the total number of directors then authorized shall constitute a quorum for the transaction of business. The vote of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75" w:lineRule="auto"/>
        <w:rPr>
          <w:sz w:val="20"/>
          <w:szCs w:val="20"/>
          <w:color w:val="auto"/>
        </w:rPr>
      </w:pPr>
      <w:r>
        <w:rPr>
          <w:rFonts w:ascii="Times New Roman" w:cs="Times New Roman" w:eastAsia="Times New Roman" w:hAnsi="Times New Roman"/>
          <w:sz w:val="21"/>
          <w:szCs w:val="21"/>
          <w:color w:val="auto"/>
        </w:rPr>
        <w:t>majority of directors present at a meeting at which a quorum is present shall be the act of the Board of Directors. If a quorum shall not be present at any meeting of the Board of Directors, the chairperson of the meeting or the directors present thereat may adjourn the meeting from time to time, without notice other than announcement at the meeting, until a quorum shall be present.</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The Board of Directors may designate one or more committees, each committee to consist of one or more of the directors of the corporation, which to the extent provided in the resolution of the Board of Directors establishing the committee or these by-laws shall have and may exercise the powers of the Board of Directors in the management and affairs of the corporation except as otherwise limited 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 The corporation has elected to be governed by Section 141(c)(2) of the DGCL.</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Committee Rules</w:t>
      </w:r>
      <w:r>
        <w:rPr>
          <w:rFonts w:ascii="Times New Roman" w:cs="Times New Roman" w:eastAsia="Times New Roman" w:hAnsi="Times New Roman"/>
          <w:sz w:val="21"/>
          <w:szCs w:val="21"/>
          <w:color w:val="auto"/>
        </w:rPr>
        <w:t>. Each committee of the Board of Directors may fix its own rules of procedure and shall hold its meetings as provided by such rules, except as may otherwise be provided by a resolution of the Board of Directors. Unless otherwise required by law, the certificate of incorporation or these by-laws, and except as otherwise provided in a resolution of the Board of Directors, the presence of at least a majority of the members of the committee shall be necessary to constitute a quorum; provided that in no case shall a quorum be less than one 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 In the event that a member and that member’s alternate, if alternates are designated by the Board of Directors as provided in Section 9 of this Article III,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Communications Equipment</w:t>
      </w:r>
      <w:r>
        <w:rPr>
          <w:rFonts w:ascii="Times New Roman" w:cs="Times New Roman" w:eastAsia="Times New Roman" w:hAnsi="Times New Roman"/>
          <w:sz w:val="22"/>
          <w:szCs w:val="22"/>
          <w:color w:val="auto"/>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11 shall constitute presence in person at the meeting.</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Emergency By-laws</w:t>
      </w:r>
      <w:r>
        <w:rPr>
          <w:rFonts w:ascii="Times New Roman" w:cs="Times New Roman" w:eastAsia="Times New Roman" w:hAnsi="Times New Roman"/>
          <w:sz w:val="22"/>
          <w:szCs w:val="22"/>
          <w:color w:val="auto"/>
        </w:rPr>
        <w:t>. In the event of any emergency, disaster or catastrophe, as referred to in Section 110 of the DGCL, or other similar emergency condition, as a result of which a quorum of the Board of Directors or a standing committee of the Board of Directors cannot readily be convened for action, then the director or directors in attendance at the meeting shall constitute a quorum.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Unless otherwise restricted by the certificate of incorporation, any action required or permitted to be taken at any meeting of the Board of Directors, or of any committee thereof, may be taken without a meeting if all members of the Board or committee, as the case may be, consent thereto in writing or by electronic transmission.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or committee in the same paper or electronic form as the minutes are maintained.</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14. Chairman of the Board</w:t>
      </w:r>
      <w:r>
        <w:rPr>
          <w:rFonts w:ascii="Times New Roman" w:cs="Times New Roman" w:eastAsia="Times New Roman" w:hAnsi="Times New Roman"/>
          <w:sz w:val="22"/>
          <w:szCs w:val="22"/>
          <w:color w:val="auto"/>
        </w:rPr>
        <w:t>. The Board of Directors may elect from among its members a Chairman of the Board. The Chairman of the Board shall preside at all meetings of the stockholders (unless otherwise determined by the Board of Directors) in accordance with Section 11(a) above and at meetings of directors. If the Chairman of the Board is not present at a meeting of the Board of Directors, another director chosen or designated by the Board of Directors shall preside.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officers of the corporation shall be elected by the Board of Directors and shall consist of a chief executive officer, one or more vice-presidents, a secretary, a treasurer,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 except that the offices of chief executive officer and secretary shall be filled as expeditiously as possible.</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 The officers of the corporation shall be elected annually by the Board of Directors. Vacancies may be filled or new offices created and filled at any meeting of the Board of Directors. Each officer shall hold office until a successor is duly elected and qualified or until his or her earlier death, resignation, retirement, removal, disqualification or otherwise, as hereinafter provided.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Removal and Resignation</w:t>
      </w:r>
      <w:r>
        <w:rPr>
          <w:rFonts w:ascii="Times New Roman" w:cs="Times New Roman" w:eastAsia="Times New Roman" w:hAnsi="Times New Roman"/>
          <w:sz w:val="22"/>
          <w:szCs w:val="22"/>
          <w:color w:val="auto"/>
        </w:rPr>
        <w:t>. Any officer or agent elected by the Board of Directors may be removed by the Board of Directors or by a duly authorized officer whenever in its judgment the best interests of the corporation would be served thereby, but such removal shall be without prejudice to the contract rights, if any, of the person so removed. Any officer may resign at any time upon notice given in writing or by electronic transmission to the corporation, but such resignation shall be without prejudice to the contracts, rights, if any, of the corporation under any contract to which such officer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66" w:name="page67"/>
    <w:bookmarkEnd w:id="66"/>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Any vacancy occurring in any office because of death, resignation, retirement, removal, disqualification or otherwise, may be filled by the Board of Directors or by a duly authorized officer.</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Compensation of all officers shall be fixed by the Board of Directors, or by a duly authorized officer, and no officer shall be prevented from receiving such compensation by virtue of his or her also being a director of the corporation.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Chief Executive Officer</w:t>
      </w:r>
      <w:r>
        <w:rPr>
          <w:rFonts w:ascii="Times New Roman" w:cs="Times New Roman" w:eastAsia="Times New Roman" w:hAnsi="Times New Roman"/>
          <w:sz w:val="22"/>
          <w:szCs w:val="22"/>
          <w:color w:val="auto"/>
        </w:rPr>
        <w:t>. The chief executive officer shall be the chief executive officer of the corporation; shall have general charge of the business, affairs and property of the corporation, and control over its officers, agents and employees; and shall see that all orders and resolutions of the Board of Directors are carried into effect.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shall have such other powers and perform such other duties as may be prescribed by the Board of Directors or as may be provided in these by-laws.</w:t>
      </w:r>
    </w:p>
    <w:p>
      <w:pPr>
        <w:spacing w:after="0" w:line="2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Vice-presidents</w:t>
      </w:r>
      <w:r>
        <w:rPr>
          <w:rFonts w:ascii="Times New Roman" w:cs="Times New Roman" w:eastAsia="Times New Roman" w:hAnsi="Times New Roman"/>
          <w:sz w:val="22"/>
          <w:szCs w:val="22"/>
          <w:color w:val="auto"/>
        </w:rPr>
        <w:t>. Each vice-president shall have such powers and duties as shall be prescribed by his or her superior officer or the chief executive officer. The vice-presidents shall also perform such other duties and have such other powers as the Board of Directors, the chief executive officer or these by-laws may, from time to time, prescribe.</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Secretary and Assistant Secretaries</w:t>
      </w:r>
      <w:r>
        <w:rPr>
          <w:rFonts w:ascii="Times New Roman" w:cs="Times New Roman" w:eastAsia="Times New Roman" w:hAnsi="Times New Roman"/>
          <w:sz w:val="22"/>
          <w:szCs w:val="22"/>
          <w:color w:val="auto"/>
        </w:rPr>
        <w:t>. The secretary shall attend all meetings of the Board of Directors, all meetings of the committees thereof and all meetings of the stockholders and record all the proceedings of the meetings in a book or books to be kept for that purpose. Under the chief executive officer’s supervision, the secretary shall give, or cause to be given, all notices required to be given by these by-laws or by law; shall have such powers and perform such duties as the Board of Directors, the chief executive officer or these by-laws may, from time to time, prescribe; and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or the secretary, shall, in the absence or disability of the secretary, perform the duties and exercise the powers of the secretary and shall perform such other duties and have such other powers as the Board of Directors, the chief executive officer or the secretary may, from time to time, prescribe.</w:t>
      </w:r>
    </w:p>
    <w:p>
      <w:pPr>
        <w:spacing w:after="0" w:line="2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Treasurer and Assistant Treasurer</w:t>
      </w:r>
      <w:r>
        <w:rPr>
          <w:rFonts w:ascii="Times New Roman" w:cs="Times New Roman" w:eastAsia="Times New Roman" w:hAnsi="Times New Roman"/>
          <w:sz w:val="22"/>
          <w:szCs w:val="22"/>
          <w:color w:val="auto"/>
        </w:rPr>
        <w:t>. The treasurer shall have the custody of the corporate funds and securities; shall keep, or cause to be kept, full and accurate accounts of receipts and disbursements in books belonging to the corporation; shall deposit, or cause to be deposited, all monies and other valuable effects in the name and to the credit of the corporation as may be ordered by the Board of Directors; shall cause the funds of the corporation to be disbursed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48" w:lineRule="auto"/>
        <w:rPr>
          <w:sz w:val="20"/>
          <w:szCs w:val="20"/>
          <w:color w:val="auto"/>
        </w:rPr>
      </w:pPr>
      <w:r>
        <w:rPr>
          <w:rFonts w:ascii="Times New Roman" w:cs="Times New Roman" w:eastAsia="Times New Roman" w:hAnsi="Times New Roman"/>
          <w:sz w:val="22"/>
          <w:szCs w:val="22"/>
          <w:color w:val="auto"/>
        </w:rPr>
        <w:t>when such disbursements have been duly authorized, taking proper vouchers for such disbursements; and shall render to the chief executive officer and the Board of Directors, at its regular meeting or when the Board of Directors so requires, an account of the corporation; shall have such powers and perform such duties as the Board of Directors, the chief executive officer or these by-laws may, from time to time, prescribe. If required by the Board of Directors, the treasurer shall give the corporation a bond (which shall be rendered every six years) in such sums and with such surety or sureties as shall be satisfactory to the Board of Directors for the faithful performance of the duties of the office of treasurer and for the restoration to the corporation, in case of death, resignation, retirement, disqualification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or the treasurer, shall in the absence or disability of the treasurer perform the duties and exercise the powers of the treasurer. The assistant treasurers shall perform such other duties and have such other powers as the Board of Directors, the chief executive officer or the treasurer may, from time to time, prescribe.</w:t>
      </w:r>
    </w:p>
    <w:p>
      <w:pPr>
        <w:spacing w:after="0" w:line="21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Officers, Assistant Officers and Agents</w:t>
      </w:r>
      <w:r>
        <w:rPr>
          <w:rFonts w:ascii="Times New Roman" w:cs="Times New Roman" w:eastAsia="Times New Roman" w:hAnsi="Times New Roman"/>
          <w:sz w:val="22"/>
          <w:szCs w:val="22"/>
          <w:color w:val="auto"/>
        </w:rPr>
        <w:t>. Officers, assistant officers and agents, if any, other than those whose duties are provided for in these by-laws, shall have such authority and perform such duties as may from time to time be prescribed by resolution of the Board of Directors or by a duly authorized officer.</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Delegation</w:t>
      </w:r>
      <w:r>
        <w:rPr>
          <w:rFonts w:ascii="Times New Roman" w:cs="Times New Roman" w:eastAsia="Times New Roman" w:hAnsi="Times New Roman"/>
          <w:sz w:val="22"/>
          <w:szCs w:val="22"/>
          <w:color w:val="auto"/>
        </w:rPr>
        <w:t>. The Board of Directors may from time to time delegate the powers and duties of any officer, assistant officer or agent to any other officer, assistant officer or agent or to any director, or to any other person whom it may select, notwithstanding the foregoing provisions of this Article.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APPOINTED OFFICERS</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Appointment of Officers</w:t>
      </w:r>
      <w:r>
        <w:rPr>
          <w:rFonts w:ascii="Times New Roman" w:cs="Times New Roman" w:eastAsia="Times New Roman" w:hAnsi="Times New Roman"/>
          <w:sz w:val="22"/>
          <w:szCs w:val="22"/>
          <w:color w:val="auto"/>
        </w:rPr>
        <w:t>. The Board of Directors may authorize the chief executive officer to appoint such other vice presidents and other officers as the business of the corporation may require, each of whom shall hold office for such period, have such authority and perform such duties as are provided in the by-laws or as the Board of Directors may from time to time determine (or, in the absence of such determination by the Board of Directors, as the chief executive officer from time to time determines).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officer appointed in accordance with the provisions of Section 1 may be removed by the Board of Directors or by the chief executive officer (if appointed by such person) whenever in his or her judgment the best interest of the corporation would be served thereby, provided that such removal shall be without prejudice to the contract rights, if any, of the persons so removed.</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Appointment Officers and Deemed Elected Officers</w:t>
      </w:r>
      <w:r>
        <w:rPr>
          <w:rFonts w:ascii="Times New Roman" w:cs="Times New Roman" w:eastAsia="Times New Roman" w:hAnsi="Times New Roman"/>
          <w:sz w:val="22"/>
          <w:szCs w:val="22"/>
          <w:color w:val="auto"/>
        </w:rPr>
        <w:t>. Officers appointed pursuant to Section 1 hereof shall not be deemed to be elected officers of the corporation, and in particular but without limitation shall not be deemed to be executive officers of the corporation for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the purposes of the 1934 Act, or officers for purposes of Article V herein, unless elected as such by the Board of Directors.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INDEMNIFICATION OF OFFICERS, DIRECTORS AND OTHERS</w:t>
      </w:r>
    </w:p>
    <w:p>
      <w:pPr>
        <w:spacing w:after="0" w:line="23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Nature of Indemnity</w:t>
      </w:r>
      <w:r>
        <w:rPr>
          <w:rFonts w:ascii="Times New Roman" w:cs="Times New Roman" w:eastAsia="Times New Roman" w:hAnsi="Times New Roman"/>
          <w:sz w:val="22"/>
          <w:szCs w:val="22"/>
          <w:color w:val="auto"/>
        </w:rPr>
        <w:t>. Each person who was or is made a party or is threatened to be made a party to or is involved in any action, suit or proceeding, whether civil, criminal, administrative, investigative or otherwise (hereinafter a “proceeding”), by reason of the fact that he or she is or was a director or officer of the corporation or, while a director or officer of the corporation, is or was serving at the request of the corporation as a director, officer, employee, fiduciary or agent of another corporation or of a partnership, joint venture, trust or other enterprise, shall be indemnified and held harmless by the corporation to the fullest extent which it is empowered to do so unless prohibited from doing so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actually and reasonably incurred by such person in connection with such proceeding; provided, however, that, except as provided in Section 2 hereof, the corporation shall indemnify or advance expenses to any such person in connection with a proceeding (or part thereof) initiated by such person only if such proceeding (or part thereof) was authorized by the Board of Directors. Subject to Sections 2 and 5 hereof, the corporation shall also pay the expenses incurred by such directors and officers in defending any such proceeding in advance of its final disposition. For purposes of this Article V, an “officer” means an officer elected by the Board of Directors under Article IV but does not include officers appointed under Article IV-A unless elected by the Board of Directors.</w:t>
      </w:r>
    </w:p>
    <w:p>
      <w:pPr>
        <w:spacing w:after="0" w:line="21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Procedure for Indemnification of Directors and Officers</w:t>
      </w:r>
      <w:r>
        <w:rPr>
          <w:rFonts w:ascii="Times New Roman" w:cs="Times New Roman" w:eastAsia="Times New Roman" w:hAnsi="Times New Roman"/>
          <w:sz w:val="22"/>
          <w:szCs w:val="22"/>
          <w:color w:val="auto"/>
        </w:rPr>
        <w:t>. Any indemnification of a director or officer of the corporation under Section 1 of this Article V or advance of expenses under Section 5 of this Article V shall be made promptly, and in any event within 30 days, upon the written request of the director or officer. If a determination by the corporation that the director or officer is entitled to indemnification pursuant to this Article V is required, and the corporation fails to respond within 60 days to a written request for indemnity, the corporation shall be deemed to have approved the request. If the corporation denies a written request for indemnification or advancing of expenses, in whole or in part, or if payment in full pursuant to such request is not made within 60 days, the right to indemnification or advances as granted by this Article V shall be enforceable by the director or officer in any court of competent jurisdiction in the State of Delaware.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DGCL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2"/>
          <w:szCs w:val="22"/>
          <w:color w:val="auto"/>
        </w:rPr>
        <w:t>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Not Exclusive</w:t>
      </w:r>
      <w:r>
        <w:rPr>
          <w:rFonts w:ascii="Times New Roman" w:cs="Times New Roman" w:eastAsia="Times New Roman" w:hAnsi="Times New Roman"/>
          <w:sz w:val="22"/>
          <w:szCs w:val="22"/>
          <w:color w:val="auto"/>
        </w:rPr>
        <w:t>. The rights to indemnification and the payment of expenses incurred in defending a proceeding in advance of its final disposition conferred in this Article V shall not be exclusive of any other right which any person may have or hereafter acquire under any statute, provision of a certificate of incorporation, by-law, agreement, vote of stockholders or disinterested directors or otherwise.</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its own behalf and on behalf of any person who is or was a director, officer, employee, fiduciary, or agent of the corporation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Article V.</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Expenses incurred by any person described in Section 1 of this Article V in defending a proceeding shall be paid by the corporation in advance of such proceeding’s final disposition unless otherwise determined by the Board of Directors in the specific case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upon receipt of an undertaking by or on behalf of the director or officer to repay such amount if it shall ultimately be determined that he or she is not entitled to be indemnified by the corporation.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Employees and Agents</w:t>
      </w:r>
      <w:r>
        <w:rPr>
          <w:rFonts w:ascii="Times New Roman" w:cs="Times New Roman" w:eastAsia="Times New Roman" w:hAnsi="Times New Roman"/>
          <w:sz w:val="22"/>
          <w:szCs w:val="22"/>
          <w:color w:val="auto"/>
        </w:rPr>
        <w:t>. For persons who are not covered by the foregoing provisions of this Article V and who are or were employees or agents of the corporation, or who, while employees or agents of the corporation, are or were serving at the request of the corporation as employees or agents of another corporation, partnership, joint venture, trust or other enterprise, the corporation may, to the extent and in the manner permitted by law, grant rights to indemnification and to the advancement of expenses, to the extent and on such terms and conditions authorized at any time or from time to time.</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Contract Rights</w:t>
      </w:r>
      <w:r>
        <w:rPr>
          <w:rFonts w:ascii="Times New Roman" w:cs="Times New Roman" w:eastAsia="Times New Roman" w:hAnsi="Times New Roman"/>
          <w:sz w:val="21"/>
          <w:szCs w:val="21"/>
          <w:color w:val="auto"/>
        </w:rPr>
        <w:t>. The provisions of this Article V shall be deemed to be contract rights and such rights shall continue as to any person who has ceased to be a director or officer and shall inure to the benefit of such person’s heirs, executors and administrators. Any repeal or modification of this Article V that adversely affects any rights of such person or its successors shall be prospective only and shall not affect any rights or obligations then existing with respect to any proceeding involving any occurrence or alleged occurrence of any action or omission to act that took place prior to such repeal or modification.</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Merger or Consolidation</w:t>
      </w:r>
      <w:r>
        <w:rPr>
          <w:rFonts w:ascii="Times New Roman" w:cs="Times New Roman" w:eastAsia="Times New Roman" w:hAnsi="Times New Roman"/>
          <w:sz w:val="22"/>
          <w:szCs w:val="22"/>
          <w:color w:val="auto"/>
        </w:rPr>
        <w:t>. For purposes of this Article 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70" w:name="page71"/>
    <w:bookmarkEnd w:id="70"/>
    <w:p>
      <w:pPr>
        <w:jc w:val="both"/>
        <w:spacing w:after="0" w:line="256" w:lineRule="auto"/>
        <w:rPr>
          <w:sz w:val="20"/>
          <w:szCs w:val="20"/>
          <w:color w:val="auto"/>
        </w:rPr>
      </w:pPr>
      <w:r>
        <w:rPr>
          <w:rFonts w:ascii="Times New Roman" w:cs="Times New Roman" w:eastAsia="Times New Roman" w:hAnsi="Times New Roman"/>
          <w:sz w:val="22"/>
          <w:szCs w:val="22"/>
          <w:color w:val="auto"/>
        </w:rPr>
        <w:t>agent of such constituent corporation, or is or was serving at the request of such constituent corporation as a director, officer, employee or agent of another corporation, partnership, joint venture, trust or other enterprise, shall stand in the same position under this Article V with respect to the resulting or surviving corporation as he or she would have with respect to such constituent corporation if its separate existence had 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STOCK AND STOCK CERTIFICATES</w:t>
      </w:r>
    </w:p>
    <w:p>
      <w:pPr>
        <w:spacing w:after="0" w:line="22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Form</w:t>
      </w:r>
      <w:r>
        <w:rPr>
          <w:rFonts w:ascii="Times New Roman" w:cs="Times New Roman" w:eastAsia="Times New Roman" w:hAnsi="Times New Roman"/>
          <w:sz w:val="21"/>
          <w:szCs w:val="21"/>
          <w:color w:val="auto"/>
        </w:rPr>
        <w:t>. The capital stock of the corporation shall be represented by certificates; provided that the Board of Directors may provide by resolution or resolutions that some or all of any or all classes of stock of the corporation shall be 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certificated shares of the same class and series shall be identical. Every holder of stock in the corporation represented by certificates shall be entitled to have a certificate, signed by, or in the name of the corporation by, any two authorized officers, including, without limitation, the chief executive officer, a vice-president, the treasurer or an assistant treasurer, or the secretary or an assistant secretary of the corporation, certifying the number of shares registered in certificate form. Any or all such signatures may be electronic. In case any officer or officers who have signed, or whose electronic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electronic signature or signatures have been used thereon had not ceased to be such officer or officers of the corporation. Share certificates shall be consecutively numbered or otherwise identified and shall exhibit the name of the person to whom the shares represented thereby are issued, with the number of shares and date of issue, shall be entered on the books of the corporation. Shares of capital stock of the corporation shall only be transferred on the books of the corporation by the holder of record thereof or by such holder’s attorney duly authorized in writing and, if such stock is certificated, upon surrender to the corporation of the certificate or certificates for such shares endorsed by the appropriate person or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 or certificates, and record the transaction on its books. Upon receipt of proper transfer instructions from the holder of uncertificated shares, the corporation shall cancel such uncertificated shares and issue new equivalent uncertificated shares, or, upon such holder’s request, certificated shares, to the person entitled thereto, and record the transaction upon its books.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The corporation may direct a new certificate or certificates, or uncertificated shares, to be issued in place of any certificate or certificates previously issued 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22"/>
          <w:szCs w:val="22"/>
          <w:color w:val="auto"/>
        </w:rPr>
        <w:t>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 or uncertificated shares.</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Fixing a Record Date for Stockholder Meetings</w:t>
      </w:r>
      <w:r>
        <w:rPr>
          <w:rFonts w:ascii="Times New Roman" w:cs="Times New Roman" w:eastAsia="Times New Roman" w:hAnsi="Times New Roman"/>
          <w:sz w:val="21"/>
          <w:szCs w:val="21"/>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the Close of Business (as defined in Section 13(c) of Article II herein)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Fixing a Record Date for Action by Written Consent</w:t>
      </w:r>
      <w:r>
        <w:rPr>
          <w:rFonts w:ascii="Times New Roman" w:cs="Times New Roman" w:eastAsia="Times New Roman" w:hAnsi="Times New Roman"/>
          <w:sz w:val="21"/>
          <w:szCs w:val="21"/>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72" w:name="page73"/>
    <w:bookmarkEnd w:id="72"/>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Fixing a Record Date for Other Purposes</w:t>
      </w:r>
      <w:r>
        <w:rPr>
          <w:rFonts w:ascii="Times New Roman" w:cs="Times New Roman" w:eastAsia="Times New Roman" w:hAnsi="Times New Roman"/>
          <w:sz w:val="22"/>
          <w:szCs w:val="22"/>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Prior to (i) the surrender to the corporation of the certificate or certificates for a share or shares of capital stock with a request to record the transfer of such share or shares or (ii) the receipt of proper transfer instructions from the holder of uncertificated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 except as otherwise required by law.</w:t>
      </w:r>
    </w:p>
    <w:p>
      <w:pPr>
        <w:spacing w:after="0" w:line="2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Subscriptions for Stock</w:t>
      </w:r>
      <w:r>
        <w:rPr>
          <w:rFonts w:ascii="Times New Roman" w:cs="Times New Roman" w:eastAsia="Times New Roman" w:hAnsi="Times New Roman"/>
          <w:sz w:val="22"/>
          <w:szCs w:val="22"/>
          <w:color w:val="auto"/>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PROVISIONS</w:t>
      </w:r>
    </w:p>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upon the capital stock of the corporation, subject to the provisions of the certificate of incorporation, if any (including any certificate of designations relating to any series of preferred stock), may be declared by the Board of Directors, pursuant to law. Dividends may be paid in cash, in property or in shares of the capital stock, subject to the provisions of the certificate of incorporation (including any certificate of designations relating to any series of preferred stock).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Checks, Drafts or Orders</w:t>
      </w:r>
      <w:r>
        <w:rPr>
          <w:rFonts w:ascii="Times New Roman" w:cs="Times New Roman" w:eastAsia="Times New Roman" w:hAnsi="Times New Roman"/>
          <w:sz w:val="22"/>
          <w:szCs w:val="22"/>
          <w:color w:val="auto"/>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73" w:name="page74"/>
    <w:bookmarkEnd w:id="7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duly authorized committee thereof, or by officers of the corporation authorized by the Board of Directors or such a committee to make such determinations.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officers, or any agent or agents, of the corporation to enter into any contract or to execute and deliver any instrument in the name of and on behalf of the corporation, or authorize any officer or officers of the corporation to designate the persons or persons who shall have authority to enter into any such contracts or to execute and deliver any such instruments in the name of and on behalf of the corporation. Such authority may be general or confined to specific instances.</w:t>
      </w:r>
    </w:p>
    <w:p>
      <w:pPr>
        <w:spacing w:after="0" w:line="20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Waiver of Notice</w:t>
      </w:r>
      <w:r>
        <w:rPr>
          <w:rFonts w:ascii="Times New Roman" w:cs="Times New Roman" w:eastAsia="Times New Roman" w:hAnsi="Times New Roman"/>
          <w:sz w:val="21"/>
          <w:szCs w:val="21"/>
          <w:color w:val="auto"/>
        </w:rPr>
        <w:t>. Whenever notice is required to be given under any provision of the DGCL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the Board of Directors or a committee of the Board of Directors need be specified in any written waiver of notice or any waiver by electronic transmission unless so required by the certificate of incorporation or these by-laws.</w:t>
      </w:r>
    </w:p>
    <w:p>
      <w:pPr>
        <w:spacing w:after="0" w:line="19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be fixed by resolution of the Board of Directors.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Seal</w:t>
      </w:r>
      <w:r>
        <w:rPr>
          <w:rFonts w:ascii="Times New Roman" w:cs="Times New Roman" w:eastAsia="Times New Roman" w:hAnsi="Times New Roman"/>
          <w:sz w:val="22"/>
          <w:szCs w:val="22"/>
          <w:color w:val="auto"/>
        </w:rPr>
        <w:t>. The Board of Directors shall provide a corporate seal which shall be in the form of a circle and shall have inscribed thereon the name of the corporation and the words “Corporate Seal, Delaware”. The seal may be used by causing it or an electronic copy thereof to be impressed or affixed or reproduced or otherwise.</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Voting Securities Owned by Corporation</w:t>
      </w:r>
      <w:r>
        <w:rPr>
          <w:rFonts w:ascii="Times New Roman" w:cs="Times New Roman" w:eastAsia="Times New Roman" w:hAnsi="Times New Roman"/>
          <w:sz w:val="22"/>
          <w:szCs w:val="22"/>
          <w:color w:val="auto"/>
        </w:rPr>
        <w:t>. Voting securities in any other corporation or entity held by the corporation shall be voted by the chief executive officer,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Inspection of Books and Records</w:t>
      </w:r>
      <w:r>
        <w:rPr>
          <w:rFonts w:ascii="Times New Roman" w:cs="Times New Roman" w:eastAsia="Times New Roman" w:hAnsi="Times New Roman"/>
          <w:sz w:val="22"/>
          <w:szCs w:val="22"/>
          <w:color w:val="auto"/>
        </w:rPr>
        <w: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In every instance where the stockholder is other than a record holder of stock, the demand under oath shall state the person’s status as a stockholder, be accompanied by documentary evidence of beneficial ownership of the stock, and state that such documentary evidence is a true and correct copy of what it purports to be. A proper purpose shall mean any purpose reasonably related to such person’s interest as a stockholder. In every instance where an attorney or other agent shall be the person who seeks the right to inspection, the demand under oath shall be accompanied by 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57" w:lineRule="auto"/>
        <w:rPr>
          <w:sz w:val="20"/>
          <w:szCs w:val="20"/>
          <w:color w:val="auto"/>
        </w:rPr>
      </w:pPr>
      <w:r>
        <w:rPr>
          <w:rFonts w:ascii="Times New Roman" w:cs="Times New Roman" w:eastAsia="Times New Roman" w:hAnsi="Times New Roman"/>
          <w:sz w:val="22"/>
          <w:szCs w:val="22"/>
          <w:color w:val="auto"/>
        </w:rPr>
        <w:t>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Section headings in these by-laws are for convenience of reference only and shall not be given any substantive effect in limiting or otherwise construing any provision herein.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Statutory and Other References; Inconsistent Provisions</w:t>
      </w:r>
      <w:r>
        <w:rPr>
          <w:rFonts w:ascii="Times New Roman" w:cs="Times New Roman" w:eastAsia="Times New Roman" w:hAnsi="Times New Roman"/>
          <w:sz w:val="22"/>
          <w:szCs w:val="22"/>
          <w:color w:val="auto"/>
        </w:rPr>
        <w:t>. All statutory, regulatory and similar references in these by-laws shall include any successor provisions. In the event that any provision of these by-laws is or becomes inconsistent with any provision of the certificate of incorporation, the DGCL or any other applicable law, the provision of these by-laws shall not be given any effect to the extent of such inconsistency but shall otherwise be given full force and effect.</w:t>
      </w:r>
    </w:p>
    <w:p>
      <w:pPr>
        <w:spacing w:after="0" w:line="20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Electronic Signatures, etc</w:t>
      </w:r>
      <w:r>
        <w:rPr>
          <w:rFonts w:ascii="Times New Roman" w:cs="Times New Roman" w:eastAsia="Times New Roman" w:hAnsi="Times New Roman"/>
          <w:sz w:val="22"/>
          <w:szCs w:val="22"/>
          <w:color w:val="auto"/>
        </w:rPr>
        <w:t>. Except as otherwise required by the certificate of incorporation (including any certificate of designations relating to any series of preferred stock) or these by-laws (including, without limitation, as otherwise required by Section 13 of Article II herein), any document, including, without limitation, any consent, agreement, certificate or instrument, required by the DGCL, the certificate of incorporation (including any certificate of designations relating to any series of preferred stock) or these by-laws to be executed by any officer, director, stockholder, employee or agent of the corporation may be executed using a facsimile or other form of electronic signature to the fullest extent permitted by law. All other contracts, agreements, certificates or instruments to be executed on behalf of the corporation may be executed using an electronic signature to the fullest extent permitted by law. The terms “electronic mail,” “electronic mail address,” “electronic signature” and “electronic transmission” as used herein shall have the meanings ascribed thereto in the DGCL.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52"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6116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November 5, 2024</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465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November 5, 2024</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of Gartner, Inc. (the “Company”) on Form 10-Q for the quarter ended September 30, 2024,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205" w:lineRule="exact"/>
        <w:rPr>
          <w:sz w:val="20"/>
          <w:szCs w:val="20"/>
          <w:color w:val="auto"/>
        </w:rPr>
      </w:pPr>
    </w:p>
    <w:p>
      <w:pPr>
        <w:ind w:left="740" w:hanging="732"/>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2"/>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2"/>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2">
    <w:nsid w:val="7A6D8D3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3">
    <w:nsid w:val="4B588F5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4">
    <w:nsid w:val="542289EC"/>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5">
    <w:nsid w:val="6DE91B18"/>
    <w:multiLevelType w:val="hybridMultilevel"/>
    <w:lvl w:ilvl="0">
      <w:lvlJc w:val="left"/>
      <w:lvlText w:val="(%1)"/>
      <w:numFmt w:val="lowerRoman"/>
      <w:start w:val="1"/>
    </w:lvl>
    <w:lvl w:ilvl="1">
      <w:lvlJc w:val="left"/>
      <w:lvlText w:val="(%2)"/>
      <w:numFmt w:val="upperLetter"/>
      <w:start w:val="1"/>
    </w:lvl>
  </w:abstractNum>
  <w:abstractNum w:abstractNumId="36">
    <w:nsid w:val="38437FDB"/>
    <w:multiLevelType w:val="hybridMultilevel"/>
    <w:lvl w:ilvl="0">
      <w:lvlJc w:val="left"/>
      <w:lvlText w:val="(%1)"/>
      <w:numFmt w:val="upperLetter"/>
      <w:start w:val="3"/>
    </w:lvl>
  </w:abstractNum>
  <w:abstractNum w:abstractNumId="37">
    <w:nsid w:val="7644A45C"/>
    <w:multiLevelType w:val="hybridMultilevel"/>
    <w:lvl w:ilvl="0">
      <w:lvlJc w:val="left"/>
      <w:lvlText w:val="(%1)"/>
      <w:numFmt w:val="lowerLetter"/>
      <w:start w:val="3"/>
    </w:lvl>
  </w:abstractNum>
  <w:abstractNum w:abstractNumId="38">
    <w:nsid w:val="32FFF902"/>
    <w:multiLevelType w:val="hybridMultilevel"/>
    <w:lvl w:ilvl="0">
      <w:lvlJc w:val="left"/>
      <w:lvlText w:val="(%1)"/>
      <w:numFmt w:val="lowerLetter"/>
      <w:start w:val="4"/>
    </w:lvl>
  </w:abstractNum>
  <w:abstractNum w:abstractNumId="39">
    <w:nsid w:val="684A481A"/>
    <w:multiLevelType w:val="hybridMultilevel"/>
    <w:lvl w:ilvl="0">
      <w:lvlJc w:val="left"/>
      <w:lvlText w:val="(%1)"/>
      <w:numFmt w:val="lowerLetter"/>
      <w:start w:val="6"/>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2">
    <w:nsid w:val="3DC240FB"/>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43">
    <w:nsid w:val="1BA026FA"/>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4">
    <w:nsid w:val="79A1DEAA"/>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45">
    <w:nsid w:val="75C6C33A"/>
    <w:multiLevelType w:val="hybridMultilevel"/>
    <w:lvl w:ilvl="0">
      <w:lvlJc w:val="left"/>
      <w:lvlText w:val="%1"/>
      <w:numFmt w:val="lowerRoman"/>
      <w:start w:val="1"/>
    </w:lvl>
    <w:lvl w:ilvl="1">
      <w:lvlJc w:val="left"/>
      <w:lvlText w:val="(%2)"/>
      <w:numFmt w:val="upperLetter"/>
      <w:start w:val="3"/>
    </w:lvl>
  </w:abstractNum>
  <w:abstractNum w:abstractNumId="46">
    <w:nsid w:val="12E685FB"/>
    <w:multiLevelType w:val="hybridMultilevel"/>
    <w:lvl w:ilvl="0">
      <w:lvlJc w:val="left"/>
      <w:lvlText w:val="(%1)"/>
      <w:numFmt w:val="lowerRoman"/>
      <w:start w:val="4"/>
    </w:lvl>
    <w:lvl w:ilvl="1">
      <w:lvlJc w:val="left"/>
      <w:lvlText w:val="(%2)"/>
      <w:numFmt w:val="upperLetter"/>
      <w:start w:val="1"/>
    </w:lvl>
  </w:abstractNum>
  <w:abstractNum w:abstractNumId="47">
    <w:nsid w:val="70C6A52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8">
    <w:nsid w:val="520EEDD1"/>
    <w:multiLevelType w:val="hybridMultilevel"/>
    <w:lvl w:ilvl="0">
      <w:lvlJc w:val="left"/>
      <w:lvlText w:val="(%1)"/>
      <w:numFmt w:val="upperLetter"/>
      <w:start w:val="2"/>
    </w:lvl>
    <w:lvl w:ilvl="1">
      <w:lvlJc w:val="left"/>
      <w:lvlText w:val="(%2)"/>
      <w:numFmt w:val="decimal"/>
      <w:start w:val="1"/>
    </w:lvl>
  </w:abstractNum>
  <w:abstractNum w:abstractNumId="49">
    <w:nsid w:val="374A3FE6"/>
    <w:multiLevelType w:val="hybridMultilevel"/>
    <w:lvl w:ilvl="0">
      <w:lvlJc w:val="left"/>
      <w:lvlText w:val="%1"/>
      <w:numFmt w:val="lowerRoman"/>
      <w:start w:val="1"/>
    </w:lvl>
    <w:lvl w:ilvl="1">
      <w:lvlJc w:val="left"/>
      <w:lvlText w:val="(%2)"/>
      <w:numFmt w:val="upperLetter"/>
      <w:start w:val="4"/>
    </w:lvl>
  </w:abstractNum>
  <w:abstractNum w:abstractNumId="50">
    <w:nsid w:val="4F4EF005"/>
    <w:multiLevelType w:val="hybridMultilevel"/>
    <w:lvl w:ilvl="0">
      <w:lvlJc w:val="left"/>
      <w:lvlText w:val="(%1)"/>
      <w:numFmt w:val="lowerRoman"/>
      <w:start w:val="2"/>
    </w:lvl>
    <w:lvl w:ilvl="1">
      <w:lvlJc w:val="left"/>
      <w:lvlText w:val="%2"/>
      <w:numFmt w:val="upperLetter"/>
      <w:start w:val="1"/>
    </w:lvl>
  </w:abstractNum>
  <w:abstractNum w:abstractNumId="51">
    <w:nsid w:val="23F9C13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2">
    <w:nsid w:val="649BB77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3">
    <w:nsid w:val="275AC794"/>
    <w:multiLevelType w:val="hybridMultilevel"/>
    <w:lvl w:ilvl="0">
      <w:lvlJc w:val="left"/>
      <w:lvlText w:val="%1"/>
      <w:numFmt w:val="lowerRoman"/>
      <w:start w:val="1"/>
    </w:lvl>
    <w:lvl w:ilvl="1">
      <w:lvlJc w:val="left"/>
      <w:lvlText w:val="(%2)"/>
      <w:numFmt w:val="upperLetter"/>
      <w:start w:val="4"/>
    </w:lvl>
  </w:abstractNum>
  <w:abstractNum w:abstractNumId="54">
    <w:nsid w:val="39386575"/>
    <w:multiLevelType w:val="hybridMultilevel"/>
    <w:lvl w:ilvl="0">
      <w:lvlJc w:val="left"/>
      <w:lvlText w:val="(%1)"/>
      <w:numFmt w:val="lowerRoman"/>
      <w:start w:val="2"/>
    </w:lvl>
    <w:lvl w:ilvl="1">
      <w:lvlJc w:val="left"/>
      <w:lvlText w:val="%2"/>
      <w:numFmt w:val="upp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8" Type="http://schemas.openxmlformats.org/officeDocument/2006/relationships/hyperlink" Target="https://www.sec.gov/Archives/edgar/data/749251/000095012305008192/y10586exv3w1.htm" TargetMode="External"/><Relationship Id="rId69" Type="http://schemas.openxmlformats.org/officeDocument/2006/relationships/hyperlink" Target="https://www.sec.gov/Archives/edgar/data/749251/000074925124000029/secondamendmenttoemploy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2024-11-05T05:18:00Z</dcterms:created>
  <dcterms:modified xsi:type="dcterms:W3CDTF">2024-11-05T05:18:00Z</dcterms:modified>
</cp:coreProperties>
</file>