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10-Q</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QUARTERLY REPORT PURSUANT TO SECTION 13 OR 15(d) OF</w:t>
      </w:r>
    </w:p>
    <w:p>
      <w:pPr>
        <w:spacing w:after="0" w:line="5" w:lineRule="exact"/>
        <w:rPr>
          <w:sz w:val="24"/>
          <w:szCs w:val="24"/>
          <w:color w:val="auto"/>
        </w:rPr>
      </w:pPr>
    </w:p>
    <w:p>
      <w:pPr>
        <w:jc w:val="right"/>
        <w:ind w:left="2000" w:right="5039" w:hanging="1552"/>
        <w:spacing w:after="0" w:line="247" w:lineRule="auto"/>
        <w:tabs>
          <w:tab w:leader="none" w:pos="190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EXCHANGE ACT OF 1934. FOR THE QUARTER ENDED JUNE 30, 1997</w:t>
      </w:r>
    </w:p>
    <w:p>
      <w:pPr>
        <w:spacing w:after="0" w:line="175"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1360" w:right="4139" w:hanging="912"/>
        <w:spacing w:after="0" w:line="247" w:lineRule="auto"/>
        <w:tabs>
          <w:tab w:leader="none" w:pos="-9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4740" w:type="dxa"/>
            <w:vAlign w:val="bottom"/>
          </w:tcPr>
          <w:p>
            <w:pPr>
              <w:ind w:left="1460"/>
              <w:spacing w:after="0"/>
              <w:rPr>
                <w:sz w:val="20"/>
                <w:szCs w:val="20"/>
                <w:color w:val="auto"/>
              </w:rPr>
            </w:pPr>
            <w:r>
              <w:rPr>
                <w:rFonts w:ascii="Courier New" w:cs="Courier New" w:eastAsia="Courier New" w:hAnsi="Courier New"/>
                <w:sz w:val="15"/>
                <w:szCs w:val="15"/>
                <w:color w:val="auto"/>
              </w:rPr>
              <w:t>FOR THE TRANSITION PERIOD FROM</w:t>
            </w:r>
          </w:p>
        </w:tc>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TO</w:t>
            </w:r>
          </w:p>
        </w:tc>
      </w:tr>
      <w:tr>
        <w:trPr>
          <w:trHeight w:val="350"/>
        </w:trPr>
        <w:tc>
          <w:tcPr>
            <w:tcW w:w="474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COMMISSION FILE NUMBER 0-015144</w:t>
            </w:r>
          </w:p>
        </w:tc>
        <w:tc>
          <w:tcPr>
            <w:tcW w:w="2080" w:type="dxa"/>
            <w:vAlign w:val="bottom"/>
          </w:tcPr>
          <w:p>
            <w:pPr>
              <w:spacing w:after="0"/>
              <w:rPr>
                <w:sz w:val="24"/>
                <w:szCs w:val="24"/>
                <w:color w:val="auto"/>
              </w:rPr>
            </w:pPr>
          </w:p>
        </w:tc>
      </w:tr>
      <w:tr>
        <w:trPr>
          <w:trHeight w:val="350"/>
        </w:trPr>
        <w:tc>
          <w:tcPr>
            <w:tcW w:w="4740" w:type="dxa"/>
            <w:vAlign w:val="bottom"/>
          </w:tcPr>
          <w:p>
            <w:pPr>
              <w:jc w:val="center"/>
              <w:ind w:left="1664"/>
              <w:spacing w:after="0"/>
              <w:rPr>
                <w:sz w:val="20"/>
                <w:szCs w:val="20"/>
                <w:color w:val="auto"/>
              </w:rPr>
            </w:pPr>
            <w:r>
              <w:rPr>
                <w:rFonts w:ascii="Courier New" w:cs="Courier New" w:eastAsia="Courier New" w:hAnsi="Courier New"/>
                <w:sz w:val="15"/>
                <w:szCs w:val="15"/>
                <w:color w:val="auto"/>
              </w:rPr>
              <w:t>GARTNER GROUP, INC.</w:t>
            </w:r>
          </w:p>
        </w:tc>
        <w:tc>
          <w:tcPr>
            <w:tcW w:w="2080" w:type="dxa"/>
            <w:vAlign w:val="bottom"/>
          </w:tcPr>
          <w:p>
            <w:pPr>
              <w:spacing w:after="0"/>
              <w:rPr>
                <w:sz w:val="24"/>
                <w:szCs w:val="24"/>
                <w:color w:val="auto"/>
              </w:rPr>
            </w:pPr>
          </w:p>
        </w:tc>
      </w:tr>
      <w:tr>
        <w:trPr>
          <w:trHeight w:val="175"/>
        </w:trPr>
        <w:tc>
          <w:tcPr>
            <w:tcW w:w="68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(Exact name of Registrant as specified in its charter)</w:t>
            </w:r>
          </w:p>
        </w:tc>
      </w:tr>
      <w:tr>
        <w:trPr>
          <w:trHeight w:val="524"/>
        </w:trPr>
        <w:tc>
          <w:tcPr>
            <w:tcW w:w="4740" w:type="dxa"/>
            <w:vAlign w:val="bottom"/>
          </w:tcPr>
          <w:p>
            <w:pPr>
              <w:jc w:val="center"/>
              <w:ind w:right="1924"/>
              <w:spacing w:after="0"/>
              <w:rPr>
                <w:sz w:val="20"/>
                <w:szCs w:val="20"/>
                <w:color w:val="auto"/>
              </w:rPr>
            </w:pPr>
            <w:r>
              <w:rPr>
                <w:rFonts w:ascii="Courier New" w:cs="Courier New" w:eastAsia="Courier New" w:hAnsi="Courier New"/>
                <w:sz w:val="15"/>
                <w:szCs w:val="15"/>
                <w:color w:val="auto"/>
              </w:rPr>
              <w:t>Delaware</w:t>
            </w:r>
          </w:p>
        </w:tc>
        <w:tc>
          <w:tcPr>
            <w:tcW w:w="2080" w:type="dxa"/>
            <w:vAlign w:val="bottom"/>
          </w:tcPr>
          <w:p>
            <w:pPr>
              <w:jc w:val="center"/>
              <w:ind w:left="4"/>
              <w:spacing w:after="0"/>
              <w:rPr>
                <w:sz w:val="20"/>
                <w:szCs w:val="20"/>
                <w:color w:val="auto"/>
              </w:rPr>
            </w:pPr>
            <w:r>
              <w:rPr>
                <w:rFonts w:ascii="Courier New" w:cs="Courier New" w:eastAsia="Courier New" w:hAnsi="Courier New"/>
                <w:sz w:val="15"/>
                <w:szCs w:val="15"/>
                <w:color w:val="auto"/>
              </w:rPr>
              <w:t>04-3099750</w:t>
            </w:r>
          </w:p>
        </w:tc>
      </w:tr>
      <w:tr>
        <w:trPr>
          <w:trHeight w:val="175"/>
        </w:trPr>
        <w:tc>
          <w:tcPr>
            <w:tcW w:w="4740" w:type="dxa"/>
            <w:vAlign w:val="bottom"/>
          </w:tcPr>
          <w:p>
            <w:pPr>
              <w:jc w:val="center"/>
              <w:ind w:right="1844"/>
              <w:spacing w:after="0"/>
              <w:rPr>
                <w:sz w:val="20"/>
                <w:szCs w:val="20"/>
                <w:color w:val="auto"/>
              </w:rPr>
            </w:pPr>
            <w:r>
              <w:rPr>
                <w:rFonts w:ascii="Courier New" w:cs="Courier New" w:eastAsia="Courier New" w:hAnsi="Courier New"/>
                <w:sz w:val="15"/>
                <w:szCs w:val="15"/>
                <w:color w:val="auto"/>
              </w:rPr>
              <w:t>(State or other jurisdiction of</w:t>
            </w:r>
          </w:p>
        </w:tc>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rPr>
              <w:t>(I.R.S.  Employer</w:t>
            </w:r>
          </w:p>
        </w:tc>
      </w:tr>
      <w:tr>
        <w:trPr>
          <w:trHeight w:val="175"/>
        </w:trPr>
        <w:tc>
          <w:tcPr>
            <w:tcW w:w="4740" w:type="dxa"/>
            <w:vAlign w:val="bottom"/>
          </w:tcPr>
          <w:p>
            <w:pPr>
              <w:jc w:val="center"/>
              <w:ind w:right="1924"/>
              <w:spacing w:after="0"/>
              <w:rPr>
                <w:sz w:val="20"/>
                <w:szCs w:val="20"/>
                <w:color w:val="auto"/>
              </w:rPr>
            </w:pPr>
            <w:r>
              <w:rPr>
                <w:rFonts w:ascii="Courier New" w:cs="Courier New" w:eastAsia="Courier New" w:hAnsi="Courier New"/>
                <w:sz w:val="15"/>
                <w:szCs w:val="15"/>
                <w:color w:val="auto"/>
              </w:rPr>
              <w:t>incorporation or organization)</w:t>
            </w:r>
          </w:p>
        </w:tc>
        <w:tc>
          <w:tcPr>
            <w:tcW w:w="2080" w:type="dxa"/>
            <w:vAlign w:val="bottom"/>
          </w:tcPr>
          <w:p>
            <w:pPr>
              <w:jc w:val="center"/>
              <w:ind w:left="4"/>
              <w:spacing w:after="0"/>
              <w:rPr>
                <w:sz w:val="20"/>
                <w:szCs w:val="20"/>
                <w:color w:val="auto"/>
              </w:rPr>
            </w:pPr>
            <w:r>
              <w:rPr>
                <w:rFonts w:ascii="Courier New" w:cs="Courier New" w:eastAsia="Courier New" w:hAnsi="Courier New"/>
                <w:sz w:val="15"/>
                <w:szCs w:val="15"/>
                <w:color w:val="auto"/>
              </w:rPr>
              <w:t>Identification Number)</w:t>
            </w:r>
          </w:p>
        </w:tc>
      </w:tr>
      <w:tr>
        <w:trPr>
          <w:trHeight w:val="524"/>
        </w:trPr>
        <w:tc>
          <w:tcPr>
            <w:tcW w:w="4740" w:type="dxa"/>
            <w:vAlign w:val="bottom"/>
          </w:tcPr>
          <w:p>
            <w:pPr>
              <w:jc w:val="center"/>
              <w:ind w:right="1924"/>
              <w:spacing w:after="0"/>
              <w:rPr>
                <w:sz w:val="20"/>
                <w:szCs w:val="20"/>
                <w:color w:val="auto"/>
              </w:rPr>
            </w:pPr>
            <w:r>
              <w:rPr>
                <w:rFonts w:ascii="Courier New" w:cs="Courier New" w:eastAsia="Courier New" w:hAnsi="Courier New"/>
                <w:sz w:val="15"/>
                <w:szCs w:val="15"/>
                <w:color w:val="auto"/>
                <w:w w:val="99"/>
              </w:rPr>
              <w:t>P.O. Box 10212</w:t>
            </w:r>
          </w:p>
        </w:tc>
        <w:tc>
          <w:tcPr>
            <w:tcW w:w="2080" w:type="dxa"/>
            <w:vAlign w:val="bottom"/>
          </w:tcPr>
          <w:p>
            <w:pPr>
              <w:jc w:val="center"/>
              <w:ind w:left="4"/>
              <w:spacing w:after="0"/>
              <w:rPr>
                <w:sz w:val="20"/>
                <w:szCs w:val="20"/>
                <w:color w:val="auto"/>
              </w:rPr>
            </w:pPr>
            <w:r>
              <w:rPr>
                <w:rFonts w:ascii="Courier New" w:cs="Courier New" w:eastAsia="Courier New" w:hAnsi="Courier New"/>
                <w:sz w:val="15"/>
                <w:szCs w:val="15"/>
                <w:color w:val="auto"/>
              </w:rPr>
              <w:t>06904-2212</w:t>
            </w:r>
          </w:p>
        </w:tc>
      </w:tr>
      <w:tr>
        <w:trPr>
          <w:trHeight w:val="175"/>
        </w:trPr>
        <w:tc>
          <w:tcPr>
            <w:tcW w:w="4740" w:type="dxa"/>
            <w:vAlign w:val="bottom"/>
          </w:tcPr>
          <w:p>
            <w:pPr>
              <w:jc w:val="center"/>
              <w:ind w:right="1824"/>
              <w:spacing w:after="0"/>
              <w:rPr>
                <w:sz w:val="20"/>
                <w:szCs w:val="20"/>
                <w:color w:val="auto"/>
              </w:rPr>
            </w:pPr>
            <w:r>
              <w:rPr>
                <w:rFonts w:ascii="Courier New" w:cs="Courier New" w:eastAsia="Courier New" w:hAnsi="Courier New"/>
                <w:sz w:val="15"/>
                <w:szCs w:val="15"/>
                <w:color w:val="auto"/>
              </w:rPr>
              <w:t>56 Top Gallant Road</w:t>
            </w:r>
          </w:p>
        </w:tc>
        <w:tc>
          <w:tcPr>
            <w:tcW w:w="2080" w:type="dxa"/>
            <w:vAlign w:val="bottom"/>
          </w:tcPr>
          <w:p>
            <w:pPr>
              <w:jc w:val="center"/>
              <w:ind w:left="4"/>
              <w:spacing w:after="0"/>
              <w:rPr>
                <w:sz w:val="20"/>
                <w:szCs w:val="20"/>
                <w:color w:val="auto"/>
              </w:rPr>
            </w:pPr>
            <w:r>
              <w:rPr>
                <w:rFonts w:ascii="Courier New" w:cs="Courier New" w:eastAsia="Courier New" w:hAnsi="Courier New"/>
                <w:sz w:val="15"/>
                <w:szCs w:val="15"/>
                <w:color w:val="auto"/>
              </w:rPr>
              <w:t>(Zip Code)</w:t>
            </w:r>
          </w:p>
        </w:tc>
      </w:tr>
      <w:tr>
        <w:trPr>
          <w:trHeight w:val="175"/>
        </w:trPr>
        <w:tc>
          <w:tcPr>
            <w:tcW w:w="4740" w:type="dxa"/>
            <w:vAlign w:val="bottom"/>
          </w:tcPr>
          <w:p>
            <w:pPr>
              <w:jc w:val="center"/>
              <w:ind w:right="1924"/>
              <w:spacing w:after="0"/>
              <w:rPr>
                <w:sz w:val="20"/>
                <w:szCs w:val="20"/>
                <w:color w:val="auto"/>
              </w:rPr>
            </w:pPr>
            <w:r>
              <w:rPr>
                <w:rFonts w:ascii="Courier New" w:cs="Courier New" w:eastAsia="Courier New" w:hAnsi="Courier New"/>
                <w:sz w:val="15"/>
                <w:szCs w:val="15"/>
                <w:color w:val="auto"/>
              </w:rPr>
              <w:t>Stamford, CT</w:t>
            </w:r>
          </w:p>
        </w:tc>
        <w:tc>
          <w:tcPr>
            <w:tcW w:w="2080" w:type="dxa"/>
            <w:vAlign w:val="bottom"/>
          </w:tcPr>
          <w:p>
            <w:pPr>
              <w:spacing w:after="0"/>
              <w:rPr>
                <w:sz w:val="15"/>
                <w:szCs w:val="15"/>
                <w:color w:val="auto"/>
              </w:rPr>
            </w:pP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0" w:lineRule="exact"/>
        <w:rPr>
          <w:sz w:val="24"/>
          <w:szCs w:val="24"/>
          <w:color w:val="auto"/>
        </w:rPr>
      </w:pPr>
    </w:p>
    <w:p>
      <w:pPr>
        <w:spacing w:after="0" w:line="32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(203) 964-0096</w:t>
      </w:r>
    </w:p>
    <w:p>
      <w:pPr>
        <w:spacing w:after="0" w:line="354" w:lineRule="exact"/>
        <w:rPr>
          <w:sz w:val="24"/>
          <w:szCs w:val="24"/>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to be filed by Section_13 or 15(d) of the Securities Exchange Act of 1934 during the preceding 12 months (or for such shorter period that the registrant was required to file such reports), and (2) has been subject to such filing requirements for the past 90 days. YES X NO___.</w:t>
      </w:r>
    </w:p>
    <w:p>
      <w:pPr>
        <w:spacing w:after="0" w:line="178" w:lineRule="exact"/>
        <w:rPr>
          <w:sz w:val="24"/>
          <w:szCs w:val="24"/>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number of shares outstanding of the Registrant's capital stock as of June 30, 1997 was 95,721,586 shares of Common Stock, Class A.</w:t>
      </w:r>
    </w:p>
    <w:p>
      <w:pPr>
        <w:spacing w:after="0" w:line="175" w:lineRule="exact"/>
        <w:rPr>
          <w:sz w:val="24"/>
          <w:szCs w:val="24"/>
          <w:color w:val="auto"/>
        </w:rPr>
      </w:pPr>
    </w:p>
    <w:p>
      <w:pPr>
        <w:jc w:val="right"/>
        <w:ind w:right="295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5580" w:type="dxa"/>
            <w:vAlign w:val="bottom"/>
          </w:tcPr>
          <w:p>
            <w:pPr>
              <w:ind w:left="1580"/>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874"/>
        </w:trPr>
        <w:tc>
          <w:tcPr>
            <w:tcW w:w="13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FINANCIAL INFORMATION</w:t>
            </w:r>
          </w:p>
        </w:tc>
        <w:tc>
          <w:tcPr>
            <w:tcW w:w="360" w:type="dxa"/>
            <w:vAlign w:val="bottom"/>
          </w:tcPr>
          <w:p>
            <w:pPr>
              <w:spacing w:after="0"/>
              <w:rPr>
                <w:sz w:val="24"/>
                <w:szCs w:val="24"/>
                <w:color w:val="auto"/>
              </w:rPr>
            </w:pPr>
          </w:p>
        </w:tc>
      </w:tr>
      <w:tr>
        <w:trPr>
          <w:trHeight w:val="524"/>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ITEM 1:</w:t>
            </w: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50"/>
        </w:trPr>
        <w:tc>
          <w:tcPr>
            <w:tcW w:w="1320" w:type="dxa"/>
            <w:vAlign w:val="bottom"/>
          </w:tcPr>
          <w:p>
            <w:pPr>
              <w:spacing w:after="0"/>
              <w:rPr>
                <w:sz w:val="24"/>
                <w:szCs w:val="24"/>
                <w:color w:val="auto"/>
              </w:rPr>
            </w:pP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Consolidated Balance Sheets at June 30, 1997 and</w:t>
            </w:r>
          </w:p>
        </w:tc>
        <w:tc>
          <w:tcPr>
            <w:tcW w:w="36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5580" w:type="dxa"/>
            <w:vAlign w:val="bottom"/>
          </w:tcPr>
          <w:p>
            <w:pPr>
              <w:ind w:left="860"/>
              <w:spacing w:after="0"/>
              <w:rPr>
                <w:sz w:val="20"/>
                <w:szCs w:val="20"/>
                <w:color w:val="auto"/>
              </w:rPr>
            </w:pPr>
            <w:r>
              <w:rPr>
                <w:rFonts w:ascii="Courier New" w:cs="Courier New" w:eastAsia="Courier New" w:hAnsi="Courier New"/>
                <w:sz w:val="15"/>
                <w:szCs w:val="15"/>
                <w:color w:val="auto"/>
              </w:rPr>
              <w:t>September 30, 1996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350"/>
        </w:trPr>
        <w:tc>
          <w:tcPr>
            <w:tcW w:w="1320" w:type="dxa"/>
            <w:vAlign w:val="bottom"/>
          </w:tcPr>
          <w:p>
            <w:pPr>
              <w:spacing w:after="0"/>
              <w:rPr>
                <w:sz w:val="24"/>
                <w:szCs w:val="24"/>
                <w:color w:val="auto"/>
              </w:rPr>
            </w:pP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Consolidated Statements of Operations for the Three and</w:t>
            </w:r>
          </w:p>
        </w:tc>
        <w:tc>
          <w:tcPr>
            <w:tcW w:w="36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5580" w:type="dxa"/>
            <w:vAlign w:val="bottom"/>
          </w:tcPr>
          <w:p>
            <w:pPr>
              <w:ind w:left="860"/>
              <w:spacing w:after="0"/>
              <w:rPr>
                <w:sz w:val="20"/>
                <w:szCs w:val="20"/>
                <w:color w:val="auto"/>
              </w:rPr>
            </w:pPr>
            <w:r>
              <w:rPr>
                <w:rFonts w:ascii="Courier New" w:cs="Courier New" w:eastAsia="Courier New" w:hAnsi="Courier New"/>
                <w:sz w:val="15"/>
                <w:szCs w:val="15"/>
                <w:color w:val="auto"/>
              </w:rPr>
              <w:t>Nine Months ended June 30, 1997 and 1996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350"/>
        </w:trPr>
        <w:tc>
          <w:tcPr>
            <w:tcW w:w="1320" w:type="dxa"/>
            <w:vAlign w:val="bottom"/>
          </w:tcPr>
          <w:p>
            <w:pPr>
              <w:spacing w:after="0"/>
              <w:rPr>
                <w:sz w:val="24"/>
                <w:szCs w:val="24"/>
                <w:color w:val="auto"/>
              </w:rPr>
            </w:pP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Condensed Consolidated Statements of Cash Flows for</w:t>
            </w:r>
          </w:p>
        </w:tc>
        <w:tc>
          <w:tcPr>
            <w:tcW w:w="36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5580" w:type="dxa"/>
            <w:vAlign w:val="bottom"/>
          </w:tcPr>
          <w:p>
            <w:pPr>
              <w:ind w:left="860"/>
              <w:spacing w:after="0"/>
              <w:rPr>
                <w:sz w:val="20"/>
                <w:szCs w:val="20"/>
                <w:color w:val="auto"/>
              </w:rPr>
            </w:pPr>
            <w:r>
              <w:rPr>
                <w:rFonts w:ascii="Courier New" w:cs="Courier New" w:eastAsia="Courier New" w:hAnsi="Courier New"/>
                <w:sz w:val="15"/>
                <w:szCs w:val="15"/>
                <w:color w:val="auto"/>
              </w:rPr>
              <w:t>the Nine Months ended June 30, 1997 and 1996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r>
      <w:tr>
        <w:trPr>
          <w:trHeight w:val="350"/>
        </w:trPr>
        <w:tc>
          <w:tcPr>
            <w:tcW w:w="1320" w:type="dxa"/>
            <w:vAlign w:val="bottom"/>
          </w:tcPr>
          <w:p>
            <w:pPr>
              <w:spacing w:after="0"/>
              <w:rPr>
                <w:sz w:val="24"/>
                <w:szCs w:val="24"/>
                <w:color w:val="auto"/>
              </w:rPr>
            </w:pP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r>
      <w:tr>
        <w:trPr>
          <w:trHeight w:val="350"/>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ITEM 2:</w:t>
            </w: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MANAGEMENT'S DISCUSSION AND ANALYSIS</w:t>
            </w:r>
          </w:p>
        </w:tc>
        <w:tc>
          <w:tcPr>
            <w:tcW w:w="36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5580" w:type="dxa"/>
            <w:vAlign w:val="bottom"/>
          </w:tcPr>
          <w:p>
            <w:pPr>
              <w:ind w:left="860"/>
              <w:spacing w:after="0"/>
              <w:rPr>
                <w:sz w:val="20"/>
                <w:szCs w:val="20"/>
                <w:color w:val="auto"/>
              </w:rPr>
            </w:pPr>
            <w:r>
              <w:rPr>
                <w:rFonts w:ascii="Courier New" w:cs="Courier New" w:eastAsia="Courier New" w:hAnsi="Courier New"/>
                <w:sz w:val="15"/>
                <w:szCs w:val="15"/>
                <w:color w:val="auto"/>
              </w:rPr>
              <w:t>OF FINANCIAL CONDITION AND RESULTS OF OPERATIONS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7</w:t>
            </w:r>
          </w:p>
        </w:tc>
      </w:tr>
      <w:tr>
        <w:trPr>
          <w:trHeight w:val="350"/>
        </w:trPr>
        <w:tc>
          <w:tcPr>
            <w:tcW w:w="13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OTHER INFORMATION</w:t>
            </w:r>
          </w:p>
        </w:tc>
        <w:tc>
          <w:tcPr>
            <w:tcW w:w="360" w:type="dxa"/>
            <w:vAlign w:val="bottom"/>
          </w:tcPr>
          <w:p>
            <w:pPr>
              <w:spacing w:after="0"/>
              <w:rPr>
                <w:sz w:val="24"/>
                <w:szCs w:val="24"/>
                <w:color w:val="auto"/>
              </w:rPr>
            </w:pPr>
          </w:p>
        </w:tc>
      </w:tr>
      <w:tr>
        <w:trPr>
          <w:trHeight w:val="350"/>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ITEM 6:</w:t>
            </w:r>
          </w:p>
        </w:tc>
        <w:tc>
          <w:tcPr>
            <w:tcW w:w="5580" w:type="dxa"/>
            <w:vAlign w:val="bottom"/>
          </w:tcPr>
          <w:p>
            <w:pPr>
              <w:ind w:left="580"/>
              <w:spacing w:after="0"/>
              <w:rPr>
                <w:sz w:val="20"/>
                <w:szCs w:val="20"/>
                <w:color w:val="auto"/>
              </w:rPr>
            </w:pPr>
            <w:r>
              <w:rPr>
                <w:rFonts w:ascii="Courier New" w:cs="Courier New" w:eastAsia="Courier New" w:hAnsi="Courier New"/>
                <w:sz w:val="15"/>
                <w:szCs w:val="15"/>
                <w:color w:val="auto"/>
              </w:rPr>
              <w:t>EXHIBITS AND REPORTS ON FORM 8-K</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12</w:t>
            </w:r>
          </w:p>
        </w:tc>
      </w:tr>
      <w:tr>
        <w:trPr>
          <w:trHeight w:val="524"/>
        </w:trPr>
        <w:tc>
          <w:tcPr>
            <w:tcW w:w="13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19"/>
          </w:cols>
          <w:pgMar w:left="240"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5"/>
                <w:szCs w:val="15"/>
                <w:color w:val="auto"/>
              </w:rPr>
            </w:pPr>
          </w:p>
        </w:tc>
        <w:tc>
          <w:tcPr>
            <w:tcW w:w="9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0"/>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$ 161,770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96,755</w:t>
            </w:r>
          </w:p>
        </w:tc>
      </w:tr>
      <w:tr>
        <w:trPr>
          <w:trHeight w:val="17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Marketable securities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20,520</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30,054</w:t>
            </w:r>
          </w:p>
        </w:tc>
      </w:tr>
      <w:tr>
        <w:trPr>
          <w:trHeight w:val="17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Fees receivable, net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162,635</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143,762</w:t>
            </w:r>
          </w:p>
        </w:tc>
      </w:tr>
      <w:tr>
        <w:trPr>
          <w:trHeight w:val="17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Deferred commissions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13,989</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17,539</w:t>
            </w:r>
          </w:p>
        </w:tc>
      </w:tr>
      <w:tr>
        <w:trPr>
          <w:trHeight w:val="17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24,250</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22,040</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383,164</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310,150</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Long-term marketable securities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10,644</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3,047</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38,964</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32,818</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97,125</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93,144</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20,478</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4,949</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ind w:left="540"/>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$ 550,375</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$ 444,108</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66,787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60,527</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Commissions payable</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8,443</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15,148</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Accrued bonuses payable</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13,211</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16,781</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209,831</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198,952</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298,272</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291,408</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524"/>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6,115</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2,465</w:t>
            </w: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$.0005 par value</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174,415</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134,711</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(2,790)</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(2,965)</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Accumulated earnings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87,705</w:t>
            </w:r>
          </w:p>
        </w:tc>
        <w:tc>
          <w:tcPr>
            <w:tcW w:w="500" w:type="dxa"/>
            <w:vAlign w:val="bottom"/>
          </w:tcPr>
          <w:p>
            <w:pPr>
              <w:spacing w:after="0"/>
              <w:rPr>
                <w:sz w:val="15"/>
                <w:szCs w:val="15"/>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32,008</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spacing w:after="0"/>
              <w:rPr>
                <w:sz w:val="24"/>
                <w:szCs w:val="24"/>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259,383</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163,806</w:t>
            </w:r>
          </w:p>
        </w:tc>
      </w:tr>
      <w:tr>
        <w:trPr>
          <w:trHeight w:val="175"/>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Less:  Treasury stock, at cost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(13,395)</w:t>
            </w:r>
          </w:p>
        </w:tc>
        <w:tc>
          <w:tcPr>
            <w:tcW w:w="50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(13,571)</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ind w:left="720"/>
              <w:spacing w:after="0"/>
              <w:rPr>
                <w:sz w:val="20"/>
                <w:szCs w:val="20"/>
                <w:color w:val="auto"/>
              </w:rPr>
            </w:pPr>
            <w:r>
              <w:rPr>
                <w:rFonts w:ascii="Courier New" w:cs="Courier New" w:eastAsia="Courier New" w:hAnsi="Courier New"/>
                <w:sz w:val="15"/>
                <w:szCs w:val="15"/>
                <w:color w:val="auto"/>
              </w:rPr>
              <w:t>Total stockholders' equity</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245,988</w:t>
            </w:r>
          </w:p>
        </w:tc>
        <w:tc>
          <w:tcPr>
            <w:tcW w:w="500" w:type="dxa"/>
            <w:vAlign w:val="bottom"/>
          </w:tcPr>
          <w:p>
            <w:pPr>
              <w:spacing w:after="0"/>
              <w:rPr>
                <w:sz w:val="24"/>
                <w:szCs w:val="24"/>
                <w:color w:val="auto"/>
              </w:rPr>
            </w:pP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150,235</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tcPr>
          <w:p>
            <w:pPr>
              <w:ind w:left="7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$ 550,375</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$ 444,108</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296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For the three months ended</w:t>
            </w:r>
          </w:p>
        </w:tc>
        <w:tc>
          <w:tcPr>
            <w:tcW w:w="26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For the nine months ended</w:t>
            </w:r>
          </w:p>
        </w:tc>
      </w:tr>
      <w:tr>
        <w:trPr>
          <w:trHeight w:val="175"/>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June 30,</w:t>
            </w: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5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5"/>
                <w:szCs w:val="15"/>
                <w:color w:val="auto"/>
              </w:rPr>
            </w:pP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5"/>
                <w:szCs w:val="15"/>
                <w:color w:val="auto"/>
              </w:rPr>
            </w:pP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Research, advisory and benchmarking services</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98,480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77,458</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$ 286,618</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$ 224,471</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Other, principally conferences, consulting and training</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27,869</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19,948</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84,223</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60,244</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Total revenues</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126,349</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97,406</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370,841</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284,715</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Cost of services and product development</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48,451</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38,967</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144,256</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110,192</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44,491</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34,124</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123,785</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103,581</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Acquisition-related charges</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1,665</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3,060</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2,202</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8,312</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6,451</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910</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4,507</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2,565</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Total costs and expenses</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97,507</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76,203</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280,860</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224,454</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524"/>
        </w:trPr>
        <w:tc>
          <w:tcPr>
            <w:tcW w:w="5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28,842</w:t>
            </w:r>
          </w:p>
        </w:tc>
        <w:tc>
          <w:tcPr>
            <w:tcW w:w="78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21,203</w:t>
            </w:r>
          </w:p>
        </w:tc>
        <w:tc>
          <w:tcPr>
            <w:tcW w:w="420" w:type="dxa"/>
            <w:vAlign w:val="bottom"/>
          </w:tcPr>
          <w:p>
            <w:pPr>
              <w:spacing w:after="0"/>
              <w:rPr>
                <w:sz w:val="24"/>
                <w:szCs w:val="2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89,981</w:t>
            </w:r>
          </w:p>
        </w:tc>
        <w:tc>
          <w:tcPr>
            <w:tcW w:w="1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60,261</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Interest income, net</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2,157</w:t>
            </w:r>
          </w:p>
        </w:tc>
        <w:tc>
          <w:tcPr>
            <w:tcW w:w="78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939</w:t>
            </w:r>
          </w:p>
        </w:tc>
        <w:tc>
          <w:tcPr>
            <w:tcW w:w="420" w:type="dxa"/>
            <w:vAlign w:val="bottom"/>
          </w:tcPr>
          <w:p>
            <w:pPr>
              <w:spacing w:after="0"/>
              <w:rPr>
                <w:sz w:val="24"/>
                <w:szCs w:val="2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5,227</w:t>
            </w:r>
          </w:p>
        </w:tc>
        <w:tc>
          <w:tcPr>
            <w:tcW w:w="1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2,567</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 and income taxes</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30,999</w:t>
            </w:r>
          </w:p>
        </w:tc>
        <w:tc>
          <w:tcPr>
            <w:tcW w:w="78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22,142</w:t>
            </w:r>
          </w:p>
        </w:tc>
        <w:tc>
          <w:tcPr>
            <w:tcW w:w="420" w:type="dxa"/>
            <w:vAlign w:val="bottom"/>
          </w:tcPr>
          <w:p>
            <w:pPr>
              <w:spacing w:after="0"/>
              <w:rPr>
                <w:sz w:val="24"/>
                <w:szCs w:val="2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95,208</w:t>
            </w:r>
          </w:p>
        </w:tc>
        <w:tc>
          <w:tcPr>
            <w:tcW w:w="1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62,828</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30,999</w:t>
            </w:r>
          </w:p>
        </w:tc>
        <w:tc>
          <w:tcPr>
            <w:tcW w:w="78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22,142</w:t>
            </w:r>
          </w:p>
        </w:tc>
        <w:tc>
          <w:tcPr>
            <w:tcW w:w="4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95,208</w:t>
            </w:r>
          </w:p>
        </w:tc>
        <w:tc>
          <w:tcPr>
            <w:tcW w:w="1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62,853</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12,544</w:t>
            </w:r>
          </w:p>
        </w:tc>
        <w:tc>
          <w:tcPr>
            <w:tcW w:w="78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9,521</w:t>
            </w:r>
          </w:p>
        </w:tc>
        <w:tc>
          <w:tcPr>
            <w:tcW w:w="420" w:type="dxa"/>
            <w:vAlign w:val="bottom"/>
          </w:tcPr>
          <w:p>
            <w:pPr>
              <w:spacing w:after="0"/>
              <w:rPr>
                <w:sz w:val="24"/>
                <w:szCs w:val="2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39,511</w:t>
            </w:r>
          </w:p>
        </w:tc>
        <w:tc>
          <w:tcPr>
            <w:tcW w:w="1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27,027</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18,455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12,621</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55,697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35,826</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0.13</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0.55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0.36</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102,653</w:t>
            </w:r>
          </w:p>
        </w:tc>
        <w:tc>
          <w:tcPr>
            <w:tcW w:w="78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100,094</w:t>
            </w:r>
          </w:p>
        </w:tc>
        <w:tc>
          <w:tcPr>
            <w:tcW w:w="420" w:type="dxa"/>
            <w:vAlign w:val="bottom"/>
          </w:tcPr>
          <w:p>
            <w:pPr>
              <w:spacing w:after="0"/>
              <w:rPr>
                <w:sz w:val="24"/>
                <w:szCs w:val="2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102,124</w:t>
            </w:r>
          </w:p>
        </w:tc>
        <w:tc>
          <w:tcPr>
            <w:tcW w:w="12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98,896</w:t>
            </w:r>
          </w:p>
        </w:tc>
      </w:tr>
      <w:tr>
        <w:trPr>
          <w:trHeight w:val="175"/>
        </w:trPr>
        <w:tc>
          <w:tcPr>
            <w:tcW w:w="53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6"/>
              </w:rPr>
              <w:t>=========</w:t>
            </w:r>
          </w:p>
        </w:tc>
      </w:tr>
    </w:tbl>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See accompanying notes.</w:t>
      </w:r>
    </w:p>
    <w:p>
      <w:pPr>
        <w:spacing w:after="0" w:line="354"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900"/>
          </w:cols>
          <w:pgMar w:left="240" w:top="293" w:right="75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ind w:left="3000"/>
              <w:spacing w:after="0"/>
              <w:rPr>
                <w:sz w:val="20"/>
                <w:szCs w:val="20"/>
                <w:color w:val="auto"/>
              </w:rPr>
            </w:pPr>
            <w:r>
              <w:rPr>
                <w:rFonts w:ascii="Courier New" w:cs="Courier New" w:eastAsia="Courier New" w:hAnsi="Courier New"/>
                <w:sz w:val="15"/>
                <w:szCs w:val="15"/>
                <w:color w:val="auto"/>
              </w:rPr>
              <w:t>(In thousands)</w:t>
            </w:r>
          </w:p>
        </w:tc>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99"/>
        </w:trPr>
        <w:tc>
          <w:tcPr>
            <w:tcW w:w="6440" w:type="dxa"/>
            <w:vAlign w:val="bottom"/>
          </w:tcPr>
          <w:p>
            <w:pPr>
              <w:spacing w:after="0"/>
              <w:rPr>
                <w:sz w:val="24"/>
                <w:szCs w:val="24"/>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nine months ended June 30,</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1997</w:t>
            </w:r>
          </w:p>
        </w:tc>
        <w:tc>
          <w:tcPr>
            <w:tcW w:w="1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6440" w:type="dxa"/>
            <w:vAlign w:val="bottom"/>
          </w:tcPr>
          <w:p>
            <w:pPr>
              <w:ind w:left="360"/>
              <w:spacing w:after="0"/>
              <w:rPr>
                <w:sz w:val="20"/>
                <w:szCs w:val="20"/>
                <w:color w:val="auto"/>
              </w:rPr>
            </w:pPr>
            <w:r>
              <w:rPr>
                <w:rFonts w:ascii="Courier New" w:cs="Courier New" w:eastAsia="Courier New" w:hAnsi="Courier New"/>
                <w:sz w:val="15"/>
                <w:szCs w:val="15"/>
                <w:color w:val="auto"/>
              </w:rPr>
              <w:t>Cash provided by operating activities</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62,880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40,317</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Payment for businesses acquired (excluding cash acquired)</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(8,308)</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(18,292)</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Additions of property and equipment, net</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(14,267)</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(12,246)</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Marketable securities sold, net</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1,937</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7,243</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unconsolidated businesses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(8,283)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Loans to officers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(7,163)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Other investing</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ind w:left="540"/>
              <w:spacing w:after="0"/>
              <w:rPr>
                <w:sz w:val="20"/>
                <w:szCs w:val="20"/>
                <w:color w:val="auto"/>
              </w:rPr>
            </w:pPr>
            <w:r>
              <w:rPr>
                <w:rFonts w:ascii="Courier New" w:cs="Courier New" w:eastAsia="Courier New" w:hAnsi="Courier New"/>
                <w:sz w:val="15"/>
                <w:szCs w:val="15"/>
                <w:color w:val="auto"/>
              </w:rPr>
              <w:t>Cash used for investing activities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(36,087)</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(23,320)</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(4,450)</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and warrants</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13,558</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7,487</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Issuance of treasury stock</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176</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Distributions of capital between Dataquest and its former parent</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(1,687)</w:t>
            </w:r>
          </w:p>
        </w:tc>
      </w:tr>
      <w:tr>
        <w:trPr>
          <w:trHeight w:val="175"/>
        </w:trPr>
        <w:tc>
          <w:tcPr>
            <w:tcW w:w="6440" w:type="dxa"/>
            <w:vAlign w:val="bottom"/>
          </w:tcPr>
          <w:p>
            <w:pPr>
              <w:ind w:left="440"/>
              <w:spacing w:after="0"/>
              <w:rPr>
                <w:sz w:val="20"/>
                <w:szCs w:val="20"/>
                <w:color w:val="auto"/>
              </w:rPr>
            </w:pPr>
            <w:r>
              <w:rPr>
                <w:rFonts w:ascii="Courier New" w:cs="Courier New" w:eastAsia="Courier New" w:hAnsi="Courier New"/>
                <w:sz w:val="15"/>
                <w:szCs w:val="15"/>
                <w:color w:val="auto"/>
              </w:rPr>
              <w:t>Tax benefits of stock transactions with employees</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26,145</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23,223</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ind w:left="540"/>
              <w:spacing w:after="0"/>
              <w:rPr>
                <w:sz w:val="20"/>
                <w:szCs w:val="20"/>
                <w:color w:val="auto"/>
              </w:rPr>
            </w:pPr>
            <w:r>
              <w:rPr>
                <w:rFonts w:ascii="Courier New" w:cs="Courier New" w:eastAsia="Courier New" w:hAnsi="Courier New"/>
                <w:sz w:val="15"/>
                <w:szCs w:val="15"/>
                <w:color w:val="auto"/>
              </w:rPr>
              <w:t>Cash provided by financing activities</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39,879</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24,573</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66,672</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41,570</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Effects of foreign exchange rates on cash and cash equivalents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(1,657)</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(276)</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96,755</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66,581</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0"/>
        </w:trPr>
        <w:tc>
          <w:tcPr>
            <w:tcW w:w="64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$ 161,770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$ 107,875</w:t>
            </w:r>
          </w:p>
        </w:tc>
      </w:tr>
      <w:tr>
        <w:trPr>
          <w:trHeight w:val="175"/>
        </w:trPr>
        <w:tc>
          <w:tcPr>
            <w:tcW w:w="644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9"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NOTE TO CONSOLIDATED FINANCIAL STATEMENTS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Interim Consolidated Financial Statements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These interim consolidated financial statements have been prepared in accordance with generally accepted accounting principles for interim financial information and with the instructions to Form 10-Q and should be read in conjunction with the consolidated financial statements and related notes of Gartner Group, Inc. (the "Company") on Form 10-K for the fiscal year ended September 30, 1996. In the opinion of management, all adjustments (consisting of normal recurring adjustments) considered necessary for a fair presentation of financial position, results of operations and cash flows at the dates and for the periods presented have been included. The results of operations for the three and nine month periods ended June 30, 1997 may not be indicative of the results of operations for the remainder of fiscal 1997.</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Loans to Officers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June 4, 1997, with the Board of Directors approval, the Company provided loans totaling $7.2 million to certain officers to facilitate the purchase of common stock arising out of the exercise of stock options. The loan proceeds were not used to fund the option exercise price of the common stock acquired. The loans are full recourse obligations to the officers and are also secured by shares of the Company's stock. The loans bear interest at an annual rate of 6.14% and mature on June 3, 1999. The loans are included in Other Assets on the June 30, 1997 Balance Sheet.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Class B Common Stock Conversion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of June 30, 1997, the Company recorded the conversion of all Class B Common Stock into Class A Common Stock on a one for one basis, pursuant to a provision of the Articles of Incorporation which requires conversion when the Class B Common Stockholder's voting equity falls below a certain ownership percentage after considering all exercisable options and warrants outstanding.</w:t>
      </w:r>
    </w:p>
    <w:p>
      <w:pPr>
        <w:spacing w:after="0" w:line="178"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5"/>
          <w:szCs w:val="15"/>
          <w:color w:val="auto"/>
        </w:rPr>
        <w:t>Note 4 - Subsequent Event, Acquisition of</w:t>
        <w:tab/>
        <w:t>Datapro Information Services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August 1, 1997, the Company acquired Datapro Information Services ("Datapro"), a unit of McGraw-Hill Companies for consideration of approximately $25 million in cash. Datapro is a provider of information on product specifications and pricing, product comparisons, technology reports, market overviews, case studies and user ratings surveys. Datapro's subscription based products provide feature and side-by-side comparisons of computer hardware, software and communications products. The acquisition will be accounted for by the purchase method.</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4260"/>
        <w:spacing w:after="0" w:line="246" w:lineRule="auto"/>
        <w:rPr>
          <w:sz w:val="20"/>
          <w:szCs w:val="20"/>
          <w:color w:val="auto"/>
        </w:rPr>
      </w:pPr>
      <w:r>
        <w:rPr>
          <w:rFonts w:ascii="Courier New" w:cs="Courier New" w:eastAsia="Courier New" w:hAnsi="Courier New"/>
          <w:sz w:val="15"/>
          <w:szCs w:val="15"/>
          <w:color w:val="auto"/>
        </w:rPr>
        <w:t>The discussion and analysis below contains trend analysis and other forward-looking statements within the meaning of Section 27A of the Securities Act of 1933, as amended, and Section 21E of the Securities Exchange Act of 1934, as amended. Actual results could differ materially from those projected in the forward-looking statements as a result of the risk factors set forth below under "Quarterly Operating Income Trends," "Other Factors that May Affect Future Performance" and elsewhere in this report.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4340"/>
        <w:spacing w:after="0" w:line="247" w:lineRule="auto"/>
        <w:rPr>
          <w:sz w:val="20"/>
          <w:szCs w:val="20"/>
          <w:color w:val="auto"/>
        </w:rPr>
      </w:pPr>
      <w:r>
        <w:rPr>
          <w:rFonts w:ascii="Courier New" w:cs="Courier New" w:eastAsia="Courier New" w:hAnsi="Courier New"/>
          <w:sz w:val="15"/>
          <w:szCs w:val="15"/>
          <w:color w:val="auto"/>
        </w:rPr>
        <w:t>The following table sets forth certain results of operations as a percentage of total revenues: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3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For the three months ended</w:t>
            </w:r>
          </w:p>
        </w:tc>
        <w:tc>
          <w:tcPr>
            <w:tcW w:w="2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For the nine months ended</w:t>
            </w:r>
          </w:p>
        </w:tc>
      </w:tr>
      <w:tr>
        <w:trPr>
          <w:trHeight w:val="175"/>
        </w:trPr>
        <w:tc>
          <w:tcPr>
            <w:tcW w:w="5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June 30,</w:t>
            </w:r>
          </w:p>
        </w:tc>
        <w:tc>
          <w:tcPr>
            <w:tcW w:w="1220" w:type="dxa"/>
            <w:vAlign w:val="bottom"/>
          </w:tcPr>
          <w:p>
            <w:pPr>
              <w:spacing w:after="0"/>
              <w:rPr>
                <w:sz w:val="15"/>
                <w:szCs w:val="15"/>
                <w:color w:val="auto"/>
              </w:rPr>
            </w:pPr>
          </w:p>
        </w:tc>
        <w:tc>
          <w:tcPr>
            <w:tcW w:w="15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5440" w:type="dxa"/>
            <w:vAlign w:val="bottom"/>
          </w:tcPr>
          <w:p>
            <w:pPr>
              <w:spacing w:after="0"/>
              <w:rPr>
                <w:sz w:val="15"/>
                <w:szCs w:val="15"/>
                <w:color w:val="auto"/>
              </w:rPr>
            </w:pPr>
          </w:p>
        </w:tc>
        <w:tc>
          <w:tcPr>
            <w:tcW w:w="3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2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1997</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Research, advisory and benchmarking services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77.3%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principally conferences, consulting and training</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22.1</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20.5</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ind w:left="360"/>
              <w:spacing w:after="0"/>
              <w:rPr>
                <w:sz w:val="20"/>
                <w:szCs w:val="20"/>
                <w:color w:val="auto"/>
              </w:rPr>
            </w:pPr>
            <w:r>
              <w:rPr>
                <w:rFonts w:ascii="Courier New" w:cs="Courier New" w:eastAsia="Courier New" w:hAnsi="Courier New"/>
                <w:sz w:val="15"/>
                <w:szCs w:val="15"/>
                <w:color w:val="auto"/>
              </w:rPr>
              <w:t>Total revenues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Cost of services and product development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38.4</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40.0</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38.9</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35.2</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35.0</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Acquisition-related charges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0.9</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Total costs and expenses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77.2</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78.2</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75.7</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78.8</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22.8</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21.8</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24.3</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w:t>
            </w:r>
          </w:p>
        </w:tc>
      </w:tr>
      <w:tr>
        <w:trPr>
          <w:trHeight w:val="52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income, net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 and income taxes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22.8</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25.7</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w:t>
            </w:r>
          </w:p>
        </w:tc>
      </w:tr>
      <w:tr>
        <w:trPr>
          <w:trHeight w:val="524"/>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22.8</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25.7</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2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5"/>
        </w:trPr>
        <w:tc>
          <w:tcPr>
            <w:tcW w:w="54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4260"/>
        <w:spacing w:after="0" w:line="246" w:lineRule="auto"/>
        <w:rPr>
          <w:sz w:val="20"/>
          <w:szCs w:val="20"/>
          <w:color w:val="auto"/>
        </w:rPr>
      </w:pPr>
      <w:r>
        <w:rPr>
          <w:rFonts w:ascii="Courier New" w:cs="Courier New" w:eastAsia="Courier New" w:hAnsi="Courier New"/>
          <w:sz w:val="15"/>
          <w:szCs w:val="15"/>
          <w:color w:val="auto"/>
        </w:rPr>
        <w:t>TOTAL REVENUES increased 30% to $126.3 million for the third quarter of fiscal 1997 from $97.4 million for the third quarter of fiscal 1996. For the nine months ended June 30, 1997, total revenues were $370.8 million, up 30% from $284.7 million for the same period last fiscal year. Revenues from research, advisory and benchmarking services ("RABS") increased by 27% to $98.5 million from $77.5 million for the third quarter of fiscal 1996. RABS revenues increased 28% to $286.6 million for the nine months ended June 30, 1997, compared with $224.5 million for the same period last fiscal year. RABS encompass products which, on an ongoing basis, highlight industry developments, review new products and technologies, provide quantitative market research, analyze industry trends within a particular</w:t>
      </w:r>
    </w:p>
    <w:p>
      <w:pPr>
        <w:sectPr>
          <w:pgSz w:w="11900" w:h="16838" w:orient="portrait"/>
          <w:cols w:equalWidth="0" w:num="1">
            <w:col w:w="11520"/>
          </w:cols>
          <w:pgMar w:left="240" w:top="293" w:right="139" w:bottom="1440" w:gutter="0" w:footer="0" w:header="0"/>
        </w:sectPr>
      </w:pPr>
    </w:p>
    <w:p>
      <w:pPr>
        <w:spacing w:after="0" w:line="181" w:lineRule="exact"/>
        <w:rPr>
          <w:sz w:val="20"/>
          <w:szCs w:val="20"/>
          <w:color w:val="auto"/>
        </w:rPr>
      </w:pPr>
    </w:p>
    <w:p>
      <w:pPr>
        <w:ind w:left="71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1520"/>
          </w:cols>
          <w:pgMar w:left="240" w:top="293" w:right="139"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technology or market sector and provide comparative analysis of the information technology operations of organizations. The Company enters into annually renewable contracts for RABS. Revenues from RABS are recognized as products and services are delivered, and as the Company's obligation to the client is completed over the contract period. The increase in revenues from RABS reflects primarily strong market acceptance of new services introduced in fiscal 1996 and the first half of fiscal 1997, volume increases as a result of increased geographic and client penetration, and expansion of electronic distribution within client companies, all of which were offset partially by a volume pricing strategy that provides more value for the same dollars each year.</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Contract value increased 27% to $423.7 million at June 30, 1997 versus $334.5 million at June 30, 1996. The Company believes that contract value, which is calculated as the annualized value of all RABS contracts in effect at a given point in time, without regard to the duration of the RABS contracts outstanding at such time, is a significant measure of the Company's volume of RABS business. Historically, the Company has experienced that a substantial portion of client companies renew contracts for an equal or higher level of total payments each year, and annual RABS revenues in any fiscal year have approximated contract value at the beginning of the fiscal year. As of June 30, 1997, 84% of the Company's clients had renewed one or more RABS services in the last twelve months. However, this renewal rate is not necessarily indicative of the rate of retention of the Company's RABS revenue base, and contract value at any time may not be indicative of future RABS revenues or cash flows if the rate of renewal of contracts, or the timing of new business were to significantly change during the following twelve months compared to historic patterns. Total deferred revenues of $215.9 million and $201.4 million at June 30, 1997 and September 30, 1996, respectively, as presented in the Company's consolidated balance sheets, represent unamortized revenues from RABS contracts plus unamortized revenues of certain other products and services not included in RABS. Deferred revenues do not directly correlate to contract value as of the same date, since contract value represents an annualized value of all outstanding RABS contracts without regard to the duration of such contracts, and deferred revenue represents unamortized revenue remaining on all outstanding contracts including RABS and certain other products and services not included in RABS.</w:t>
      </w:r>
    </w:p>
    <w:p>
      <w:pPr>
        <w:spacing w:after="0" w:line="18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Other revenues for the third quarter of fiscal 1997 increased 40% to $27.9 million compared to $19.9 million for the third quarter of fiscal 1996. For the nine months ended June 30, 1997, other revenues were $84.2 million, up 40% from $60.2 million for the same period last fiscal year. Other revenues consist principally of revenues from conferences, consulting engagements and technology-based training products and publications. The increase of $8.0 million in the third quarter of fiscal 1997 over the third quarter of fiscal 1996 was primarily due to increased revenues from the Company's consulting and technology-based training businesses. Year to date, the increase in other revenues over the prior fiscal year is primarily attributable to increased revenues from the Company's Symposia conferences and ITxpo exhibition events held annually during the first quarter of the fiscal year, and to increased revenues in the consulting and technology-based training businesses.</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OPERATING INCOME rose 36% to $28.8 million, or 23% of total revenues, for the third quarter of fiscal 1997, from $21.2 million or 22% of total revenues in the third quarter of fiscal 1996. Operating income was $90.0 million for the nine months ended June 30, 1997, an increase of 49% over the $60.3 million for the same period in fiscal 1996. Excluding acquisition-related charges of $1.7 million in the first quarter of fiscal 1996, operating income for the nine months ended June 30, 1997 increased 45%. Operating income has increased as a result of solid revenue growth coupled with controlled spending that has allowed the Company to gain economies of scale through the leveraging of its resources (additional revenues have been generated using essentially the same resources). The Company's continued focus on margin improvement has favorably impacted operating results.</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While costs and expenses increased to $97.5 million in the third quarter of fiscal 1997 from $76.2 million in the third quarter of fiscal 1996, such costs decreased to 77% of total revenues from 78% in the third quarter of fiscal 1996. Year to date total costs and expenses were $280.9 million, or 76% of total revenues, compared to $224.5 million or 79% of total revenues for the same period last fiscal year. Cost of services and product development expenses were $48.5 million and $39.0 million for the third quarter of fiscal 1997 and 1996, respectively, and $144.3 million and $110.2 million for the nine months ended June 30, 1997 and 1996, respectively. This increase in expenses over the prior fiscal year reflects the need to provide additional support to the growing client base, including investment in strategic areas such as</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718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9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electronic and Internet distribution, costs associated with the implementation of the Company's new client inquiry process (QuickPath) and product development costs (particularly for technology-based training products). Cost of services and product development expenses, as a percentage of total revenues, decreased slightly from 40% for the third quarter of fiscal 1996 to 38% for the third quarter of fiscal 1997. The decrease was primarily attributable to improved gross margins on conferences as compared to the comprable quarter of the prior year and lower delivery cost per dollar of revenue generated due to increased electronic delivery of products. Selling, general and administrative expenses, which were $44.5 million and $34.1 million for the third quarter of fiscal 1997 and 1996, respectively, and $123.8 million and $103.6 million for the nine months ended June 30, 1997 and 1996, respectively, increased as a result of the Company's continuing expansion of worldwide distribution channels and resulting commissions earned on the revenue generated. The increase in commission expense was offset partially by the elimination and/or reduction of redundant general and administrative expenses, including personnel reductions and facility rationalization relating to the acquisition of Dataquest in December 1995, which had a favorable impact on general and administrative expenses. Although the Company has added general and administrative resources to support the growing revenue base, it has benefited from economies of scale and leveraging of its general and administrative staff and facilities. Consequently, selling, general and administrative expenses were 35% of total revenues for the third quarter of fiscal 1997 and 1996. For the nine months ended June 30, 1997, selling, general and administrative expenses were 33% of total revenues as compared to 36% of total revenues for the comprable period in the prior year.</w:t>
      </w:r>
    </w:p>
    <w:p>
      <w:pPr>
        <w:spacing w:after="0" w:line="19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Acquisition-related charges of $1.7 million in the first quarter of fiscal 1996 for the acquisition of Dataquest were not recurring in fiscal 1997. Additionally, amortization of intangibles increased by $0.6 million in the third quarter and $1.9 million year to date in fiscal 1997 as compared to the same periods in fiscal 1996, reflecting primarily goodwill associated with fiscal 1996 and 1997 acquisitions.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INTEREST INCOME, NET was $2.2 million for the third quarter of fiscal 1997, up from $0.9 million from the third quarter of fiscal 1996. For the nine months ended June 30, 1997 and 1996, interest income, net was $5.2 million and $2.6 million, respectively. These net increases resulted from interest income accumulating on the Company's cash, cash equivalents and marketable securities ($192.9 million at June 30, 1997, versus $118.7 million at June 30, 1996 and $129.9 million at September 30, 1996) and from reduced interest expense after remaining debt related to fiscal 1993 and 1994 acquisitions was paid during fiscal 1996. Interest rates were not a significant factor in the increase in interest income earned in the third quarter or first nine months of fiscal 1997 versus the same periods of fiscal 1996.</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PROVISION FOR INCOME TAXES increased to $12.5 million in the third quarter of fiscal 1997, compared to $9.5 million for the third quarter fiscal 1996. The effective tax rate for the third quarter and year to date fiscal 1997 was 40.5% and 41.5%, respectively, a decrease from 43% for the same periods last fiscal year. The decrease in the effective tax rate is due to on-going tax planning initiatives.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NET INCOME PER COMMON SHARE increased 38% to 18 cents per common share for the third quarter of fiscal 1997, compared to 13 cents for the third quarter of fiscal 1996. For the nine months ended June 30, 1997 and 1996, net income per common share was 55 cents and 36 cents, respectively, a 53% increase year over year.</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QUARTERLY OPERATING INCOME TRENDS. Historically, the Company has realized significant renewals and growth in contract value at the end of quarters. The fourth quarter of the fiscal year typically is the fastest growth quarter for contract value and the first quarter of the fiscal year typically represents the slowest growth quarter as it is the quarter in which the largest amount of contact renewals are due. As a result of the quarterly trends in contract value and overall business volume, fees receivable, deferred revenues, deferred commissions and commissions payable reflect this activity and typically show substantial increases at quarter end, particularly at fiscal year end. All contracts are billable upon signing, absent special terms granted on a limited basis from time to time. All contracts are non-cancellable and non-refundable, except for government contracts which have a 30-day cancellation clause, but which have not produced material cancellations to date. The Company's policy is to record at the time of signing of a RABS contract the entire amount of the contract billable as deferred revenue and fees receivable. The Company also records the related commission obligation upon the signing of the contract and amortizes the corresponding deferred commission expense over the contract period in which the related RABS revenues are earned and amortized to income.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718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93"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Historically, RABS revenues have increased significantly in the first quarter of the ensuing fiscal year over the immediately preceding quarter and other revenues have increased similarly due to annual conferences and exhibition events held in the first quarter. Additionally, operating income margin (operating income as a percentage of total revenues) typically improves in the first quarter of the fiscal year versus the immediately preceding quarter. The operating income margin improvement in the first quarter of the fiscal year is due to the increase in RABS revenue upon which the Company is able to further leverage its selling, general and administrative expenses, plus operating income generated on the first quarter Symposia and ITxpo exhibition events. While favorable versus the prior fiscal year, operating income margin generally is not as high in the second, third and fourth quarters of the fiscal year compared to the first quarter of the fiscal year as the operating income margins on the ITxpo conferences in the first fiscal quarter are higher than on conferences held later in the fiscal year. Additionally, the Company historically does not increase its level of spending until after the first quarter of the fiscal year, when the rate of growth in contract value becomes known. As a result, growth in operating expenses has typically lagged behind growth in revenues within a given year, and operating income margin has generally been higher in the earlier quarters of the fiscal year.</w:t>
      </w:r>
    </w:p>
    <w:p>
      <w:pPr>
        <w:spacing w:after="0" w:line="18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 FACTORS THAT MAY AFFECT FUTURE PERFORMANCE. The Company's future operating results will depend upon the Company's ability to continue to compete successfully in the market for information products and services. The Company faces competition from a significant number of independent providers of similar services, as well as the internal marketing and planning organizations of the Company's clients. The Company also competes indirectly against other information providers, including electronic and print media companies and consulting firms. In addition, there are limited barriers to entry into the Company's market and additional new competitors could readily emerge. There can be no assurance that the Company will be able to continue to provide the products and services that meet client needs as the Information Technology ("IT") market rapidly evolves, or that the Company can otherwise continue to compete successfully. In this regard, the Company's ability to compete is largely dependent upon the quality of its staff of IT analysts. Competition for qualified analysts is intense. There can be no assurance that the Company will be able to hire additional qualified IT analysts as may be required to support the evolving needs of customers or any growth in the Company's business. Any failure to maintain a premier staff of IT analysts could adversely affect the quality of the Company's products and services, and therefore its future business and operating results. Additionally, there may be increased business risk as the Company expands product and service offerings to smaller domestic companies. The Company's operating results are also subject to risks inherent in international sales, including changes in market demand as a result of exchange rate fluctuations, tariffs and other barriers, challenges in staffing and managing foreign sales operations, and higher levels of taxation on foreign income than domestic income. Further expansion would require additional management attention and financial resources.</w:t>
      </w:r>
    </w:p>
    <w:p>
      <w:pPr>
        <w:spacing w:after="0" w:line="19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expanded its presence in the technology-based training industry with the acquisition of J3 Learning Corporation in July 1996. The success of the Company in the technology-based training industry will depend on its ability to compete with vendors of IT products and services which include a range of education and training specialists, hardware and system manufacturers, software vendors, system integrators, dealers, value-added resellers and network/communications vendors, certain of whom have significantly greater product breadth and market presence in the technology-based training sector. There can be no assurance that the Company will be able to provide products that compare favorably with new competitive products or that competitive pressures will not require the Company to reduce prices. Future success will also depend on the Company's ability to develop new training products that are released timely with the introductions of the underlying software products.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has primarily financed its operations to date through cash provided by operating activities. The combination of revenue growth and operating income margin improvements have contributed to positive cash provided by operating activities for the nine months ended June 30, 1997. In addition, cash flow has been enhanced by the Company's continuing management of working capital requirements to support increased sales volumes from growth in the pre-existing businesses and growth due to acquisitions.</w:t>
      </w:r>
    </w:p>
    <w:p>
      <w:pPr>
        <w:spacing w:after="0" w:line="179"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cash and cash equivalents balance at June 30, 1997 and September 30, 1996 was $161.8 million and $96.8 million, respectively, while the marketable securities balance (including both current and long-term maturities) decreased to $31.2 million at June 30, 1997 from $33.1 million at September 30, 1996. Cash provided by operating activities totaled $62.9 million for the first nine months of fiscal 1997 (compared to $40.3 million for the first nine months of fiscal 1996) reflecting primarily the impact of increased revenues and operating margins which are related to quarterly operating trends in the balance sheet accounts, particularly fees receivable, deferred revenues, deferred commissions, commissions payable and bonuses payable. Cash used for investing activities was $36.1 million for the first nine months of fiscal 1997 (compared to $23.3 million of cash used for the first nine months of fiscal 1996) and consisted primarily of the addition of property and equipment for $14.3 million, acquisition of businesses of $8.3 million, investments in unconsolidated companies of approximately $8.3 million, and loans to officers of $7.2 million offset partially by cash provided by net proceeds on the sale of marketable securities of $1.9 million. Cash provided by financing activities totaled $39.9 million for the nine months ended June 30, 1997 (compared to $24.6 million of cash provided for the nine months ended June 30, 1996) and resulted primarily from $26.1 million in tax benefits from stock transactions with employees and $13.6 million from the issuance of common stock upon the exercise of employee stock options. The tax benefit of stock transactions with employees is due to a reduction in the corporate income tax liability based on an imputed compensation deduction equal to employees' gain upon the exercise of stock options at an exercise price below fair market value. The effect of exchange rates reduced cash and cash equivalents by $1.7 million through the nine months ended June 30, 1997, and was due to the strengthening of the U.S. dollar versus certain foreign currencies. Through June 30, 1996, the foreign denominated cash balances were significantly less and the exchange rate fluctuations were not as significant as in the current fiscal year, thereby resulting in a reduction of $0.3 million in cash.</w:t>
      </w:r>
    </w:p>
    <w:p>
      <w:pPr>
        <w:spacing w:after="0" w:line="19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available two unsecured credit lines, with The Bank of New York and Chase Manhattan Bank for $5.0 million and $25.0 million, respectively. These lines may be canceled by the banks at any time without prior notice or penalty. Additionally, the Company issues letters of credit in the ordinary course of business. The Company had outstanding letters of credit with Chase Manhattan Bank of $5.5 million and $2.0 million with The Bank of New York at June 30, 1997. The Company currently has no material capital commitments. The Company believes that its current cash balances and marketable securities, together with cash anticipated to be provided by operating activities and borrowings available under the existing lines of credit, will be sufficient for the expected short-term and foreseeable long-term cash needs of the Company, including possible acquisitions.</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As of June 30, 1997, the Company recorded the conversion of all Class B Common Stock into Class A Common Stock on a one for one basis, pursuant to a provision of the Articles of Incorporation which requires conversion when the Class B Common Stockholder's voting equity falls below a certain ownership percentage after considering all exercisable options and warrants outstanding.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February 1997, Statement of Financial Accounting Standard No. 128, "Earnings per Share" was issued. The statement sets forth guidance on the presentation of earnings per share and requires dual presentation of basic and diluted earnings per share on the face of the income statement. Basic earnings per share is computed by dividing net income available to common stockholders by the weighted average number of common shares outstanding for the period. Diluted earnings per share reflects the potential dilution that could occur if all common stock equivalents were exercised (similar to fully diluted earnings per share under APB Opinion No. 15). If the new standard was in effect during fiscal 1997, basic net income per share for the three months and nine months ended June 30, 1997 would have been $0.19 and $0.59 per share, respectively. Diluted income per share would have been $0.18 and $0.54 per share for the three months and nine months ended June 30, 1997, respectively. The Company is required to adopt the new standard in the first quarter of fiscal 1998.</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June 1997, Statement of Financial Accounting Standard ("SFAS") No. 130, "Reporting Comprehensive Income" and No. 131, "Disclosures about Segments of an Enterprise and Related Information" were issued. SFAS No. 130 establishes standards for reporting and disclosure of</w:t>
      </w:r>
    </w:p>
    <w:p>
      <w:pPr>
        <w:spacing w:after="0" w:line="177"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11" w:name="page12"/>
    <w:bookmarkEnd w:id="11"/>
    <w:p>
      <w:pPr>
        <w:ind w:left="267"/>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comprehensive income and its components in a full set of general-purpose financial statements. This statement requires that all items that are required to be recognized under accounting standards as components of comprehensive income be reported in a financial statement that is displayed with the same prominence as other financial statements. 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which is currently not required. It also establishes standards for related disclosures about products and services, geographic areas and major customers. The Company is required to adopt both new standards in the first quarter of 1999.</w:t>
      </w:r>
    </w:p>
    <w:p>
      <w:pPr>
        <w:spacing w:after="0" w:line="18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880" w:type="dxa"/>
            <w:vAlign w:val="bottom"/>
          </w:tcPr>
          <w:p>
            <w:pPr>
              <w:ind w:left="380"/>
              <w:spacing w:after="0"/>
              <w:rPr>
                <w:sz w:val="20"/>
                <w:szCs w:val="20"/>
                <w:color w:val="auto"/>
              </w:rPr>
            </w:pPr>
            <w:r>
              <w:rPr>
                <w:rFonts w:ascii="Courier New" w:cs="Courier New" w:eastAsia="Courier New" w:hAnsi="Courier New"/>
                <w:sz w:val="15"/>
                <w:szCs w:val="15"/>
                <w:color w:val="auto"/>
              </w:rPr>
              <w:t>Exhibit Number</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Description of</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Document</w:t>
            </w:r>
          </w:p>
        </w:tc>
        <w:tc>
          <w:tcPr>
            <w:tcW w:w="740" w:type="dxa"/>
            <w:vAlign w:val="bottom"/>
          </w:tcPr>
          <w:p>
            <w:pPr>
              <w:spacing w:after="0"/>
              <w:rPr>
                <w:sz w:val="14"/>
                <w:szCs w:val="14"/>
                <w:color w:val="auto"/>
              </w:rPr>
            </w:pPr>
          </w:p>
        </w:tc>
      </w:tr>
      <w:tr>
        <w:trPr>
          <w:trHeight w:val="350"/>
        </w:trPr>
        <w:tc>
          <w:tcPr>
            <w:tcW w:w="620" w:type="dxa"/>
            <w:vAlign w:val="bottom"/>
          </w:tcPr>
          <w:p>
            <w:pPr>
              <w:spacing w:after="0"/>
              <w:rPr>
                <w:sz w:val="24"/>
                <w:szCs w:val="24"/>
                <w:color w:val="auto"/>
              </w:rPr>
            </w:pPr>
          </w:p>
        </w:tc>
        <w:tc>
          <w:tcPr>
            <w:tcW w:w="1880" w:type="dxa"/>
            <w:vAlign w:val="bottom"/>
          </w:tcPr>
          <w:p>
            <w:pPr>
              <w:ind w:left="740"/>
              <w:spacing w:after="0"/>
              <w:rPr>
                <w:sz w:val="20"/>
                <w:szCs w:val="20"/>
                <w:color w:val="auto"/>
              </w:rPr>
            </w:pPr>
            <w:r>
              <w:rPr>
                <w:rFonts w:ascii="Courier New" w:cs="Courier New" w:eastAsia="Courier New" w:hAnsi="Courier New"/>
                <w:sz w:val="15"/>
                <w:szCs w:val="15"/>
                <w:color w:val="auto"/>
              </w:rPr>
              <w:t>10.7</w:t>
            </w:r>
          </w:p>
        </w:tc>
        <w:tc>
          <w:tcPr>
            <w:tcW w:w="46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Gartner Group, Inc. 1991 Stock Option Plan as</w:t>
            </w:r>
          </w:p>
        </w:tc>
      </w:tr>
      <w:tr>
        <w:trPr>
          <w:trHeight w:val="175"/>
        </w:trPr>
        <w:tc>
          <w:tcPr>
            <w:tcW w:w="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amended and restated on February 24, 1997</w:t>
            </w:r>
          </w:p>
        </w:tc>
        <w:tc>
          <w:tcPr>
            <w:tcW w:w="740" w:type="dxa"/>
            <w:vAlign w:val="bottom"/>
          </w:tcPr>
          <w:p>
            <w:pPr>
              <w:spacing w:after="0"/>
              <w:rPr>
                <w:sz w:val="15"/>
                <w:szCs w:val="15"/>
                <w:color w:val="auto"/>
              </w:rPr>
            </w:pPr>
          </w:p>
        </w:tc>
      </w:tr>
      <w:tr>
        <w:trPr>
          <w:trHeight w:val="350"/>
        </w:trPr>
        <w:tc>
          <w:tcPr>
            <w:tcW w:w="620" w:type="dxa"/>
            <w:vAlign w:val="bottom"/>
          </w:tcPr>
          <w:p>
            <w:pPr>
              <w:spacing w:after="0"/>
              <w:rPr>
                <w:sz w:val="24"/>
                <w:szCs w:val="24"/>
                <w:color w:val="auto"/>
              </w:rPr>
            </w:pPr>
          </w:p>
        </w:tc>
        <w:tc>
          <w:tcPr>
            <w:tcW w:w="1880" w:type="dxa"/>
            <w:vAlign w:val="bottom"/>
          </w:tcPr>
          <w:p>
            <w:pPr>
              <w:ind w:left="740"/>
              <w:spacing w:after="0"/>
              <w:rPr>
                <w:sz w:val="20"/>
                <w:szCs w:val="20"/>
                <w:color w:val="auto"/>
              </w:rPr>
            </w:pPr>
            <w:r>
              <w:rPr>
                <w:rFonts w:ascii="Courier New" w:cs="Courier New" w:eastAsia="Courier New" w:hAnsi="Courier New"/>
                <w:sz w:val="15"/>
                <w:szCs w:val="15"/>
                <w:color w:val="auto"/>
              </w:rPr>
              <w:t>10.10</w:t>
            </w:r>
          </w:p>
        </w:tc>
        <w:tc>
          <w:tcPr>
            <w:tcW w:w="3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Gartner Group, Inc. 1994 Long Term Stock</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Option</w:t>
            </w:r>
          </w:p>
        </w:tc>
      </w:tr>
      <w:tr>
        <w:trPr>
          <w:trHeight w:val="175"/>
        </w:trPr>
        <w:tc>
          <w:tcPr>
            <w:tcW w:w="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Plan as amended and restated on February</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24, 1997</w:t>
            </w:r>
          </w:p>
        </w:tc>
      </w:tr>
      <w:tr>
        <w:trPr>
          <w:trHeight w:val="350"/>
        </w:trPr>
        <w:tc>
          <w:tcPr>
            <w:tcW w:w="620" w:type="dxa"/>
            <w:vAlign w:val="bottom"/>
          </w:tcPr>
          <w:p>
            <w:pPr>
              <w:spacing w:after="0"/>
              <w:rPr>
                <w:sz w:val="24"/>
                <w:szCs w:val="24"/>
                <w:color w:val="auto"/>
              </w:rPr>
            </w:pPr>
          </w:p>
        </w:tc>
        <w:tc>
          <w:tcPr>
            <w:tcW w:w="1880" w:type="dxa"/>
            <w:vAlign w:val="bottom"/>
          </w:tcPr>
          <w:p>
            <w:pPr>
              <w:ind w:left="740"/>
              <w:spacing w:after="0"/>
              <w:rPr>
                <w:sz w:val="20"/>
                <w:szCs w:val="20"/>
                <w:color w:val="auto"/>
              </w:rPr>
            </w:pPr>
            <w:r>
              <w:rPr>
                <w:rFonts w:ascii="Courier New" w:cs="Courier New" w:eastAsia="Courier New" w:hAnsi="Courier New"/>
                <w:sz w:val="15"/>
                <w:szCs w:val="15"/>
                <w:color w:val="auto"/>
              </w:rPr>
              <w:t>10.16</w:t>
            </w:r>
          </w:p>
        </w:tc>
        <w:tc>
          <w:tcPr>
            <w:tcW w:w="3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Gartner Group, Inc. 1996 Long Term Stock</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Option</w:t>
            </w:r>
          </w:p>
        </w:tc>
      </w:tr>
      <w:tr>
        <w:trPr>
          <w:trHeight w:val="175"/>
        </w:trPr>
        <w:tc>
          <w:tcPr>
            <w:tcW w:w="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Plan as amended and restated on February</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24, 1997</w:t>
            </w:r>
          </w:p>
        </w:tc>
      </w:tr>
      <w:tr>
        <w:trPr>
          <w:trHeight w:val="350"/>
        </w:trPr>
        <w:tc>
          <w:tcPr>
            <w:tcW w:w="620" w:type="dxa"/>
            <w:vAlign w:val="bottom"/>
          </w:tcPr>
          <w:p>
            <w:pPr>
              <w:spacing w:after="0"/>
              <w:rPr>
                <w:sz w:val="24"/>
                <w:szCs w:val="24"/>
                <w:color w:val="auto"/>
              </w:rPr>
            </w:pPr>
          </w:p>
        </w:tc>
        <w:tc>
          <w:tcPr>
            <w:tcW w:w="1880" w:type="dxa"/>
            <w:vAlign w:val="bottom"/>
          </w:tcPr>
          <w:p>
            <w:pPr>
              <w:ind w:left="740"/>
              <w:spacing w:after="0"/>
              <w:rPr>
                <w:sz w:val="20"/>
                <w:szCs w:val="20"/>
                <w:color w:val="auto"/>
              </w:rPr>
            </w:pPr>
            <w:r>
              <w:rPr>
                <w:rFonts w:ascii="Courier New" w:cs="Courier New" w:eastAsia="Courier New" w:hAnsi="Courier New"/>
                <w:sz w:val="15"/>
                <w:szCs w:val="15"/>
                <w:color w:val="auto"/>
              </w:rPr>
              <w:t>11.1</w:t>
            </w:r>
          </w:p>
        </w:tc>
        <w:tc>
          <w:tcPr>
            <w:tcW w:w="46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Computation of Net Income per Common Share</w:t>
            </w:r>
          </w:p>
        </w:tc>
      </w:tr>
      <w:tr>
        <w:trPr>
          <w:trHeight w:val="350"/>
        </w:trPr>
        <w:tc>
          <w:tcPr>
            <w:tcW w:w="620" w:type="dxa"/>
            <w:vAlign w:val="bottom"/>
          </w:tcPr>
          <w:p>
            <w:pPr>
              <w:spacing w:after="0"/>
              <w:rPr>
                <w:sz w:val="24"/>
                <w:szCs w:val="24"/>
                <w:color w:val="auto"/>
              </w:rPr>
            </w:pPr>
          </w:p>
        </w:tc>
        <w:tc>
          <w:tcPr>
            <w:tcW w:w="1880" w:type="dxa"/>
            <w:vAlign w:val="bottom"/>
          </w:tcPr>
          <w:p>
            <w:pPr>
              <w:ind w:left="740"/>
              <w:spacing w:after="0"/>
              <w:rPr>
                <w:sz w:val="20"/>
                <w:szCs w:val="20"/>
                <w:color w:val="auto"/>
              </w:rPr>
            </w:pPr>
            <w:r>
              <w:rPr>
                <w:rFonts w:ascii="Courier New" w:cs="Courier New" w:eastAsia="Courier New" w:hAnsi="Courier New"/>
                <w:sz w:val="15"/>
                <w:szCs w:val="15"/>
                <w:color w:val="auto"/>
              </w:rPr>
              <w:t>27.1</w:t>
            </w:r>
          </w:p>
        </w:tc>
        <w:tc>
          <w:tcPr>
            <w:tcW w:w="3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Financial Data Schedule</w:t>
            </w:r>
          </w:p>
        </w:tc>
        <w:tc>
          <w:tcPr>
            <w:tcW w:w="740" w:type="dxa"/>
            <w:vAlign w:val="bottom"/>
          </w:tcPr>
          <w:p>
            <w:pPr>
              <w:spacing w:after="0"/>
              <w:rPr>
                <w:sz w:val="24"/>
                <w:szCs w:val="24"/>
                <w:color w:val="auto"/>
              </w:rPr>
            </w:pPr>
          </w:p>
        </w:tc>
      </w:tr>
    </w:tbl>
    <w:p>
      <w:pPr>
        <w:spacing w:after="0" w:line="179" w:lineRule="exact"/>
        <w:rPr>
          <w:sz w:val="20"/>
          <w:szCs w:val="20"/>
          <w:color w:val="auto"/>
        </w:rPr>
      </w:pPr>
    </w:p>
    <w:p>
      <w:pPr>
        <w:ind w:left="1367" w:right="3219" w:hanging="1367"/>
        <w:spacing w:after="0" w:line="247" w:lineRule="auto"/>
        <w:tabs>
          <w:tab w:leader="none" w:pos="1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by the Registrant during the fiscal quarter ended June 30, 1997.</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Items 1, 2, 3, 4 and 5 are not applicable and have been omitted.</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29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Gartner Group, Inc.</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3"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14,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F. Halligan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F. Halligan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180" w:lineRule="exact"/>
        <w:rPr>
          <w:sz w:val="20"/>
          <w:szCs w:val="20"/>
          <w:color w:val="auto"/>
        </w:rPr>
      </w:pPr>
    </w:p>
    <w:p>
      <w:pPr>
        <w:sectPr>
          <w:pgSz w:w="11900" w:h="16838" w:orient="portrait"/>
          <w:cols w:equalWidth="0" w:num="3">
            <w:col w:w="360" w:space="460"/>
            <w:col w:w="2720" w:space="720"/>
            <w:col w:w="5959"/>
          </w:cols>
          <w:pgMar w:left="240" w:top="293" w:right="1440" w:bottom="1440" w:gutter="0" w:footer="0" w:header="0"/>
          <w:type w:val="continuous"/>
        </w:sectPr>
      </w:pPr>
    </w:p>
    <w:p>
      <w:pPr>
        <w:jc w:val="right"/>
        <w:ind w:right="295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tbl>
      <w:tblPr>
        <w:tblLayout w:type="fixed"/>
        <w:tblInd w:w="74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EXHIBIT INDEX</w:t>
            </w:r>
          </w:p>
        </w:tc>
      </w:tr>
      <w:tr>
        <w:trPr>
          <w:trHeight w:val="175"/>
        </w:trPr>
        <w:tc>
          <w:tcPr>
            <w:tcW w:w="1500" w:type="dxa"/>
            <w:vAlign w:val="bottom"/>
          </w:tcPr>
          <w:p>
            <w:pPr>
              <w:spacing w:after="0"/>
              <w:rPr>
                <w:sz w:val="15"/>
                <w:szCs w:val="15"/>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50"/>
        </w:trPr>
        <w:tc>
          <w:tcPr>
            <w:tcW w:w="1500" w:type="dxa"/>
            <w:vAlign w:val="bottom"/>
          </w:tcPr>
          <w:p>
            <w:pPr>
              <w:spacing w:after="0"/>
              <w:rPr>
                <w:sz w:val="20"/>
                <w:szCs w:val="20"/>
                <w:color w:val="auto"/>
              </w:rPr>
            </w:pPr>
            <w:r>
              <w:rPr>
                <w:rFonts w:ascii="Courier New" w:cs="Courier New" w:eastAsia="Courier New" w:hAnsi="Courier New"/>
                <w:sz w:val="15"/>
                <w:szCs w:val="15"/>
                <w:color w:val="auto"/>
              </w:rPr>
              <w:t>Exhibit Number</w:t>
            </w: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Description of Document</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10.7(a)</w:t>
            </w: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Amendment effective February 24, 1997 to the 1991</w:t>
            </w:r>
          </w:p>
        </w:tc>
      </w:tr>
      <w:tr>
        <w:trPr>
          <w:trHeight w:val="175"/>
        </w:trPr>
        <w:tc>
          <w:tcPr>
            <w:tcW w:w="1500" w:type="dxa"/>
            <w:vAlign w:val="bottom"/>
          </w:tcPr>
          <w:p>
            <w:pPr>
              <w:spacing w:after="0"/>
              <w:rPr>
                <w:sz w:val="15"/>
                <w:szCs w:val="15"/>
                <w:color w:val="auto"/>
              </w:rPr>
            </w:pP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Stock Option Plan</w:t>
            </w:r>
          </w:p>
        </w:tc>
      </w:tr>
      <w:tr>
        <w:trPr>
          <w:trHeight w:val="350"/>
        </w:trPr>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10.10(a)</w:t>
            </w: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Amendment effective February 24, 1997 to the 1994</w:t>
            </w:r>
          </w:p>
        </w:tc>
      </w:tr>
      <w:tr>
        <w:trPr>
          <w:trHeight w:val="175"/>
        </w:trPr>
        <w:tc>
          <w:tcPr>
            <w:tcW w:w="1500" w:type="dxa"/>
            <w:vAlign w:val="bottom"/>
          </w:tcPr>
          <w:p>
            <w:pPr>
              <w:spacing w:after="0"/>
              <w:rPr>
                <w:sz w:val="15"/>
                <w:szCs w:val="15"/>
                <w:color w:val="auto"/>
              </w:rPr>
            </w:pP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Long Term Stock Option Plan</w:t>
            </w:r>
          </w:p>
        </w:tc>
      </w:tr>
      <w:tr>
        <w:trPr>
          <w:trHeight w:val="350"/>
        </w:trPr>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10.16(a)</w:t>
            </w: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Amendment effective February 24, 1997 to the 1996</w:t>
            </w:r>
          </w:p>
        </w:tc>
      </w:tr>
      <w:tr>
        <w:trPr>
          <w:trHeight w:val="175"/>
        </w:trPr>
        <w:tc>
          <w:tcPr>
            <w:tcW w:w="1500" w:type="dxa"/>
            <w:vAlign w:val="bottom"/>
          </w:tcPr>
          <w:p>
            <w:pPr>
              <w:spacing w:after="0"/>
              <w:rPr>
                <w:sz w:val="15"/>
                <w:szCs w:val="15"/>
                <w:color w:val="auto"/>
              </w:rPr>
            </w:pP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Long Term Stock Option Plan</w:t>
            </w:r>
          </w:p>
        </w:tc>
      </w:tr>
      <w:tr>
        <w:trPr>
          <w:trHeight w:val="350"/>
        </w:trPr>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11.1</w:t>
            </w: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Computation of Net Income per Common Share</w:t>
            </w:r>
          </w:p>
        </w:tc>
      </w:tr>
      <w:tr>
        <w:trPr>
          <w:trHeight w:val="350"/>
        </w:trPr>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27.1</w:t>
            </w:r>
          </w:p>
        </w:tc>
        <w:tc>
          <w:tcPr>
            <w:tcW w:w="4680" w:type="dxa"/>
            <w:vAlign w:val="bottom"/>
          </w:tcPr>
          <w:p>
            <w:pPr>
              <w:ind w:left="220"/>
              <w:spacing w:after="0"/>
              <w:rPr>
                <w:sz w:val="20"/>
                <w:szCs w:val="20"/>
                <w:color w:val="auto"/>
              </w:rPr>
            </w:pPr>
            <w:r>
              <w:rPr>
                <w:rFonts w:ascii="Courier New" w:cs="Courier New" w:eastAsia="Courier New" w:hAnsi="Courier New"/>
                <w:sz w:val="15"/>
                <w:szCs w:val="15"/>
                <w:color w:val="auto"/>
              </w:rPr>
              <w:t>Financial Data Schedule</w:t>
            </w:r>
          </w:p>
        </w:tc>
      </w:tr>
    </w:tbl>
    <w:p>
      <w:pPr>
        <w:sectPr>
          <w:pgSz w:w="11900" w:h="16838" w:orient="portrait"/>
          <w:cols w:equalWidth="0" w:num="1">
            <w:col w:w="9959"/>
          </w:cols>
          <w:pgMar w:left="500" w:top="29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10.7 (a)</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1991 STOCK OPTION PLAN</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AS AMENDED AND RESTATED ON FEBRUARY 24, 1997</w:t>
      </w:r>
    </w:p>
    <w:p>
      <w:pPr>
        <w:spacing w:after="0" w:line="354"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This 1991 Stock Option Plan is an amendment and restatement of the Gartner Group, Inc. 1991 Stock Option and Appreciation Right Incentive Compensation Plan.</w:t>
      </w:r>
    </w:p>
    <w:p>
      <w:pPr>
        <w:spacing w:after="0" w:line="174" w:lineRule="exact"/>
        <w:rPr>
          <w:sz w:val="20"/>
          <w:szCs w:val="20"/>
          <w:color w:val="auto"/>
        </w:rPr>
      </w:pPr>
    </w:p>
    <w:p>
      <w:pPr>
        <w:ind w:right="2959" w:firstLine="811"/>
        <w:spacing w:after="0" w:line="246" w:lineRule="auto"/>
        <w:tabs>
          <w:tab w:leader="none" w:pos="109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 The purpose of this Stock Option Plan is to enable the Company to provide incentive to eligible employees, consultants and officers whose present and potential contributions are important to the continued success of the Company, to afford these individuals the opportunity to acquire a proprietary interest in the Company, and to enable the Company to enlist and retain in its employment qualified personnel for the successful conduct of its business. It is intended that this purpose will be effected through the granting of (a) stock options, (b) stock purchase rights, (c) stock appreciation rights, and (d) long-term performance awards.</w:t>
      </w:r>
    </w:p>
    <w:p>
      <w:pPr>
        <w:spacing w:after="0" w:line="180"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179"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such of its Committees as shall be administering the Plan, in accordance with Section 8 of the Plan.</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 administration of stock option plans under applicable securities laws, Delaware corporate law and the Code.</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 with Section 8 of the Plan.</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$.01 par value,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Gartner Group, Inc., a Delaware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previously known as GGI Holding Corporation.</w:t>
      </w:r>
    </w:p>
    <w:p>
      <w:pPr>
        <w:spacing w:after="0" w:line="179"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 Company or a Parent or Subsidiary to render services and who is compensated for such services, provided that the term "Consultant" shall not include Directors who are paid only</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2"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 director's fee by the Company or who are not compensated by the Company for their services as Directors.</w:t>
      </w:r>
    </w:p>
    <w:p>
      <w:pPr>
        <w:spacing w:after="0" w:line="175" w:lineRule="exact"/>
        <w:rPr>
          <w:sz w:val="20"/>
          <w:szCs w:val="20"/>
          <w:color w:val="auto"/>
        </w:rPr>
      </w:pPr>
    </w:p>
    <w:p>
      <w:pPr>
        <w:ind w:right="2959" w:firstLine="1629"/>
        <w:spacing w:after="0" w:line="246" w:lineRule="auto"/>
        <w:tabs>
          <w:tab w:leader="none" w:pos="19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or Consultant" means that the employment or consulting relationship is not interrupted or terminated by the Company, or any Parent or Subsidiary. Continuous Status as an Employee or Consultant shall not be considered interrupted in the case of: (i) any leave of absence approved by the Administrator, including sick leave, military leave, or any other personal leave; provided, however, that for purposes of Continuous Status as an Employee or Consultant, no such leave may exceed ninety (90) days, unless reemployment upon the expiration of such leave is guaranteed by contract (including written Company policies) or statute or unless (in the case of Options and Rights other than Incentive Stock Options) the Administrator has expressly designated a longer leave period during which (for purposes of such Options or Rights) Continuous Status as an Employee or Consultant shall continue; or (ii) transfers between locations of the Company or between the Company, its Parent, its Subsidiaries or its successor; and provided further that any vesting or lapsing of the Company's right to repurchase Shares at their original purchase price shall cease on the ninety-first (91st) consecutive day of any leave of absence approved by the Administrator and shall not recommence until such date, if any, upon which the Consultant or Optionee resumes his or her service with the Company.</w:t>
      </w:r>
    </w:p>
    <w:p>
      <w:pPr>
        <w:spacing w:after="0" w:line="186"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179" w:lineRule="exact"/>
        <w:rPr>
          <w:rFonts w:ascii="Courier New" w:cs="Courier New" w:eastAsia="Courier New" w:hAnsi="Courier New"/>
          <w:sz w:val="15"/>
          <w:szCs w:val="15"/>
          <w:color w:val="auto"/>
        </w:rPr>
      </w:pPr>
    </w:p>
    <w:p>
      <w:pPr>
        <w:ind w:right="3499" w:firstLine="1629"/>
        <w:spacing w:after="0" w:line="247" w:lineRule="auto"/>
        <w:tabs>
          <w:tab w:leader="none" w:pos="19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 Section 22(e)(3) of the Code.</w:t>
      </w:r>
    </w:p>
    <w:p>
      <w:pPr>
        <w:spacing w:after="0" w:line="174"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77"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amended.</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Common Stock determined as follows:</w:t>
      </w:r>
    </w:p>
    <w:p>
      <w:pPr>
        <w:spacing w:after="0" w:line="174" w:lineRule="exact"/>
        <w:rPr>
          <w:rFonts w:ascii="Courier New" w:cs="Courier New" w:eastAsia="Courier New" w:hAnsi="Courier New"/>
          <w:sz w:val="15"/>
          <w:szCs w:val="15"/>
          <w:color w:val="auto"/>
        </w:rPr>
      </w:pPr>
    </w:p>
    <w:p>
      <w:pPr>
        <w:ind w:left="3260" w:right="2959" w:hanging="813"/>
        <w:spacing w:after="0" w:line="246" w:lineRule="auto"/>
        <w:tabs>
          <w:tab w:leader="none" w:pos="326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average of the closing sales prices for such stock (or the average of the closing bids, if no sales were reported) as quoted</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on such system or exchange (or the exchange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with the greatest volume of trading in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 on the five market trading</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days immediately preceding the date 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determination, as reported in The Wall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Street Journal or such other source as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Administrator of the Plan deems reliable;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provided, however, that in the event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Fair Market Value as so determined is more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than 20% greater or more than 20% less than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closing sales price for such stock (or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closing bid, if no sales were reported)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 so quoted on the date of determination,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then the Administrator shall be entitled to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determine the Fair Market Value in good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faith, at a price within the range of prices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from the Fair Market Value as otherwise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determined above to the closing price (or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closing bid, as applicable) on the date 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determination;</w:t>
      </w:r>
    </w:p>
    <w:p>
      <w:pPr>
        <w:spacing w:after="0" w:line="180" w:lineRule="exact"/>
        <w:rPr>
          <w:sz w:val="20"/>
          <w:szCs w:val="20"/>
          <w:color w:val="auto"/>
        </w:rPr>
      </w:pPr>
    </w:p>
    <w:p>
      <w:pPr>
        <w:ind w:left="3000" w:right="2959" w:hanging="813"/>
        <w:spacing w:after="0" w:line="246" w:lineRule="auto"/>
        <w:tabs>
          <w:tab w:leader="none" w:pos="30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NASDAQ System (but not on the Nasdaq National Market thereof) or is regularly quoted by a recognized securities dealer but selling prices are not reported, the Fair Market Value of a Share of Common Stock shall be the average of the means between the high bid and low asked prices for the Common Stock on the five market trading days immediately preceding the day of determination, as reported in The Wall Street Journal or such other source as the Administrator deems reliable; provided, however, that in the event the Fair Market Value as so determined is more than 20% greater or more than 20% less than the mean between the high bid and low asked prices for such stock as so quoted on the date of determination, then the Administrator shall be entitled to determine the Fair Market Value in good faith, at a price within the range of prices from the Fair Market Value as otherwise determined above to the mean between the high bid and low asked prices on the date of determination;</w:t>
      </w:r>
    </w:p>
    <w:p>
      <w:pPr>
        <w:spacing w:after="0" w:line="189" w:lineRule="exact"/>
        <w:rPr>
          <w:rFonts w:ascii="Courier New" w:cs="Courier New" w:eastAsia="Courier New" w:hAnsi="Courier New"/>
          <w:sz w:val="15"/>
          <w:szCs w:val="15"/>
          <w:color w:val="auto"/>
        </w:rPr>
      </w:pPr>
    </w:p>
    <w:p>
      <w:pPr>
        <w:ind w:left="3000" w:right="3039" w:hanging="813"/>
        <w:spacing w:after="0" w:line="246" w:lineRule="auto"/>
        <w:tabs>
          <w:tab w:leader="none" w:pos="30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shall be determined in good faith by the Administrator.</w:t>
      </w:r>
    </w:p>
    <w:p>
      <w:pPr>
        <w:spacing w:after="0" w:line="177" w:lineRule="exact"/>
        <w:rPr>
          <w:rFonts w:ascii="Courier New" w:cs="Courier New" w:eastAsia="Courier New" w:hAnsi="Courier New"/>
          <w:sz w:val="15"/>
          <w:szCs w:val="15"/>
          <w:color w:val="auto"/>
        </w:rPr>
      </w:pPr>
    </w:p>
    <w:p>
      <w:pPr>
        <w:ind w:left="-260" w:right="3219" w:firstLine="1629"/>
        <w:spacing w:after="0" w:line="247" w:lineRule="auto"/>
        <w:tabs>
          <w:tab w:leader="none" w:pos="173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 and the regulations promulgated thereunder.</w:t>
      </w:r>
    </w:p>
    <w:p>
      <w:pPr>
        <w:spacing w:after="0" w:line="174"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Performance Award" means an award under Section 7 below. A Long-Term Performance Award shall permit the recipient to receive a cash or stock bonus (as determined by the Administrator) upon satisfaction of such performance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factors as are set out in the recipient's individual grant. Long-term Performance Awards will be based upon the achievement of Company, Subsidiary and/or individual performance factors or upon such other criteria as the Administrator may deem appropriate.</w:t>
      </w:r>
    </w:p>
    <w:p>
      <w:pPr>
        <w:spacing w:after="0" w:line="177" w:lineRule="exact"/>
        <w:rPr>
          <w:sz w:val="20"/>
          <w:szCs w:val="20"/>
          <w:color w:val="auto"/>
        </w:rPr>
      </w:pPr>
    </w:p>
    <w:p>
      <w:pPr>
        <w:ind w:right="3039" w:firstLine="1629"/>
        <w:spacing w:after="0" w:line="246" w:lineRule="auto"/>
        <w:tabs>
          <w:tab w:leader="none" w:pos="19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Performance Award Agreement" means a written agreement between the Company and an Optionee evidencing the terms and conditions of an individual Long-Term Performance Award grant. The Long-Term Performance Award Agreement is subject to the terms and conditions of the Plan.</w:t>
      </w:r>
    </w:p>
    <w:p>
      <w:pPr>
        <w:spacing w:after="0" w:line="177"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any Option that is not an Incentive Stock Option.</w:t>
      </w:r>
    </w:p>
    <w:p>
      <w:pPr>
        <w:spacing w:after="0" w:line="174"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 conditions of an individual Option, Stock Purchase Right, SAR or Long-Term Performance Award grant. The Notice of Grant is part of the Option Agreement, the SAR Agreement and the Long-Term Performance Award Agreement.</w:t>
      </w:r>
    </w:p>
    <w:p>
      <w:pPr>
        <w:spacing w:after="0" w:line="177"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77" w:lineRule="exact"/>
        <w:rPr>
          <w:rFonts w:ascii="Courier New" w:cs="Courier New" w:eastAsia="Courier New" w:hAnsi="Courier New"/>
          <w:sz w:val="15"/>
          <w:szCs w:val="15"/>
          <w:color w:val="auto"/>
        </w:rPr>
      </w:pPr>
    </w:p>
    <w:p>
      <w:pPr>
        <w:ind w:right="3679" w:firstLine="1629"/>
        <w:spacing w:after="0" w:line="247" w:lineRule="auto"/>
        <w:tabs>
          <w:tab w:leader="none" w:pos="19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Exchange Program" means a program whereby outstanding options are surrendered in exchange for options with a lower exercise price.</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or Right.</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 outstanding Option or Right.</w:t>
      </w:r>
    </w:p>
    <w:p>
      <w:pPr>
        <w:spacing w:after="0" w:line="175" w:lineRule="exact"/>
        <w:rPr>
          <w:sz w:val="20"/>
          <w:szCs w:val="20"/>
          <w:color w:val="auto"/>
        </w:rPr>
      </w:pPr>
    </w:p>
    <w:p>
      <w:pPr>
        <w:ind w:left="2080" w:hanging="451"/>
        <w:spacing w:after="0"/>
        <w:tabs>
          <w:tab w:leader="none" w:pos="20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hereafter existing, as defined in Section 424(e) of the Code.</w:t>
      </w:r>
    </w:p>
    <w:p>
      <w:pPr>
        <w:spacing w:after="0" w:line="179" w:lineRule="exact"/>
        <w:rPr>
          <w:rFonts w:ascii="Courier New" w:cs="Courier New" w:eastAsia="Courier New" w:hAnsi="Courier New"/>
          <w:sz w:val="15"/>
          <w:szCs w:val="15"/>
          <w:color w:val="auto"/>
        </w:rPr>
      </w:pPr>
    </w:p>
    <w:p>
      <w:pPr>
        <w:ind w:left="2080" w:hanging="451"/>
        <w:spacing w:after="0"/>
        <w:tabs>
          <w:tab w:leader="none" w:pos="20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Stock Option Plan, formerly the 1991</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and Appreciation Right Incentive Compensation Plan.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jc w:val="both"/>
        <w:ind w:right="3139" w:firstLine="1629"/>
        <w:spacing w:after="0" w:line="247"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means shares of Common Stock subject to a Restricted Stock Purchase Agreement acquired pursuant to a grant of Stock Purchase Rights under Section 6 below.</w:t>
      </w:r>
    </w:p>
    <w:p>
      <w:pPr>
        <w:spacing w:after="0" w:line="174" w:lineRule="exact"/>
        <w:rPr>
          <w:rFonts w:ascii="Courier New" w:cs="Courier New" w:eastAsia="Courier New" w:hAnsi="Courier New"/>
          <w:sz w:val="15"/>
          <w:szCs w:val="15"/>
          <w:color w:val="auto"/>
        </w:rPr>
      </w:pPr>
    </w:p>
    <w:p>
      <w:pPr>
        <w:ind w:right="3219" w:firstLine="1629"/>
        <w:spacing w:after="0" w:line="246"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Purchase Agreement" means a written agreement between the Company and the Optionee evidencing the terms and restrictions applying to stock purchased under a Stock Purchase Right. The Restricted Stock Purchase Agreement is subject to the terms and conditions of the Plan and the Notice of Grant.</w:t>
      </w:r>
    </w:p>
    <w:p>
      <w:pPr>
        <w:spacing w:after="0" w:line="177" w:lineRule="exact"/>
        <w:rPr>
          <w:rFonts w:ascii="Courier New" w:cs="Courier New" w:eastAsia="Courier New" w:hAnsi="Courier New"/>
          <w:sz w:val="15"/>
          <w:szCs w:val="15"/>
          <w:color w:val="auto"/>
        </w:rPr>
      </w:pPr>
    </w:p>
    <w:p>
      <w:pPr>
        <w:ind w:left="2080" w:hanging="451"/>
        <w:spacing w:after="0"/>
        <w:tabs>
          <w:tab w:leader="none" w:pos="20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means and includes SARs, Long-Term Performance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Awards and Stock Purchase Rights granted pursuant to the Plan.</w:t>
      </w:r>
    </w:p>
    <w:p>
      <w:pPr>
        <w:spacing w:after="0" w:line="179" w:lineRule="exact"/>
        <w:rPr>
          <w:rFonts w:ascii="Courier New" w:cs="Courier New" w:eastAsia="Courier New" w:hAnsi="Courier New"/>
          <w:sz w:val="15"/>
          <w:szCs w:val="15"/>
          <w:color w:val="auto"/>
        </w:rPr>
      </w:pPr>
    </w:p>
    <w:p>
      <w:pPr>
        <w:ind w:right="3039" w:firstLine="1629"/>
        <w:spacing w:after="0" w:line="247"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of the Exchange Act or any successor rule thereto, as in effect when discretion is being exercised with respect to the Plan.</w:t>
      </w:r>
    </w:p>
    <w:p>
      <w:pPr>
        <w:spacing w:after="0" w:line="174" w:lineRule="exact"/>
        <w:rPr>
          <w:rFonts w:ascii="Courier New" w:cs="Courier New" w:eastAsia="Courier New" w:hAnsi="Courier New"/>
          <w:sz w:val="15"/>
          <w:szCs w:val="15"/>
          <w:color w:val="auto"/>
        </w:rPr>
      </w:pPr>
    </w:p>
    <w:p>
      <w:pPr>
        <w:ind w:right="3139" w:firstLine="1629"/>
        <w:spacing w:after="0" w:line="247"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 means a stock appreciation right granted pursuant to Section 5 of the Plan.</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 Agreement" means a written agreement between the Company and an Optionee evidencing the terms and conditions of an individual SAR grant. The SAR Agreement is subject to the terms and conditions of the Plan.</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 with Section 10 of the Plan.</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Right" means the right to purchase Common Stock pursuant to Section 6 of the Plan, as evidenced by a Notice of Grant.</w:t>
      </w:r>
    </w:p>
    <w:p>
      <w:pPr>
        <w:spacing w:after="0" w:line="174" w:lineRule="exact"/>
        <w:rPr>
          <w:rFonts w:ascii="Courier New" w:cs="Courier New" w:eastAsia="Courier New" w:hAnsi="Courier New"/>
          <w:sz w:val="15"/>
          <w:szCs w:val="15"/>
          <w:color w:val="auto"/>
        </w:rPr>
      </w:pPr>
    </w:p>
    <w:p>
      <w:pPr>
        <w:ind w:right="3219" w:firstLine="1629"/>
        <w:spacing w:after="0" w:line="247" w:lineRule="auto"/>
        <w:tabs>
          <w:tab w:leader="none" w:pos="20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"subsidiary corporation," whether now or hereafter existing, as defined in Section 424(f) of the Code.</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 Subject to the provisions of Section 10 of the Plan, the total number of Shares reserved and available for distribution under the Plan is 5,700,000 Shares. Subject to Section 10 of the Plan, if any Shares that have been optioned under an Option cease to be subject to such Option (other than through exercise of the Option), or if any Option or Right granted hereunder is forfeited or any such award otherwise terminates prior to the issuance of Common Stock to the participant, the shares that were subject to such Option or Right shall again be available for distribution in connection with future Option or right grants under the Plan; provided, however, that Shares that have actually been issued under the Plan, whether upon exercise of an Option or Right, shall not in any event be returned to the Plan and shall not become available for future distribution under the Plan.</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260" w:right="2959" w:firstLine="811"/>
        <w:spacing w:after="0" w:line="246" w:lineRule="auto"/>
        <w:tabs>
          <w:tab w:leader="none" w:pos="83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Nonstatutory Stock Options and Rights may be granted to Employees and Consultants. Incentive Stock Options may be granted only to Employees. If otherwise eligible, an Employee or Consultant who has been granted an Option or Right may be granted additional Options or Rights.</w:t>
      </w:r>
    </w:p>
    <w:p>
      <w:pPr>
        <w:spacing w:after="0" w:line="177" w:lineRule="exact"/>
        <w:rPr>
          <w:rFonts w:ascii="Courier New" w:cs="Courier New" w:eastAsia="Courier New" w:hAnsi="Courier New"/>
          <w:sz w:val="15"/>
          <w:szCs w:val="15"/>
          <w:color w:val="auto"/>
        </w:rPr>
      </w:pPr>
    </w:p>
    <w:p>
      <w:pPr>
        <w:ind w:left="820" w:hanging="269"/>
        <w:spacing w:after="0"/>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SARs.</w:t>
      </w:r>
    </w:p>
    <w:p>
      <w:pPr>
        <w:spacing w:after="0" w:line="179"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The Administrator, in its discretion, may grant Options to eligible participants and shall determine whether such Options shall be Incentive Stock Options or Nonstatutory Stock Options. Each Option shall be evidenced by a Notice of Grant which shall expressly identify the Options as Incentive Stock Options or as Nonstatutory Stock Options, and be in such form and contain such provisions as the Administrator shall from time to time deem appropriate. Without limiting the foregoing, the Administrator may at any time authorize the Company, with the consent of the respective recipients, to issue new Options or Rights in exchange for the surrender and cancellation of outstanding Options or Rights. Option agreements shall contain the following terms and conditions:</w:t>
      </w:r>
    </w:p>
    <w:p>
      <w:pPr>
        <w:spacing w:after="0" w:line="181"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Number of Shares. The per Share exercise price for the Shares issuable pursuant to an Option shall be such price as is determined by the Administrator; provided, however, that in the case of an Incentive Stock Option, the price shall be no less than 100% of the Fair Market Value of the Common Stock on the date the Option is granted, subject to any additional conditions set out in Section 5(a)(iv) below.</w:t>
      </w:r>
    </w:p>
    <w:p>
      <w:pPr>
        <w:spacing w:after="0" w:line="181" w:lineRule="exact"/>
        <w:rPr>
          <w:rFonts w:ascii="Courier New" w:cs="Courier New" w:eastAsia="Courier New" w:hAnsi="Courier New"/>
          <w:sz w:val="15"/>
          <w:szCs w:val="15"/>
          <w:color w:val="auto"/>
        </w:rPr>
      </w:pPr>
    </w:p>
    <w:p>
      <w:pPr>
        <w:ind w:left="3000"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of Grant shall specify the number of Shares to which it pertains.</w:t>
      </w:r>
    </w:p>
    <w:p>
      <w:pPr>
        <w:spacing w:after="0" w:line="174"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 granted, the Administrator will determine the terms and conditions to be satisfied before Shares may be purchased, including the dates on which Shares subject to the Option may first be purchased. The Administrator may specify that an Option may not be exercised until the completion of the service period specified at the time of grant. (Any such period is referred to herein as the "waiting period.") At the time an Option is granted, the Administrator shall fix the period within which the Option may be exercised, which shall not be earlier than the end of the waiting period, if any, nor, in the case of an Incentive Stock Option, later than ten (10) years, from the date of grant.</w:t>
      </w:r>
    </w:p>
    <w:p>
      <w:pPr>
        <w:spacing w:after="0" w:line="18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3000" w:right="3039" w:hanging="813"/>
        <w:spacing w:after="0" w:line="246" w:lineRule="auto"/>
        <w:tabs>
          <w:tab w:leader="none" w:pos="30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The consideration to be paid for the Shares to be issued upon exercise of an Option, including the method of payment, shall be determined by the Administrator (and, in the case of an Incentive Stock Option, shall be determined at the time of grant) and may consist entirely of:</w:t>
      </w:r>
    </w:p>
    <w:p>
      <w:pPr>
        <w:spacing w:after="0" w:line="179" w:lineRule="exact"/>
        <w:rPr>
          <w:rFonts w:ascii="Courier New" w:cs="Courier New" w:eastAsia="Courier New" w:hAnsi="Courier New"/>
          <w:sz w:val="15"/>
          <w:szCs w:val="15"/>
          <w:color w:val="auto"/>
        </w:rPr>
      </w:pPr>
    </w:p>
    <w:p>
      <w:pPr>
        <w:ind w:left="3360" w:hanging="355"/>
        <w:spacing w:after="0"/>
        <w:tabs>
          <w:tab w:leader="none" w:pos="336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3360" w:hanging="355"/>
        <w:spacing w:after="0"/>
        <w:tabs>
          <w:tab w:leader="none" w:pos="336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left="3360" w:hanging="355"/>
        <w:spacing w:after="0"/>
        <w:tabs>
          <w:tab w:leader="none" w:pos="336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9" w:lineRule="exact"/>
        <w:rPr>
          <w:rFonts w:ascii="Courier New" w:cs="Courier New" w:eastAsia="Courier New" w:hAnsi="Courier New"/>
          <w:sz w:val="15"/>
          <w:szCs w:val="15"/>
          <w:color w:val="auto"/>
        </w:rPr>
      </w:pPr>
    </w:p>
    <w:p>
      <w:pPr>
        <w:ind w:left="3000" w:right="2959" w:firstLine="5"/>
        <w:spacing w:after="0" w:line="246" w:lineRule="auto"/>
        <w:tabs>
          <w:tab w:leader="none" w:pos="33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(1) in the case of Shares acquired upon exercise of an option, have been owned by the Optionee for more than six months on the date of surrender, and (2) have a Fair Market Value on the date of surrender not greater than the aggregate exercise price of the Shares as to which said Option shall be exercised;</w:t>
      </w:r>
    </w:p>
    <w:p>
      <w:pPr>
        <w:spacing w:after="0" w:line="179" w:lineRule="exact"/>
        <w:rPr>
          <w:rFonts w:ascii="Courier New" w:cs="Courier New" w:eastAsia="Courier New" w:hAnsi="Courier New"/>
          <w:sz w:val="15"/>
          <w:szCs w:val="15"/>
          <w:color w:val="auto"/>
        </w:rPr>
      </w:pPr>
    </w:p>
    <w:p>
      <w:pPr>
        <w:ind w:left="3000" w:right="2959" w:firstLine="5"/>
        <w:spacing w:after="0" w:line="246" w:lineRule="auto"/>
        <w:tabs>
          <w:tab w:leader="none" w:pos="33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any broker approved by the Company, if applicable, shall require to effect an exercise of the Option and delivery to the Company of the sale or loan proceeds required to pay the exercise price;</w:t>
      </w:r>
    </w:p>
    <w:p>
      <w:pPr>
        <w:spacing w:after="0" w:line="179" w:lineRule="exact"/>
        <w:rPr>
          <w:rFonts w:ascii="Courier New" w:cs="Courier New" w:eastAsia="Courier New" w:hAnsi="Courier New"/>
          <w:sz w:val="15"/>
          <w:szCs w:val="15"/>
          <w:color w:val="auto"/>
        </w:rPr>
      </w:pPr>
    </w:p>
    <w:p>
      <w:pPr>
        <w:ind w:left="3000" w:right="2959" w:firstLine="5"/>
        <w:spacing w:after="0" w:line="247" w:lineRule="auto"/>
        <w:tabs>
          <w:tab w:leader="none" w:pos="33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4" w:lineRule="exact"/>
        <w:rPr>
          <w:rFonts w:ascii="Courier New" w:cs="Courier New" w:eastAsia="Courier New" w:hAnsi="Courier New"/>
          <w:sz w:val="15"/>
          <w:szCs w:val="15"/>
          <w:color w:val="auto"/>
        </w:rPr>
      </w:pPr>
    </w:p>
    <w:p>
      <w:pPr>
        <w:ind w:left="3000" w:right="3139" w:firstLine="5"/>
        <w:spacing w:after="0" w:line="247" w:lineRule="auto"/>
        <w:tabs>
          <w:tab w:leader="none" w:pos="33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 issuance of Shares to the extent permitted by Applicable Laws.</w:t>
      </w:r>
    </w:p>
    <w:p>
      <w:pPr>
        <w:spacing w:after="0" w:line="174"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Incentive Stock Option Provisions. In addition to the foregoing, Options granted under the Plan which are intended to be Incentive Stock Options under Section 422 of the Code shall be subject to the following terms and conditions:</w:t>
      </w:r>
    </w:p>
    <w:p>
      <w:pPr>
        <w:spacing w:after="0" w:line="178" w:lineRule="exact"/>
        <w:rPr>
          <w:rFonts w:ascii="Courier New" w:cs="Courier New" w:eastAsia="Courier New" w:hAnsi="Courier New"/>
          <w:sz w:val="15"/>
          <w:szCs w:val="15"/>
          <w:color w:val="auto"/>
        </w:rPr>
      </w:pPr>
    </w:p>
    <w:p>
      <w:pPr>
        <w:ind w:left="3000" w:right="3139" w:firstLine="5"/>
        <w:spacing w:after="0" w:line="246" w:lineRule="auto"/>
        <w:tabs>
          <w:tab w:leader="none" w:pos="3364"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 Limitation. To the extent that the aggregate Fair Market Value of (a) the Shares with respect to which Options designated as Incentive Stock Options plus</w:t>
      </w:r>
    </w:p>
    <w:p>
      <w:pPr>
        <w:spacing w:after="0" w:line="2" w:lineRule="exact"/>
        <w:rPr>
          <w:rFonts w:ascii="Courier New" w:cs="Courier New" w:eastAsia="Courier New" w:hAnsi="Courier New"/>
          <w:sz w:val="15"/>
          <w:szCs w:val="15"/>
          <w:color w:val="auto"/>
        </w:rPr>
      </w:pPr>
    </w:p>
    <w:p>
      <w:pPr>
        <w:ind w:left="3000"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the shares of stock of the Company, Parent and any Subsidiary with respect to which other incentive stock options are exercisable for the first time by an Optionee during any calendar year under all plans of the Company and any Parent and Subsidiary exceeds $100,000, such Options shall be treated as Nonstatutory Stock</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Options. For purposes of the preceding</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sentence, (a) Options shall be taken into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account in the order in which they were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granted, and (b) the Fair Market Value 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Shares shall be determined as of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time the Option or other incentive stock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option is granted.</w:t>
      </w:r>
    </w:p>
    <w:p>
      <w:pPr>
        <w:spacing w:after="0" w:line="180" w:lineRule="exact"/>
        <w:rPr>
          <w:sz w:val="20"/>
          <w:szCs w:val="20"/>
          <w:color w:val="auto"/>
        </w:rPr>
      </w:pPr>
    </w:p>
    <w:p>
      <w:pPr>
        <w:ind w:left="3000" w:right="2959" w:firstLine="5"/>
        <w:spacing w:after="0" w:line="246" w:lineRule="auto"/>
        <w:tabs>
          <w:tab w:leader="none" w:pos="336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Stockholder. If any Optionee to whom an Incentive Stock Option is to be granted pursuant to the provisions of the Plan is, on the date of grant, the owner of Common Stock (as determined under Section 424(d) of the Code) possessing more than 10% of the total combined voting power of all classes of stock of the Company or any Parent or Subsidiary of the Company, then the following special provisions shall be applicable to the Option granted to such individual:</w:t>
      </w:r>
    </w:p>
    <w:p>
      <w:pPr>
        <w:spacing w:after="0" w:line="182" w:lineRule="exact"/>
        <w:rPr>
          <w:rFonts w:ascii="Courier New" w:cs="Courier New" w:eastAsia="Courier New" w:hAnsi="Courier New"/>
          <w:sz w:val="15"/>
          <w:szCs w:val="15"/>
          <w:color w:val="auto"/>
        </w:rPr>
      </w:pPr>
    </w:p>
    <w:p>
      <w:pPr>
        <w:ind w:left="3740" w:right="3039" w:hanging="8"/>
        <w:spacing w:after="0" w:line="246" w:lineRule="auto"/>
        <w:tabs>
          <w:tab w:leader="none" w:pos="4103"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Option price of Shares subject to such Incentive Stock Option shall not be less than 110% of the Fair Market Value of Common Stock on the date of grant; and</w:t>
      </w:r>
    </w:p>
    <w:p>
      <w:pPr>
        <w:spacing w:after="0" w:line="17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(b)The Option shall not have a term</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in excess of five (5) years from the</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date of grant.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Except as modified by the preceding</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provisions of this subsection 5(a)(iv) and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except as otherwise limited by Section 422</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of the Code, all of the provisions of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Plan shall be applicable to the Incentive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Stock Options granted hereunder.</w:t>
      </w:r>
    </w:p>
    <w:p>
      <w:pPr>
        <w:spacing w:after="0" w:line="180" w:lineRule="exact"/>
        <w:rPr>
          <w:sz w:val="20"/>
          <w:szCs w:val="20"/>
          <w:color w:val="auto"/>
        </w:rPr>
      </w:pPr>
    </w:p>
    <w:p>
      <w:pPr>
        <w:ind w:left="3000" w:right="3039" w:hanging="813"/>
        <w:spacing w:after="0" w:line="246" w:lineRule="auto"/>
        <w:tabs>
          <w:tab w:leader="none" w:pos="300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Each Option granted under the Plan may contain such other terms, provisions, and conditions not inconsistent with the Plan as may be determined by the Administrator.</w:t>
      </w:r>
    </w:p>
    <w:p>
      <w:pPr>
        <w:spacing w:after="0" w:line="177"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Buyout Provisions. The Administrator may at any time offer to buy out for a payment in cash or Shares, an Option previously granted, based on such terms and conditions as the Administrator shall establish and communicate to the Optionee at the time that such offer is made.</w:t>
      </w:r>
    </w:p>
    <w:p>
      <w:pPr>
        <w:spacing w:after="0" w:line="179" w:lineRule="exact"/>
        <w:rPr>
          <w:rFonts w:ascii="Courier New" w:cs="Courier New" w:eastAsia="Courier New" w:hAnsi="Courier New"/>
          <w:sz w:val="15"/>
          <w:szCs w:val="15"/>
          <w:color w:val="auto"/>
        </w:rPr>
      </w:pPr>
    </w:p>
    <w:p>
      <w:pPr>
        <w:ind w:left="2180" w:hanging="811"/>
        <w:spacing w:after="0"/>
        <w:tabs>
          <w:tab w:leader="none" w:pos="2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SARs.</w:t>
      </w:r>
    </w:p>
    <w:p>
      <w:pPr>
        <w:spacing w:after="0" w:line="179"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Options. At the sole discretion of the Administrator, SARs may be granted in connection with all or any part of an Option, either concurrently with the grant of the</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Option or at any time thereafter during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term of the Option. The following provisions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apply to SARs that are granted in connection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with Options:</w:t>
      </w:r>
    </w:p>
    <w:p>
      <w:pPr>
        <w:spacing w:after="0" w:line="180" w:lineRule="exact"/>
        <w:rPr>
          <w:sz w:val="20"/>
          <w:szCs w:val="20"/>
          <w:color w:val="auto"/>
        </w:rPr>
      </w:pPr>
    </w:p>
    <w:p>
      <w:pPr>
        <w:ind w:left="3000" w:right="2959" w:firstLine="5"/>
        <w:spacing w:after="0" w:line="246" w:lineRule="auto"/>
        <w:tabs>
          <w:tab w:leader="none" w:pos="336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SAR shall entitle the Optionee to exercise the SAR by surrendering to the Company unexercised a portion of the related Option. The Optionee shall receive in Exchange from the Company an amount equal to the excess of (1) the Fair Market Value on the date of exercise of the SAR of the Common Stock covered by the surrendered portion of the related Option over (2) the exercise price of the Common Stock covered by the surrendered portion of the related Option. Notwithstanding the foregoing, the Administrator may place limits on the amount that may be paid upon exercise of an SAR; provided, however, that such limit shall not restrict the exercisability of the related Option.</w:t>
      </w:r>
    </w:p>
    <w:p>
      <w:pPr>
        <w:spacing w:after="0" w:line="185" w:lineRule="exact"/>
        <w:rPr>
          <w:rFonts w:ascii="Courier New" w:cs="Courier New" w:eastAsia="Courier New" w:hAnsi="Courier New"/>
          <w:sz w:val="15"/>
          <w:szCs w:val="15"/>
          <w:color w:val="auto"/>
        </w:rPr>
      </w:pPr>
    </w:p>
    <w:p>
      <w:pPr>
        <w:ind w:left="3000" w:right="3219" w:firstLine="5"/>
        <w:spacing w:after="0" w:line="247" w:lineRule="auto"/>
        <w:tabs>
          <w:tab w:leader="none" w:pos="336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an SAR is exercised, the related Option, to the extent surrendered, shall cease to be exercisable.</w:t>
      </w:r>
    </w:p>
    <w:p>
      <w:pPr>
        <w:spacing w:after="0" w:line="174" w:lineRule="exact"/>
        <w:rPr>
          <w:rFonts w:ascii="Courier New" w:cs="Courier New" w:eastAsia="Courier New" w:hAnsi="Courier New"/>
          <w:sz w:val="15"/>
          <w:szCs w:val="15"/>
          <w:color w:val="auto"/>
        </w:rPr>
      </w:pPr>
    </w:p>
    <w:p>
      <w:pPr>
        <w:ind w:left="3000" w:right="2959" w:firstLine="5"/>
        <w:spacing w:after="0" w:line="246" w:lineRule="auto"/>
        <w:tabs>
          <w:tab w:leader="none" w:pos="336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SAR shall be exercisable only when and to the extent that the related Option is exercisable and shall expire no later than the date on which the related Option expires.</w:t>
      </w:r>
    </w:p>
    <w:p>
      <w:pPr>
        <w:spacing w:after="0" w:line="177" w:lineRule="exact"/>
        <w:rPr>
          <w:rFonts w:ascii="Courier New" w:cs="Courier New" w:eastAsia="Courier New" w:hAnsi="Courier New"/>
          <w:sz w:val="15"/>
          <w:szCs w:val="15"/>
          <w:color w:val="auto"/>
        </w:rPr>
      </w:pPr>
    </w:p>
    <w:p>
      <w:pPr>
        <w:ind w:left="3000" w:right="3039" w:firstLine="5"/>
        <w:spacing w:after="0" w:line="246" w:lineRule="auto"/>
        <w:tabs>
          <w:tab w:leader="none" w:pos="336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SAR may only be exercised at a time when the Fair Market Value of the Common Stock covered by the related Option exceeds the exercise price of the Common Stock covered by the related Option.</w:t>
      </w:r>
    </w:p>
    <w:p>
      <w:pPr>
        <w:spacing w:after="0" w:line="177"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of Options. At the sole discretion of the Administrator, SARs may be granted without related Options. The following provisions apply to SARs that are not granted in connection with Options:</w:t>
      </w:r>
    </w:p>
    <w:p>
      <w:pPr>
        <w:spacing w:after="0" w:line="177" w:lineRule="exact"/>
        <w:rPr>
          <w:rFonts w:ascii="Courier New" w:cs="Courier New" w:eastAsia="Courier New" w:hAnsi="Courier New"/>
          <w:sz w:val="15"/>
          <w:szCs w:val="15"/>
          <w:color w:val="auto"/>
        </w:rPr>
      </w:pPr>
    </w:p>
    <w:p>
      <w:pPr>
        <w:ind w:left="3000" w:right="2959" w:firstLine="5"/>
        <w:spacing w:after="0" w:line="246" w:lineRule="auto"/>
        <w:tabs>
          <w:tab w:leader="none" w:pos="3364"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SAR shall entitle the Optionee, by exercising the SAR, to receive from the Company an amount equal to the excess of (1) the Fair Market Value of the Common Stock covered by the exercised portion of the SAR, as of the date of such exercise, over (2) the Fair Market Value of the Common Stock covered by the exercised portion of the SAR, as of the last market trading date prior to the date on which the SAR was granted; provided, however, that the Administrator may place limits on the aggregate amount that may be paid upon exercise of an SAR.</w:t>
      </w:r>
    </w:p>
    <w:p>
      <w:pPr>
        <w:spacing w:after="0" w:line="1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3000" w:right="3039" w:firstLine="5"/>
        <w:spacing w:after="0" w:line="246" w:lineRule="auto"/>
        <w:tabs>
          <w:tab w:leader="none" w:pos="3364"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SARs shall be exercisable, in whole or in part, at such times as the Administrator shall specify in the Optionee's SAR agreement.</w:t>
      </w:r>
    </w:p>
    <w:p>
      <w:pPr>
        <w:spacing w:after="0" w:line="177"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The Company's obligation arising upon the exercise of an SAR may be paid in Common Stock or in cash, or in any combination of Common Stock and cash, as the Administrator, in its sole discretion, may determine. Shares issued upon the exercise of an SAR shall be valued at their Fair Market Value as of the date of exercise.</w:t>
      </w:r>
    </w:p>
    <w:p>
      <w:pPr>
        <w:spacing w:after="0" w:line="179" w:lineRule="exact"/>
        <w:rPr>
          <w:rFonts w:ascii="Courier New" w:cs="Courier New" w:eastAsia="Courier New" w:hAnsi="Courier New"/>
          <w:sz w:val="15"/>
          <w:szCs w:val="15"/>
          <w:color w:val="auto"/>
        </w:rPr>
      </w:pPr>
    </w:p>
    <w:p>
      <w:pPr>
        <w:ind w:left="2180" w:hanging="811"/>
        <w:spacing w:after="0"/>
        <w:tabs>
          <w:tab w:leader="none" w:pos="2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w:t>
      </w:r>
    </w:p>
    <w:p>
      <w:pPr>
        <w:spacing w:after="0" w:line="179"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Stockholder. Any Option or SAR granted hereunder shall be exercisable at such times and under such conditions as determined by the Administrator and as shall be permissible under the terms of the Plan.</w:t>
      </w:r>
    </w:p>
    <w:p>
      <w:pPr>
        <w:spacing w:after="0" w:line="178" w:lineRule="exact"/>
        <w:rPr>
          <w:rFonts w:ascii="Courier New" w:cs="Courier New" w:eastAsia="Courier New" w:hAnsi="Courier New"/>
          <w:sz w:val="15"/>
          <w:szCs w:val="15"/>
          <w:color w:val="auto"/>
        </w:rPr>
      </w:pPr>
    </w:p>
    <w:p>
      <w:pPr>
        <w:ind w:left="3000" w:right="36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may not be exercised for a fraction of a Share.</w:t>
      </w:r>
    </w:p>
    <w:p>
      <w:pPr>
        <w:spacing w:after="0" w:line="174" w:lineRule="exact"/>
        <w:rPr>
          <w:rFonts w:ascii="Courier New" w:cs="Courier New" w:eastAsia="Courier New" w:hAnsi="Courier New"/>
          <w:sz w:val="15"/>
          <w:szCs w:val="15"/>
          <w:color w:val="auto"/>
        </w:rPr>
      </w:pPr>
    </w:p>
    <w:p>
      <w:pPr>
        <w:ind w:left="300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or SAR shall be deemed to be exercised when written notice of such exercise has been given to the Company in accordance with the terms of the Option or SAR by the person entitled to exercise the Option or SAR and full payment for the Shares with respect to which the Option is exercised has been received by the Company. Full payment may, as authorized by the Administrator (and, in the case of an Incentive Stock Option, determined at the time of grant) and permitted by the Option Agreement consist of any consideration and method of payment allowable under subsection 5(a)(iii) of the Plan. Until the issuance (as evidenced by the appropriate entry on the books of the Company or of a duly authorized transfer agent of the Company) of the stock certificate evidencing such Shares, no right to vote or receive dividends or any other rights as a stockholder shall exist with respect to the Optioned Stock, notwithstanding the exercise of the Option. No adjustment will be made for a dividend or other right for which the record date is prior to the date the stock certificate is issued, except as provided in Section 10 of the Plan.</w:t>
      </w:r>
    </w:p>
    <w:p>
      <w:pPr>
        <w:spacing w:after="0" w:line="19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Exercise of an Option in any manner shall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result in a decrease in the number of Shares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which thereafter shall be available, both</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for purposes of the Plan and for sale under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Option, by the number of Shares as to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which the Option is exercised. Exercise 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an SAR in any manner shall, to the extent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SAR is exercised, result in a decrease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the number of Shares which thereafter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shall be available for purposes of the Plan,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and the SAR shall cease to be exercisable to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extent it has been exercised.</w:t>
      </w:r>
    </w:p>
    <w:p>
      <w:pPr>
        <w:spacing w:after="0" w:line="180" w:lineRule="exact"/>
        <w:rPr>
          <w:sz w:val="20"/>
          <w:szCs w:val="20"/>
          <w:color w:val="auto"/>
        </w:rPr>
      </w:pPr>
    </w:p>
    <w:p>
      <w:pPr>
        <w:ind w:left="3000" w:right="3039" w:hanging="813"/>
        <w:spacing w:after="0" w:line="246" w:lineRule="auto"/>
        <w:tabs>
          <w:tab w:leader="none" w:pos="30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Options and SARs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80"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 In the event an Optionee's Continuous Status as an Employee or Consultant terminates (other than upon the Optionee's death or Disability), the Optionee may exercise his or her Option or SAR, but only within such period of time as is determined by the Administrator at the time of grant, not to exceed six (6) months (three (3) months in the case of an Incentive Stock Option) from the date of such termination, and only to the extent that the Optionee was entitled to exercise it at the date of such termination (but in no event later than the expiration of the term of such Option or SAR as set forth in the Option or SAR Agreement). To the extent that Optionee was not entitled to exercise an Option or SAR at the date of such termination, and to the extent that the Optionee does not exercise such Option or SAR (to the extent otherwise so entitled) within the time specified herein, the Option or SAR shall terminate.</w:t>
      </w:r>
    </w:p>
    <w:p>
      <w:pPr>
        <w:spacing w:after="0" w:line="189"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In the event an Optionee's Continuous Status as an Employee or Consultant terminates as a result of the Optionee's Disability, the Optionee may exercise his or her Option or SAR, but only within six (6) months from the date of such termination, and only to the extent that the Optionee was entitled to exercise it at the date of such termination (but in no event later than the expiration of the term of such Option or SAR as set forth in the Option or SAR</w:t>
      </w:r>
    </w:p>
    <w:p>
      <w:pPr>
        <w:spacing w:after="0" w:line="18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9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Agreement). To the extent that Optionee was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not entitled to exercise an Option or SAR at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date of such termination, and to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extent that the Optionee does not exercise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such Option or SAR (to the extent otherwise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so entitled) within the time specified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herein, the Option or SAR shall terminate.</w:t>
      </w:r>
    </w:p>
    <w:p>
      <w:pPr>
        <w:spacing w:after="0" w:line="180" w:lineRule="exact"/>
        <w:rPr>
          <w:sz w:val="20"/>
          <w:szCs w:val="20"/>
          <w:color w:val="auto"/>
        </w:rPr>
      </w:pPr>
    </w:p>
    <w:p>
      <w:pPr>
        <w:ind w:left="3000" w:right="2959" w:hanging="813"/>
        <w:spacing w:after="0" w:line="246" w:lineRule="auto"/>
        <w:tabs>
          <w:tab w:leader="none" w:pos="300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Notwithstanding Sections 5(c)(iii) and 5(c)(iv) above, in the event of an Optionee's death during Optionee's Continuous Status as an Employee or Consultant, the Optionee's estate or a person who acquired the right to exercise the deceased Optionee's Option or SAR by bequest or inheritance may exercise the Option or SAR, but only within six (6) months (or such lesser period as the Option or SAR Agreement may provide, or such longer period, not to exceed twelve (12) months, as the Option or SAR Agreement may provide) following the date of death, and only to the extent that the Optionee was entitled to exercise it at the date of death (but in no event later than the expiration of the full term of such Option or SAR as set forth in the Option or SAR Agreement). To the extent that Optionee was not entitled to exercise an Option or SAR at the date of death, and to the extent that the Optionee's estate or a person who acquired the right to exercise such Option does not exercise such Option or SAR (to the extent otherwise so entitled) within the time specified herein, the Option or SAR shall terminate.</w:t>
      </w:r>
    </w:p>
    <w:p>
      <w:pPr>
        <w:spacing w:after="0" w:line="191" w:lineRule="exact"/>
        <w:rPr>
          <w:rFonts w:ascii="Courier New" w:cs="Courier New" w:eastAsia="Courier New" w:hAnsi="Courier New"/>
          <w:sz w:val="15"/>
          <w:szCs w:val="15"/>
          <w:color w:val="auto"/>
        </w:rPr>
      </w:pPr>
    </w:p>
    <w:p>
      <w:pPr>
        <w:ind w:left="2180" w:right="3219" w:hanging="811"/>
        <w:spacing w:after="0" w:line="247" w:lineRule="auto"/>
        <w:tabs>
          <w:tab w:leader="none" w:pos="2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limitations shall apply to grants of Options to Employees:</w:t>
      </w:r>
    </w:p>
    <w:p>
      <w:pPr>
        <w:spacing w:after="0" w:line="174" w:lineRule="exact"/>
        <w:rPr>
          <w:rFonts w:ascii="Courier New" w:cs="Courier New" w:eastAsia="Courier New" w:hAnsi="Courier New"/>
          <w:sz w:val="15"/>
          <w:szCs w:val="15"/>
          <w:color w:val="auto"/>
        </w:rPr>
      </w:pPr>
    </w:p>
    <w:p>
      <w:pPr>
        <w:jc w:val="both"/>
        <w:ind w:left="1360" w:right="3039" w:firstLine="827"/>
        <w:spacing w:after="0" w:line="247" w:lineRule="auto"/>
        <w:tabs>
          <w:tab w:leader="none" w:pos="2541"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shall be granted, in any fiscal year of the Company, Options to purchase more than 500,000 shares.</w:t>
      </w:r>
    </w:p>
    <w:p>
      <w:pPr>
        <w:spacing w:after="0" w:line="175" w:lineRule="exact"/>
        <w:rPr>
          <w:sz w:val="20"/>
          <w:szCs w:val="20"/>
          <w:color w:val="auto"/>
        </w:rPr>
      </w:pPr>
    </w:p>
    <w:p>
      <w:pPr>
        <w:ind w:left="1360" w:right="3039" w:firstLine="827"/>
        <w:spacing w:after="0" w:line="246" w:lineRule="auto"/>
        <w:tabs>
          <w:tab w:leader="none" w:pos="263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his or her initial employment, an Employee may be granted Options to purchase up to an additional 500,000 Shares which shall not count against the limit set forth in subsection (i) above.</w:t>
      </w:r>
    </w:p>
    <w:p>
      <w:pPr>
        <w:spacing w:after="0" w:line="177" w:lineRule="exact"/>
        <w:rPr>
          <w:rFonts w:ascii="Courier New" w:cs="Courier New" w:eastAsia="Courier New" w:hAnsi="Courier New"/>
          <w:sz w:val="15"/>
          <w:szCs w:val="15"/>
          <w:color w:val="auto"/>
        </w:rPr>
      </w:pPr>
    </w:p>
    <w:p>
      <w:pPr>
        <w:ind w:left="1360" w:right="2959" w:firstLine="827"/>
        <w:spacing w:after="0" w:line="247" w:lineRule="auto"/>
        <w:tabs>
          <w:tab w:leader="none" w:pos="272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limitations shall be adjusted proportionately in connection with any change in the Company's capitalization as described in Section 10.</w:t>
      </w:r>
    </w:p>
    <w:p>
      <w:pPr>
        <w:spacing w:after="0" w:line="174" w:lineRule="exact"/>
        <w:rPr>
          <w:rFonts w:ascii="Courier New" w:cs="Courier New" w:eastAsia="Courier New" w:hAnsi="Courier New"/>
          <w:sz w:val="15"/>
          <w:szCs w:val="15"/>
          <w:color w:val="auto"/>
        </w:rPr>
      </w:pPr>
    </w:p>
    <w:p>
      <w:pPr>
        <w:ind w:left="1360" w:right="2959" w:firstLine="827"/>
        <w:spacing w:after="0" w:line="246" w:lineRule="auto"/>
        <w:tabs>
          <w:tab w:leader="none" w:pos="263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is canceled in the same fiscal year of the Company in which it was granted (other than in connection with a transaction describe in Section 10), the canceled Option will be counted against the limit set forth in Section 5(d)(i). For this purpose, if the exercise price of an Option is reduced,</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9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the transaction will be treated as a cancellation of the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Option and the grant of a new Option.</w:t>
      </w:r>
    </w:p>
    <w:p>
      <w:pPr>
        <w:spacing w:after="0" w:line="180" w:lineRule="exact"/>
        <w:rPr>
          <w:sz w:val="20"/>
          <w:szCs w:val="20"/>
          <w:color w:val="auto"/>
        </w:rPr>
      </w:pPr>
    </w:p>
    <w:p>
      <w:pPr>
        <w:ind w:left="1360" w:hanging="809"/>
        <w:spacing w:after="0"/>
        <w:tabs>
          <w:tab w:leader="none" w:pos="1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Rights.</w:t>
      </w:r>
    </w:p>
    <w:p>
      <w:pPr>
        <w:spacing w:after="0" w:line="179"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Purchase. Stock Purchase Rights may be issued either alone, in addition to, or in tandem with other awards granted under the Plan and/or cash awards made outside of the Plan. After the Administrator determines that it will offer Stock Purchase Rights under the Plan, it shall advise the offeree in writing of the terms, conditions and restrictions related to the offer, including the number of Shares that the offeree shall be entitled to purchase, the price to be paid, and the time within which the offeree must accept such offer, which shall in no event exceed thirty (30) days from the date upon which the Administrator made the determination to grant the Stock Purchase Right. The offer shall be accepted by execution of a Restricted Stock Purchase Agreement in the form determined by the Administrator.</w:t>
      </w:r>
    </w:p>
    <w:p>
      <w:pPr>
        <w:spacing w:after="0" w:line="181" w:lineRule="exact"/>
        <w:rPr>
          <w:rFonts w:ascii="Courier New" w:cs="Courier New" w:eastAsia="Courier New" w:hAnsi="Courier New"/>
          <w:sz w:val="15"/>
          <w:szCs w:val="15"/>
          <w:color w:val="auto"/>
        </w:rPr>
      </w:pPr>
    </w:p>
    <w:p>
      <w:pPr>
        <w:ind w:left="-260" w:right="3139" w:firstLine="1629"/>
        <w:spacing w:after="0" w:line="246" w:lineRule="auto"/>
        <w:tabs>
          <w:tab w:leader="none" w:pos="173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Option. Unless the Administrator determines otherwise, the Restricted Stock Purchase Agreement shall grant the Company a repurchase option exercisable upon the voluntary or involuntary termination of the purchaser's employment with the Company for any reason (including death or Disability). The purchase price for Shares repurchased pursuant to the Restricted Stock purchase agreement shall be the original price paid by the purchaser and may be paid by cancellation of any indebtedness of the purchaser to the Company. The repurchase option shall lapse at such rate as the Administrator may determine.</w:t>
      </w:r>
    </w:p>
    <w:p>
      <w:pPr>
        <w:spacing w:after="0" w:line="180"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The Restricted Stock Purchase Agreement shall contain such other terms, provisions and conditions not inconsistent with the Plan as may be determined by the Administrator in its sole discretion. In addition, the provisions of Restricted Stock Purchase Agreements need not be the same with respect to each purchaser.</w:t>
      </w:r>
    </w:p>
    <w:p>
      <w:pPr>
        <w:spacing w:after="0" w:line="177"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Stock Purchase Rights granted to Insiders, and Shares purchased by Insiders in connection with Stock Purchase Rights, shall be subject to any restrictions applicable thereto in compliance with Rule 16b-3. An Insider may only purchase Shares pursuant to the grant of a Stock Purchase Right, and may only sell Shares purchased pursuant to the grant of a Stock Purchase Right, during such time or times as are permitted by Rule 16b-3.</w:t>
      </w:r>
    </w:p>
    <w:p>
      <w:pPr>
        <w:spacing w:after="0" w:line="178"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Once the Stock Purchase Right is exercised, the purchaser shall have the rights equivalent to those of a stockholder, and shall be a stockholder when his or her purchase is entered upon the records of the duly authorized transfer agent of the Company. No adjustment will be made for a dividend or other right for which the record date is prior to the date the Stock Purchase Right is exercised, except as provided in Section 10 of the Plan.</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9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left="1620" w:hanging="809"/>
        <w:spacing w:after="0"/>
        <w:tabs>
          <w:tab w:leader="none" w:pos="1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Performance Awards.</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Long-Term Performance Awards are cash or stock bonus awards that may be granted either alone or in addition to other awards granted under the Plan. Such awards shall be granted for no cash consideration. The Administrator shall determine the nature, length and starting date of any performance period (the "Performance Period") for each Long-Term Performance Award, and shall determine the performance or employment factors, if any, to be used in the determination of Long-Term Performance Awards and the extent to which such Long-Term Performance Awards are valued or have been earned. Long-Term Performance Awards may vary from participant to participant and between groups of participants and shall be based upon the achievement of Company, Subsidiary, Parent and/or individual performance factors or upon such other criteria as the Administrator may deem appropriate. Performance Periods may overlap and participants may participate simultaneously with respect to Long-Term Performance Awards that are subject to different Performance Periods and different performance factors and criteria. Long-Term Performance Awards shall be confirmed by, and be subject to the terms of, a Long-Term Performance Award agreement. The terms of such awards need not be the same with respect to each participant.</w:t>
      </w:r>
    </w:p>
    <w:p>
      <w:pPr>
        <w:spacing w:after="0" w:line="186"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At the beginning of each Performance Period, the Administrator may determine for each Long-Term Performance Award subject to such Performance Period the range of dollar values or number of shares of Common Stock to be awarded to the participant at the end of the Performance Period if and to the extent that the relevant measures of performance for such Long-Term Performance Award are met. Such dollar values or number of shares of Common Stock may be fixed or may vary in accordance with such performance or other criteria as may be determined by the Administrator.</w:t>
      </w:r>
    </w:p>
    <w:p>
      <w:pPr>
        <w:spacing w:after="0" w:line="180" w:lineRule="exact"/>
        <w:rPr>
          <w:sz w:val="20"/>
          <w:szCs w:val="20"/>
          <w:color w:val="auto"/>
        </w:rPr>
      </w:pPr>
    </w:p>
    <w:p>
      <w:pPr>
        <w:ind w:right="3039" w:firstLine="1629"/>
        <w:spacing w:after="0" w:line="246" w:lineRule="auto"/>
        <w:tabs>
          <w:tab w:leader="none" w:pos="199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Awards. The Administrator may adjust the performance factors applicable to the Long-Term Performance Awards to take into account changes in legal, accounting and tax rules and to make such adjustments as the Administrator deems necessary or appropriate to reflect the inclusion or exclusion of the impact of extraordinary or unusual items, events or circumstances in order to avoid windfalls or hardships.</w:t>
      </w:r>
    </w:p>
    <w:p>
      <w:pPr>
        <w:spacing w:after="0" w:line="178"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9" w:lineRule="exact"/>
        <w:rPr>
          <w:rFonts w:ascii="Courier New" w:cs="Courier New" w:eastAsia="Courier New" w:hAnsi="Courier New"/>
          <w:sz w:val="15"/>
          <w:szCs w:val="15"/>
          <w:color w:val="auto"/>
        </w:rPr>
      </w:pPr>
    </w:p>
    <w:p>
      <w:pPr>
        <w:ind w:left="2440" w:hanging="811"/>
        <w:spacing w:after="0"/>
        <w:tabs>
          <w:tab w:leader="none" w:pos="244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Composition of Administrator.</w:t>
      </w:r>
    </w:p>
    <w:p>
      <w:pPr>
        <w:spacing w:after="0" w:line="179" w:lineRule="exact"/>
        <w:rPr>
          <w:rFonts w:ascii="Courier New" w:cs="Courier New" w:eastAsia="Courier New" w:hAnsi="Courier New"/>
          <w:sz w:val="15"/>
          <w:szCs w:val="15"/>
          <w:color w:val="auto"/>
        </w:rPr>
      </w:pPr>
    </w:p>
    <w:p>
      <w:pPr>
        <w:ind w:left="3260" w:right="2959" w:hanging="813"/>
        <w:spacing w:after="0" w:line="246" w:lineRule="auto"/>
        <w:tabs>
          <w:tab w:leader="none" w:pos="326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If permitted by Rule 16b-3 and Applicable Laws, the Plan may (but need not) be administered by different administrative bodies with respect to (A) Directors who are employees, (B) Officers who are not Directors and (C) Employees who are neither Directors nor Officers.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3000" w:right="2959" w:hanging="813"/>
        <w:spacing w:after="0" w:line="246" w:lineRule="auto"/>
        <w:tabs>
          <w:tab w:leader="none" w:pos="30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Directors and Officers. With respect to grants of Options and Rights to eligible participants who are Officers or Directors of the Company, the Plan shall be administered by (A) the Board, if the Board may administer the Plan in compliance with Rule 16b-3 as it applies to a plan intended to qualify thereunder as a discretionary grant or award plan, or (B) a Committee designated by the Board to administer the Plan, which Committee shall be constituted (1) in such a manner as to permit the Plan to comply with Rule 16b-3 as it applies to a plan intended to qualify thereunder as a discretionary grant or award plan and (2) in such a manner as to satisfy the Applicable Laws.</w:t>
      </w:r>
    </w:p>
    <w:p>
      <w:pPr>
        <w:spacing w:after="0" w:line="185"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Other Persons. With respect to grants of Options to eligible participants who are neither Directors nor Officers of the Company, the Plan shall be administered by (A) the Board or (B) a Committee designated by the Board, which Committee shall be constituted in such a manner as to satisfy the Applicable Laws.</w:t>
      </w:r>
    </w:p>
    <w:p>
      <w:pPr>
        <w:spacing w:after="0" w:line="179"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Once a Committee has been appointed pursuant to subsection (ii) or (iii) of this Section 8(a), such Committee shall continue to serve in its 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 Applicable Laws and, in the case of a Committee appointed under subsection (ii), to the extent permitted by Rule 16b-3 as it applies to a plan intended to qualify thereunder as a discretionary grant or award plan.</w:t>
      </w:r>
    </w:p>
    <w:p>
      <w:pPr>
        <w:spacing w:after="0" w:line="186" w:lineRule="exact"/>
        <w:rPr>
          <w:rFonts w:ascii="Courier New" w:cs="Courier New" w:eastAsia="Courier New" w:hAnsi="Courier New"/>
          <w:sz w:val="15"/>
          <w:szCs w:val="15"/>
          <w:color w:val="auto"/>
        </w:rPr>
      </w:pPr>
    </w:p>
    <w:p>
      <w:pPr>
        <w:ind w:left="2180" w:right="3139" w:hanging="811"/>
        <w:spacing w:after="0" w:line="246" w:lineRule="auto"/>
        <w:tabs>
          <w:tab w:leader="none" w:pos="2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77" w:lineRule="exact"/>
        <w:rPr>
          <w:rFonts w:ascii="Courier New" w:cs="Courier New" w:eastAsia="Courier New" w:hAnsi="Courier New"/>
          <w:sz w:val="15"/>
          <w:szCs w:val="15"/>
          <w:color w:val="auto"/>
        </w:rPr>
      </w:pPr>
    </w:p>
    <w:p>
      <w:pPr>
        <w:ind w:left="3000" w:right="3219" w:hanging="813"/>
        <w:spacing w:after="0" w:line="247" w:lineRule="auto"/>
        <w:tabs>
          <w:tab w:leader="none" w:pos="30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 in accordance with Section 2(n) of the Plan;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9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3000" w:right="313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and Rights may be granted hereunder;</w:t>
      </w:r>
    </w:p>
    <w:p>
      <w:pPr>
        <w:spacing w:after="0" w:line="174" w:lineRule="exact"/>
        <w:rPr>
          <w:rFonts w:ascii="Courier New" w:cs="Courier New" w:eastAsia="Courier New" w:hAnsi="Courier New"/>
          <w:sz w:val="15"/>
          <w:szCs w:val="15"/>
          <w:color w:val="auto"/>
        </w:rPr>
      </w:pPr>
    </w:p>
    <w:p>
      <w:pPr>
        <w:ind w:left="3000" w:right="341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and Rights or any combination thereof, are granted hereunder;</w:t>
      </w:r>
    </w:p>
    <w:p>
      <w:pPr>
        <w:spacing w:after="0" w:line="174" w:lineRule="exact"/>
        <w:rPr>
          <w:rFonts w:ascii="Courier New" w:cs="Courier New" w:eastAsia="Courier New" w:hAnsi="Courier New"/>
          <w:sz w:val="15"/>
          <w:szCs w:val="15"/>
          <w:color w:val="auto"/>
        </w:rPr>
      </w:pPr>
    </w:p>
    <w:p>
      <w:pPr>
        <w:ind w:left="3000" w:right="295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and Right granted hereunder;</w:t>
      </w:r>
    </w:p>
    <w:p>
      <w:pPr>
        <w:spacing w:after="0" w:line="174" w:lineRule="exact"/>
        <w:rPr>
          <w:rFonts w:ascii="Courier New" w:cs="Courier New" w:eastAsia="Courier New" w:hAnsi="Courier New"/>
          <w:sz w:val="15"/>
          <w:szCs w:val="15"/>
          <w:color w:val="auto"/>
        </w:rPr>
      </w:pPr>
    </w:p>
    <w:p>
      <w:pPr>
        <w:ind w:left="3000" w:right="303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4"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or Rights may be exercised (which may be based on performance criteria), any vesting acceleration or waiver of forfeiture restrictions, and any restriction or limitation regarding any Option or Right or the shares of Common Stock relating thereto, based in each case on such factors as the Administrator, in its sole discretion, shall determine;</w:t>
      </w:r>
    </w:p>
    <w:p>
      <w:pPr>
        <w:spacing w:after="0" w:line="183" w:lineRule="exact"/>
        <w:rPr>
          <w:rFonts w:ascii="Courier New" w:cs="Courier New" w:eastAsia="Courier New" w:hAnsi="Courier New"/>
          <w:sz w:val="15"/>
          <w:szCs w:val="15"/>
          <w:color w:val="auto"/>
        </w:rPr>
      </w:pPr>
    </w:p>
    <w:p>
      <w:pPr>
        <w:ind w:left="3000" w:right="313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w:t>
      </w:r>
    </w:p>
    <w:p>
      <w:pPr>
        <w:spacing w:after="0" w:line="174" w:lineRule="exact"/>
        <w:rPr>
          <w:rFonts w:ascii="Courier New" w:cs="Courier New" w:eastAsia="Courier New" w:hAnsi="Courier New"/>
          <w:sz w:val="15"/>
          <w:szCs w:val="15"/>
          <w:color w:val="auto"/>
        </w:rPr>
      </w:pPr>
    </w:p>
    <w:p>
      <w:pPr>
        <w:ind w:left="3000" w:right="321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w:t>
      </w:r>
    </w:p>
    <w:p>
      <w:pPr>
        <w:spacing w:after="0" w:line="174" w:lineRule="exact"/>
        <w:rPr>
          <w:rFonts w:ascii="Courier New" w:cs="Courier New" w:eastAsia="Courier New" w:hAnsi="Courier New"/>
          <w:sz w:val="15"/>
          <w:szCs w:val="15"/>
          <w:color w:val="auto"/>
        </w:rPr>
      </w:pPr>
    </w:p>
    <w:p>
      <w:pPr>
        <w:ind w:left="3000" w:right="3139" w:hanging="813"/>
        <w:spacing w:after="0" w:line="246"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under what circumstances an Option or Right may be settled in cash instead of Common Stock or Common Stock instead of cash;</w:t>
      </w:r>
    </w:p>
    <w:p>
      <w:pPr>
        <w:spacing w:after="0" w:line="177" w:lineRule="exact"/>
        <w:rPr>
          <w:rFonts w:ascii="Courier New" w:cs="Courier New" w:eastAsia="Courier New" w:hAnsi="Courier New"/>
          <w:sz w:val="15"/>
          <w:szCs w:val="15"/>
          <w:color w:val="auto"/>
        </w:rPr>
      </w:pPr>
    </w:p>
    <w:p>
      <w:pPr>
        <w:ind w:left="3000" w:right="313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or Right;</w:t>
      </w:r>
    </w:p>
    <w:p>
      <w:pPr>
        <w:spacing w:after="0" w:line="174" w:lineRule="exact"/>
        <w:rPr>
          <w:rFonts w:ascii="Courier New" w:cs="Courier New" w:eastAsia="Courier New" w:hAnsi="Courier New"/>
          <w:sz w:val="15"/>
          <w:szCs w:val="15"/>
          <w:color w:val="auto"/>
        </w:rPr>
      </w:pPr>
    </w:p>
    <w:p>
      <w:pPr>
        <w:ind w:left="3000" w:right="3419" w:hanging="813"/>
        <w:spacing w:after="0" w:line="247"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or Right (subject to Section 16 of the Plan);</w:t>
      </w:r>
    </w:p>
    <w:p>
      <w:pPr>
        <w:spacing w:after="0" w:line="174" w:lineRule="exact"/>
        <w:rPr>
          <w:rFonts w:ascii="Courier New" w:cs="Courier New" w:eastAsia="Courier New" w:hAnsi="Courier New"/>
          <w:sz w:val="15"/>
          <w:szCs w:val="15"/>
          <w:color w:val="auto"/>
        </w:rPr>
      </w:pPr>
    </w:p>
    <w:p>
      <w:pPr>
        <w:ind w:left="3000" w:right="2959" w:hanging="813"/>
        <w:spacing w:after="0" w:line="246" w:lineRule="auto"/>
        <w:tabs>
          <w:tab w:leader="none" w:pos="3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 Company any instrument required to effect the grant of an Option or Right previously granted by the Administrator;</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9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3260" w:hanging="813"/>
        <w:spacing w:after="0"/>
        <w:tabs>
          <w:tab w:leader="none" w:pos="3260"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 Option Exchange Program;</w:t>
      </w:r>
    </w:p>
    <w:p>
      <w:pPr>
        <w:spacing w:after="0" w:line="179" w:lineRule="exact"/>
        <w:rPr>
          <w:rFonts w:ascii="Courier New" w:cs="Courier New" w:eastAsia="Courier New" w:hAnsi="Courier New"/>
          <w:sz w:val="15"/>
          <w:szCs w:val="15"/>
          <w:color w:val="auto"/>
        </w:rPr>
      </w:pPr>
    </w:p>
    <w:p>
      <w:pPr>
        <w:ind w:left="3260" w:right="3319" w:hanging="813"/>
        <w:spacing w:after="0" w:line="247" w:lineRule="auto"/>
        <w:tabs>
          <w:tab w:leader="none" w:pos="3260"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restrictions applicable to Options and Rights and any Restricted Stock; and</w:t>
      </w:r>
    </w:p>
    <w:p>
      <w:pPr>
        <w:spacing w:after="0" w:line="174" w:lineRule="exact"/>
        <w:rPr>
          <w:rFonts w:ascii="Courier New" w:cs="Courier New" w:eastAsia="Courier New" w:hAnsi="Courier New"/>
          <w:sz w:val="15"/>
          <w:szCs w:val="15"/>
          <w:color w:val="auto"/>
        </w:rPr>
      </w:pPr>
    </w:p>
    <w:p>
      <w:pPr>
        <w:ind w:left="3260" w:right="2959" w:hanging="813"/>
        <w:spacing w:after="0" w:line="247" w:lineRule="auto"/>
        <w:tabs>
          <w:tab w:leader="none" w:pos="3260"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4"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 determinations and interpretations shall be final and binding on all Optionees and any other holders of Options or Rights.</w:t>
      </w:r>
    </w:p>
    <w:p>
      <w:pPr>
        <w:spacing w:after="0" w:line="174" w:lineRule="exact"/>
        <w:rPr>
          <w:rFonts w:ascii="Courier New" w:cs="Courier New" w:eastAsia="Courier New" w:hAnsi="Courier New"/>
          <w:sz w:val="15"/>
          <w:szCs w:val="15"/>
          <w:color w:val="auto"/>
        </w:rPr>
      </w:pPr>
    </w:p>
    <w:p>
      <w:pPr>
        <w:jc w:val="both"/>
        <w:ind w:right="3039" w:firstLine="811"/>
        <w:spacing w:after="0" w:line="246" w:lineRule="auto"/>
        <w:tabs>
          <w:tab w:leader="none" w:pos="109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Options and Rights may not be sold, pledged, assigned, hypothecated, transferred or disposed of in any manner other than by will or by the laws of descent or distribution and may be exercised, during the lifetime of the Optionee, only by the Optionee.</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 stockholders of the Company, the number of shares of Common Stock covered by each outstanding Option and Right, and the number of shares of Common Stock which have been authorized for issuance under the Plan but as to which no Options or Rights have yet been granted or which have been returned to the Plan upon cancellation or expiration of an Option or Right, as well as the price per share of Common Stock covered by each such outstanding Option or Right,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or Right.</w:t>
      </w:r>
    </w:p>
    <w:p>
      <w:pPr>
        <w:spacing w:after="0" w:line="186"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to the extent that an Option or Right has not been previously exercised, it will terminate immediately prior to the consummation of such proposed action. The Board may, in the exercise of its sole discretion in such instances, declare that any Option or Right shall terminate as of a date fixed by the Board and give each Optionee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sectPr>
      </w:pPr>
    </w:p>
    <w:bookmarkStart w:id="31" w:name="page32"/>
    <w:bookmarkEnd w:id="31"/>
    <w:p>
      <w:pPr>
        <w:ind w:left="267"/>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the right to exercise his or her Option or Right as to all or any part of the Optioned Stock, including Shares as to which the Option or Right would not otherwise be exercisable.</w:t>
      </w:r>
    </w:p>
    <w:p>
      <w:pPr>
        <w:spacing w:after="0" w:line="174" w:lineRule="exact"/>
        <w:rPr>
          <w:sz w:val="20"/>
          <w:szCs w:val="20"/>
          <w:color w:val="auto"/>
        </w:rPr>
      </w:pPr>
    </w:p>
    <w:p>
      <w:pPr>
        <w:ind w:left="7" w:right="2959" w:firstLine="1629"/>
        <w:spacing w:after="0" w:line="246" w:lineRule="auto"/>
        <w:tabs>
          <w:tab w:leader="none" w:pos="2006"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 with or into another corporation, or the sale of substantially all of the assets of the Company, each outstanding Option and Right shall be assumed or an equivalent Option or Right substituted by the successor corporation or a Parent or Subsidiary of the successor corporation. In the event that the successor corporation does not agree to assume the Option or to substitute an equivalent option, the Administrator shall, in lieu of such assumption or substitution, provide for the Optionee to have the right to exercise the Option or Right as to all or a portion of the Optioned Stock, including Shares as to which it would not otherwise be exercisable. If the Administrator makes an Option or Right exercisable in lieu of assumption or substitution in the event of a merger or sale of assets, the Administrator shall notify the Optionee that the Option or Right shall be exercisable for a period of not less than fifteen</w:t>
      </w:r>
    </w:p>
    <w:p>
      <w:pPr>
        <w:spacing w:after="0" w:line="7"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from the date of such notice, and the Option or Right will terminate upon the expiration of such period. For the purposes of this paragraph, the Option or Right shall be considered assumed if, immediately following the merger or sale of assets, the Option or Right confers the right to purchase, for each Share of Optioned Stock subject to the Option or Right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and the participant, provide for the consideration to be received upon the exercise of the Option or Right, for each Share of Optioned Stock subject to the Option or Right, to be solely common stock of the successor corporation or its Parent equal in Fair Market Value to the per share consideration received by holders of Common Stock in the merger or sale of assets.</w:t>
      </w:r>
    </w:p>
    <w:p>
      <w:pPr>
        <w:spacing w:after="0" w:line="185" w:lineRule="exact"/>
        <w:rPr>
          <w:rFonts w:ascii="Courier New" w:cs="Courier New" w:eastAsia="Courier New" w:hAnsi="Courier New"/>
          <w:sz w:val="15"/>
          <w:szCs w:val="15"/>
          <w:color w:val="auto"/>
        </w:rPr>
      </w:pPr>
    </w:p>
    <w:p>
      <w:pPr>
        <w:ind w:left="7" w:right="3039" w:firstLine="811"/>
        <w:spacing w:after="0" w:line="246" w:lineRule="auto"/>
        <w:tabs>
          <w:tab w:leader="none" w:pos="1188"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or Right shall be, for all purposes, the date on which the Administrator makes the determination granting such Option or Right, or such other later date as is determined by the Administrator. Notice of the determination shall be provided to each Optionee within a reasonable time after the date of such grant.</w:t>
      </w:r>
    </w:p>
    <w:p>
      <w:pPr>
        <w:spacing w:after="0" w:line="177" w:lineRule="exact"/>
        <w:rPr>
          <w:rFonts w:ascii="Courier New" w:cs="Courier New" w:eastAsia="Courier New" w:hAnsi="Courier New"/>
          <w:sz w:val="15"/>
          <w:szCs w:val="15"/>
          <w:color w:val="auto"/>
        </w:rPr>
      </w:pPr>
    </w:p>
    <w:p>
      <w:pPr>
        <w:ind w:left="1187" w:hanging="369"/>
        <w:spacing w:after="0"/>
        <w:tabs>
          <w:tab w:leader="none" w:pos="118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179"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 exercise of an Option or Right unless the exercise of such Option or Right and the issuance and delivery of such Shares shall comply with all relevant provisions of law, including, without limitation, the Securities Act of 1933, as amended, the Exchange Act, the rules and regulations promulgated thereunder, Applicable Laws, and the requirements of any stock</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29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exchange or quotation system upon which the Shares may then be listed or quoted, and shall be further subject to the approval of counsel for the Company with respect to such compliance.</w:t>
      </w:r>
    </w:p>
    <w:p>
      <w:pPr>
        <w:spacing w:after="0" w:line="174" w:lineRule="exact"/>
        <w:rPr>
          <w:sz w:val="20"/>
          <w:szCs w:val="20"/>
          <w:color w:val="auto"/>
        </w:rPr>
      </w:pPr>
    </w:p>
    <w:p>
      <w:pPr>
        <w:ind w:right="2959" w:firstLine="1629"/>
        <w:spacing w:after="0" w:line="246" w:lineRule="auto"/>
        <w:tabs>
          <w:tab w:leader="none" w:pos="199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 Option or Right, the Company may require the person exercising such Option or Right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8" w:lineRule="exact"/>
        <w:rPr>
          <w:rFonts w:ascii="Courier New" w:cs="Courier New" w:eastAsia="Courier New" w:hAnsi="Courier New"/>
          <w:sz w:val="15"/>
          <w:szCs w:val="15"/>
          <w:color w:val="auto"/>
        </w:rPr>
      </w:pPr>
    </w:p>
    <w:p>
      <w:pPr>
        <w:ind w:left="1260" w:hanging="449"/>
        <w:spacing w:after="0"/>
        <w:tabs>
          <w:tab w:leader="none" w:pos="12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w:t>
      </w:r>
    </w:p>
    <w:p>
      <w:pPr>
        <w:spacing w:after="0" w:line="179"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rFonts w:ascii="Courier New" w:cs="Courier New" w:eastAsia="Courier New" w:hAnsi="Courier New"/>
          <w:sz w:val="15"/>
          <w:szCs w:val="15"/>
          <w:color w:val="auto"/>
        </w:rPr>
      </w:pPr>
    </w:p>
    <w:p>
      <w:pPr>
        <w:ind w:right="3219" w:firstLine="1629"/>
        <w:spacing w:after="0" w:line="246" w:lineRule="auto"/>
        <w:tabs>
          <w:tab w:leader="none" w:pos="199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Exceeding Allotted Shares. If the Optioned Stock covered by an Option or Right exceeds, as of the date of grant, the number of Shares which may be issued under the Plan without additional stockholder approval, such Option or Right shall be void with respect to such excess Optioned Stock, unless stockholder approval of an amendment sufficiently increasing the number of Shares subject to the Plan is timely obtained in accordance with Section 16(b) of the Plan.</w:t>
      </w:r>
    </w:p>
    <w:p>
      <w:pPr>
        <w:spacing w:after="0" w:line="179" w:lineRule="exact"/>
        <w:rPr>
          <w:rFonts w:ascii="Courier New" w:cs="Courier New" w:eastAsia="Courier New" w:hAnsi="Courier New"/>
          <w:sz w:val="15"/>
          <w:szCs w:val="15"/>
          <w:color w:val="auto"/>
        </w:rPr>
      </w:pPr>
    </w:p>
    <w:p>
      <w:pPr>
        <w:jc w:val="both"/>
        <w:ind w:right="3139" w:firstLine="811"/>
        <w:spacing w:after="0" w:line="247" w:lineRule="auto"/>
        <w:tabs>
          <w:tab w:leader="none" w:pos="118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 at all times reserve and keep available such number of Shares as shall be sufficient to satisfy the requirements of the Plan.</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Continuance of the Plan shall be subject to approval by the stockholders of the Company within twelve (12) months before or after the date the Plan is adopted. Such stockholder approval shall be obtained in the manner and to the degree required under applicable federal and state law.</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79" w:lineRule="exact"/>
        <w:rPr>
          <w:rFonts w:ascii="Courier New" w:cs="Courier New" w:eastAsia="Courier New" w:hAnsi="Courier New"/>
          <w:sz w:val="15"/>
          <w:szCs w:val="15"/>
          <w:color w:val="auto"/>
        </w:rPr>
      </w:pPr>
    </w:p>
    <w:p>
      <w:pPr>
        <w:ind w:right="3499" w:firstLine="1629"/>
        <w:spacing w:after="0" w:line="247" w:lineRule="auto"/>
        <w:tabs>
          <w:tab w:leader="none" w:pos="199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 suspend or terminate the Plan.</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Company shall obtain stockholder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stockholder approval, if required, shall be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33" w:name="page34"/>
    <w:bookmarkEnd w:id="33"/>
    <w:p>
      <w:pPr>
        <w:ind w:left="267"/>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obtained in such a manner and to such a degree as is required by the applicable law, rule or regulation.</w:t>
      </w:r>
    </w:p>
    <w:p>
      <w:pPr>
        <w:spacing w:after="0" w:line="175" w:lineRule="exact"/>
        <w:rPr>
          <w:sz w:val="20"/>
          <w:szCs w:val="20"/>
          <w:color w:val="auto"/>
        </w:rPr>
      </w:pPr>
    </w:p>
    <w:p>
      <w:pPr>
        <w:ind w:left="7" w:right="2959" w:firstLine="1629"/>
        <w:spacing w:after="0" w:line="246" w:lineRule="auto"/>
        <w:tabs>
          <w:tab w:leader="none" w:pos="2006"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7"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Taxation Upon Exercise of Option or Right. At the discretion of the Administrator, Optionees may satisfy withholding obligations as provided in this Section 17. When an Optionee incurs tax liability in connection with an Option or Right, which tax liability is subject to withholding under applicable tax laws, the Optionee may satisfy the tax withholding obligation by one or some combination of the following methods: (a) by cash payment, or (b) out of Optionee's current compensation, or (c) by surrendering to the Company Shares which (i) in the case of Shares previously acquired from the Company, have been owned by the Optionee for more than six months on the date of surrender, and</w:t>
      </w:r>
    </w:p>
    <w:p>
      <w:pPr>
        <w:spacing w:after="0" w:line="5"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fair market value on the date of surrender equal to or less than Optionee's marginal tax rate times the ordinary income recognized, or (d) by electing to have the Company withhold from the Shares to be issued upon exercise of the Option or Right that number of Shares having a fair market value equal to the amount required to be withheld. For this purpose, the fair market value of the Shares to be withheld shall be determined on the date that the amount of tax to be withheld is to be determined (the "Tax Date").</w:t>
      </w:r>
    </w:p>
    <w:p>
      <w:pPr>
        <w:spacing w:after="0" w:line="179"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If the Optionee is an Insider, any surrender of previously owned Shares to satisfy tax withholding obligations arising upon exercise of this Option must comply with the applicable provisions of Rule 16b-3 and shall be subject to such additional conditions or restrictions as may be required thereunder to qualify for the maximum exemption from Section 16 of the Exchange Act with respect to Plan transactions.</w:t>
      </w:r>
    </w:p>
    <w:p>
      <w:pPr>
        <w:spacing w:after="0" w:line="178" w:lineRule="exact"/>
        <w:rPr>
          <w:sz w:val="20"/>
          <w:szCs w:val="20"/>
          <w:color w:val="auto"/>
        </w:rPr>
      </w:pPr>
    </w:p>
    <w:p>
      <w:pPr>
        <w:jc w:val="both"/>
        <w:ind w:left="7" w:right="3319" w:firstLine="818"/>
        <w:spacing w:after="0" w:line="247" w:lineRule="auto"/>
        <w:rPr>
          <w:sz w:val="20"/>
          <w:szCs w:val="20"/>
          <w:color w:val="auto"/>
        </w:rPr>
      </w:pPr>
      <w:r>
        <w:rPr>
          <w:rFonts w:ascii="Courier New" w:cs="Courier New" w:eastAsia="Courier New" w:hAnsi="Courier New"/>
          <w:sz w:val="15"/>
          <w:szCs w:val="15"/>
          <w:color w:val="auto"/>
        </w:rPr>
        <w:t>All elections by an Optionee to have Shares withheld to satisfy tax withholding obligations shall be made in writing in a form acceptable to the Administrator and shall be subject to the following restrictions:</w:t>
      </w:r>
    </w:p>
    <w:p>
      <w:pPr>
        <w:spacing w:after="0" w:line="174"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(a) the election must be made on or prior to the applicable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Tax Date;</w:t>
      </w:r>
    </w:p>
    <w:p>
      <w:pPr>
        <w:spacing w:after="0" w:line="180" w:lineRule="exact"/>
        <w:rPr>
          <w:sz w:val="20"/>
          <w:szCs w:val="20"/>
          <w:color w:val="auto"/>
        </w:rPr>
      </w:pPr>
    </w:p>
    <w:p>
      <w:pPr>
        <w:ind w:left="7" w:right="3319" w:firstLine="1629"/>
        <w:spacing w:after="0" w:line="247" w:lineRule="auto"/>
        <w:tabs>
          <w:tab w:leader="none" w:pos="200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made, the election shall be irrevocable as to the particular Shares of the Option as to which the election is made;</w:t>
      </w:r>
    </w:p>
    <w:p>
      <w:pPr>
        <w:spacing w:after="0" w:line="174" w:lineRule="exact"/>
        <w:rPr>
          <w:rFonts w:ascii="Courier New" w:cs="Courier New" w:eastAsia="Courier New" w:hAnsi="Courier New"/>
          <w:sz w:val="15"/>
          <w:szCs w:val="15"/>
          <w:color w:val="auto"/>
        </w:rPr>
      </w:pPr>
    </w:p>
    <w:p>
      <w:pPr>
        <w:ind w:left="7" w:right="3859" w:firstLine="1629"/>
        <w:spacing w:after="0" w:line="247" w:lineRule="auto"/>
        <w:tabs>
          <w:tab w:leader="none" w:pos="200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elections shall be subject to the consent or disapproval of the Administrator;</w:t>
      </w:r>
    </w:p>
    <w:p>
      <w:pPr>
        <w:spacing w:after="0" w:line="174" w:lineRule="exact"/>
        <w:rPr>
          <w:rFonts w:ascii="Courier New" w:cs="Courier New" w:eastAsia="Courier New" w:hAnsi="Courier New"/>
          <w:sz w:val="15"/>
          <w:szCs w:val="15"/>
          <w:color w:val="auto"/>
        </w:rPr>
      </w:pPr>
    </w:p>
    <w:p>
      <w:pPr>
        <w:ind w:left="7" w:right="3219" w:firstLine="1629"/>
        <w:spacing w:after="0" w:line="247" w:lineRule="auto"/>
        <w:tabs>
          <w:tab w:leader="none" w:pos="200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Optionee is an Insider, the election must comply with the applicable provisions of Rule 16b-3 and shall be subject to such additional conditions or</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6"/>
          </w:cols>
          <w:pgMar w:left="233" w:top="29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restrictions as may be required thereunder to qualify for the maximum exemption from Section 16 of the Exchange Act with respect to Plan transactions.</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event the election to have Shares withheld is made by an Optionee and the Tax Date is deferred under Section 83 of the Code because no election is filed under Section 83(b) of the Code, the Optionee shall receive the full number of Shares with respect to which the Option is exercised but such Optionee shall be unconditionally obligated to tender back to the Company the proper number of Shares on the Tax Date.</w:t>
      </w:r>
    </w:p>
    <w:p>
      <w:pPr>
        <w:spacing w:after="0" w:line="178" w:lineRule="exact"/>
        <w:rPr>
          <w:sz w:val="20"/>
          <w:szCs w:val="20"/>
          <w:color w:val="auto"/>
        </w:rPr>
      </w:pPr>
    </w:p>
    <w:p>
      <w:pPr>
        <w:ind w:right="3319" w:firstLine="811"/>
        <w:spacing w:after="0" w:line="247" w:lineRule="auto"/>
        <w:tabs>
          <w:tab w:leader="none" w:pos="11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the Plan. The Plan shall expire, and no further Options shall be granted pursuant to the Plan, on April 25, 2001.</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1</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10.10 (a)</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LONG TERM STOCK OPTION PLAN</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AS AMENDED AND RESTATED ON FEBRUARY 24, 1997</w:t>
      </w:r>
    </w:p>
    <w:p>
      <w:pPr>
        <w:spacing w:after="0" w:line="354" w:lineRule="exact"/>
        <w:rPr>
          <w:sz w:val="20"/>
          <w:szCs w:val="20"/>
          <w:color w:val="auto"/>
        </w:rPr>
      </w:pPr>
    </w:p>
    <w:p>
      <w:pPr>
        <w:ind w:left="1620" w:right="3319" w:hanging="809"/>
        <w:spacing w:after="0" w:line="247" w:lineRule="auto"/>
        <w:tabs>
          <w:tab w:leader="none" w:pos="1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Long Term Stock Option Plan (the "Plan") are:</w:t>
      </w:r>
    </w:p>
    <w:p>
      <w:pPr>
        <w:spacing w:after="0" w:line="175" w:lineRule="exact"/>
        <w:rPr>
          <w:sz w:val="20"/>
          <w:szCs w:val="20"/>
          <w:color w:val="auto"/>
        </w:rPr>
      </w:pPr>
    </w:p>
    <w:p>
      <w:pPr>
        <w:ind w:left="1620" w:right="3499" w:hanging="809"/>
        <w:spacing w:after="0" w:line="247" w:lineRule="auto"/>
        <w:tabs>
          <w:tab w:leader="none" w:pos="1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quality personnel for positions of substantial responsibility,</w:t>
      </w:r>
    </w:p>
    <w:p>
      <w:pPr>
        <w:spacing w:after="0" w:line="174" w:lineRule="exact"/>
        <w:rPr>
          <w:rFonts w:ascii="Courier New" w:cs="Courier New" w:eastAsia="Courier New" w:hAnsi="Courier New"/>
          <w:sz w:val="15"/>
          <w:szCs w:val="15"/>
          <w:color w:val="auto"/>
        </w:rPr>
      </w:pPr>
    </w:p>
    <w:p>
      <w:pPr>
        <w:ind w:left="1620" w:right="3319" w:hanging="809"/>
        <w:spacing w:after="0" w:line="247" w:lineRule="auto"/>
        <w:tabs>
          <w:tab w:leader="none" w:pos="1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additional incentive for senior personnel of the Company by offering long term equity participation in the Company, and</w:t>
      </w:r>
    </w:p>
    <w:p>
      <w:pPr>
        <w:spacing w:after="0" w:line="174"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long-term success of the Company's business.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Options granted under the Plan may be Incentive Stock Options or Nonstatutory Stock Options, as determined by the Administrator at the time of grant and subject to the applicable provisions of Section 422 of the Code and the regulations promulgated thereunder.</w:t>
      </w:r>
    </w:p>
    <w:p>
      <w:pPr>
        <w:spacing w:after="0" w:line="177" w:lineRule="exact"/>
        <w:rPr>
          <w:sz w:val="20"/>
          <w:szCs w:val="20"/>
          <w:color w:val="auto"/>
        </w:rPr>
      </w:pPr>
    </w:p>
    <w:p>
      <w:pPr>
        <w:ind w:left="1620" w:right="3139" w:hanging="809"/>
        <w:spacing w:after="0" w:line="247" w:lineRule="auto"/>
        <w:tabs>
          <w:tab w:leader="none" w:pos="1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174"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 administer the Plan in accordance with Section 4 of the Plan.</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 administration of stock option plans under state corporate and securities laws and the Code.</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 with Section 4 of the Plan.</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Class A of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Gartner Group, Inc., a Delaware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w:t>
      </w:r>
    </w:p>
    <w:p>
      <w:pPr>
        <w:sectPr>
          <w:pgSz w:w="11900" w:h="16838" w:orient="portrait"/>
          <w:cols w:equalWidth="0" w:num="1">
            <w:col w:w="10219"/>
          </w:cols>
          <w:pgMar w:left="240" w:top="14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held by the Optionee shall cease to be treated as an Incentive Stock Option and shall be treated for tax purposes as a Nonstatutory Stock Option.</w:t>
      </w:r>
    </w:p>
    <w:p>
      <w:pPr>
        <w:spacing w:after="0" w:line="175" w:lineRule="exact"/>
        <w:rPr>
          <w:sz w:val="20"/>
          <w:szCs w:val="20"/>
          <w:color w:val="auto"/>
        </w:rPr>
      </w:pPr>
    </w:p>
    <w:p>
      <w:pPr>
        <w:ind w:left="1720" w:hanging="364"/>
        <w:spacing w:after="0"/>
        <w:tabs>
          <w:tab w:leader="none" w:pos="17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179"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 Section 22(e)(3) of the Code.</w:t>
      </w:r>
    </w:p>
    <w:p>
      <w:pPr>
        <w:spacing w:after="0" w:line="174" w:lineRule="exact"/>
        <w:rPr>
          <w:rFonts w:ascii="Courier New" w:cs="Courier New" w:eastAsia="Courier New" w:hAnsi="Courier New"/>
          <w:sz w:val="15"/>
          <w:szCs w:val="15"/>
          <w:color w:val="auto"/>
        </w:rPr>
      </w:pPr>
    </w:p>
    <w:p>
      <w:pPr>
        <w:ind w:right="3139" w:firstLine="1356"/>
        <w:spacing w:after="0" w:line="246" w:lineRule="auto"/>
        <w:tabs>
          <w:tab w:leader="none" w:pos="1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the Common Stock determined as follows:</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or a national market system, including without limitation the Nasdaq National Market of the National Association of Securities Dealers, Inc. Automated Quotation ("NASDAQ") System, the Fair Market Value of a share of Common Stock shall be the average of the closing sales prices for such stock (or the average of the closing bids, if no sales were reported) as quoted on such system or exchange (or the exchange with the greatest volume of trading in Common Stock) on the five market trading days immediately preceding the date of determination, as reported in The Wall Street Journal or such other source as the Administrator of the Plan deems reliable; provided, however, that in the event the Fair Market Value as so determined is more than 20% greater or more than 20% less than the closing sales price for such stock (or the closing bid, if no sales were reported) as so quoted on the date of determination, then the Administrator shall be entitled to determine the Fair Market Value in good faith, at a price within the range of prices from the Fair Market Value as otherwise determined above to the closing price (or closing bid, as applicable) on the date of determination;</w:t>
      </w:r>
    </w:p>
    <w:p>
      <w:pPr>
        <w:spacing w:after="0" w:line="184"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NASDAQ System</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(but not on the Nasdaq National Market thereof) or is regularly quoted by a recognized securities dealer but selling prices are not reported, the Fair Market Value of a Share of Common Stock shall be the average of the means between the high bid and low asked prices for the Common Stock on the five market trading days immediately preceding the day of determination, as reported in The Wall Street Journal or such other source as the Administrator deems reliable; provided, however, that in the event the Fair Market Value as so determined is more than 20% greater or more than 20% less than the mean between the high bid and low asked prices for such stock as so quoted on the date of determination, then the Administrator shall be entitled to determine the Fair Market Value in good faith, at a price within the range of prices from the Fair Market Value as otherwise determined above to the mean between the high bid and low asked prices on the date of determination;</w:t>
      </w:r>
    </w:p>
    <w:p>
      <w:pPr>
        <w:spacing w:after="0" w:line="182" w:lineRule="exact"/>
        <w:rPr>
          <w:rFonts w:ascii="Courier New" w:cs="Courier New" w:eastAsia="Courier New" w:hAnsi="Courier New"/>
          <w:sz w:val="15"/>
          <w:szCs w:val="15"/>
          <w:color w:val="auto"/>
        </w:rPr>
      </w:pPr>
    </w:p>
    <w:p>
      <w:pPr>
        <w:ind w:right="3219" w:firstLine="2083"/>
        <w:spacing w:after="0" w:line="247" w:lineRule="auto"/>
        <w:tabs>
          <w:tab w:leader="none" w:pos="2726"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shall be determined in good faith by the Administrator.</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 and the regulations promulgated thereunder.</w:t>
      </w:r>
    </w:p>
    <w:p>
      <w:pPr>
        <w:spacing w:after="0" w:line="174"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039" w:firstLine="1356"/>
        <w:spacing w:after="0" w:line="247"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 conditions of an individual Option grant. The Notice of Grant is part of the Option Agreement.</w:t>
      </w:r>
    </w:p>
    <w:p>
      <w:pPr>
        <w:spacing w:after="0" w:line="174"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 Plan.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77" w:lineRule="exact"/>
        <w:rPr>
          <w:rFonts w:ascii="Courier New" w:cs="Courier New" w:eastAsia="Courier New" w:hAnsi="Courier New"/>
          <w:sz w:val="15"/>
          <w:szCs w:val="15"/>
          <w:color w:val="auto"/>
        </w:rPr>
      </w:pPr>
    </w:p>
    <w:p>
      <w:pPr>
        <w:ind w:right="2959" w:firstLine="1356"/>
        <w:spacing w:after="0" w:line="247"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Exchange Program" means a program whereby outstanding options are surrendered in exchange for options with a lower exercise price.</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w:t>
      </w:r>
    </w:p>
    <w:p>
      <w:pPr>
        <w:spacing w:after="0" w:line="179" w:lineRule="exact"/>
        <w:rPr>
          <w:rFonts w:ascii="Courier New" w:cs="Courier New" w:eastAsia="Courier New" w:hAnsi="Courier New"/>
          <w:sz w:val="15"/>
          <w:szCs w:val="15"/>
          <w:color w:val="auto"/>
        </w:rPr>
      </w:pPr>
    </w:p>
    <w:p>
      <w:pPr>
        <w:ind w:right="3679" w:firstLine="1356"/>
        <w:spacing w:after="0" w:line="247"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 hereafter existing, as defined in Section 424(e) of the Code.</w:t>
      </w:r>
    </w:p>
    <w:p>
      <w:pPr>
        <w:spacing w:after="0" w:line="174" w:lineRule="exact"/>
        <w:rPr>
          <w:rFonts w:ascii="Courier New" w:cs="Courier New" w:eastAsia="Courier New" w:hAnsi="Courier New"/>
          <w:sz w:val="15"/>
          <w:szCs w:val="15"/>
          <w:color w:val="auto"/>
        </w:rPr>
      </w:pPr>
    </w:p>
    <w:p>
      <w:pPr>
        <w:ind w:right="3219" w:firstLine="1356"/>
        <w:spacing w:after="0" w:line="247"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of the Exchange Act or any successor to Rule 16b-3, as in effect when discretion is being exercised with respect to the Plan.</w:t>
      </w:r>
    </w:p>
    <w:p>
      <w:pPr>
        <w:spacing w:after="0" w:line="174" w:lineRule="exact"/>
        <w:rPr>
          <w:rFonts w:ascii="Courier New" w:cs="Courier New" w:eastAsia="Courier New" w:hAnsi="Courier New"/>
          <w:sz w:val="15"/>
          <w:szCs w:val="15"/>
          <w:color w:val="auto"/>
        </w:rPr>
      </w:pPr>
    </w:p>
    <w:p>
      <w:pPr>
        <w:jc w:val="both"/>
        <w:ind w:right="3419" w:firstLine="1356"/>
        <w:spacing w:after="0" w:line="246" w:lineRule="auto"/>
        <w:tabs>
          <w:tab w:leader="none" w:pos="17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Manager" means an Employee who is an executive officer, vice president, director-level employee or senior analyst of the Company, or such other Employee as the Administrator shall deem eligible to participate in the Plan.</w:t>
      </w:r>
    </w:p>
    <w:p>
      <w:pPr>
        <w:spacing w:after="0" w:line="177" w:lineRule="exact"/>
        <w:rPr>
          <w:sz w:val="20"/>
          <w:szCs w:val="20"/>
          <w:color w:val="auto"/>
        </w:rPr>
      </w:pPr>
    </w:p>
    <w:p>
      <w:pPr>
        <w:ind w:right="3599" w:firstLine="1356"/>
        <w:spacing w:after="0" w:line="247" w:lineRule="auto"/>
        <w:tabs>
          <w:tab w:leader="none" w:pos="181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Common Stock, as adjusted in accordance with Section 12 of the Plan.</w:t>
      </w:r>
    </w:p>
    <w:p>
      <w:pPr>
        <w:spacing w:after="0" w:line="175" w:lineRule="exact"/>
        <w:rPr>
          <w:sz w:val="20"/>
          <w:szCs w:val="20"/>
          <w:color w:val="auto"/>
        </w:rPr>
      </w:pPr>
    </w:p>
    <w:p>
      <w:pPr>
        <w:ind w:right="3139" w:firstLine="1363"/>
        <w:spacing w:after="0" w:line="247" w:lineRule="auto"/>
        <w:rPr>
          <w:sz w:val="20"/>
          <w:szCs w:val="20"/>
          <w:color w:val="auto"/>
        </w:rPr>
      </w:pPr>
      <w:r>
        <w:rPr>
          <w:rFonts w:ascii="Courier New" w:cs="Courier New" w:eastAsia="Courier New" w:hAnsi="Courier New"/>
          <w:sz w:val="15"/>
          <w:szCs w:val="15"/>
          <w:color w:val="auto"/>
        </w:rPr>
        <w:t>(ab) "Subsidiary" means a "subsidiary corporation," whether now or hereafter existing, as defined in Section 424(f) of the Code.</w:t>
      </w:r>
    </w:p>
    <w:p>
      <w:pPr>
        <w:spacing w:after="0" w:line="175" w:lineRule="exact"/>
        <w:rPr>
          <w:sz w:val="20"/>
          <w:szCs w:val="20"/>
          <w:color w:val="auto"/>
        </w:rPr>
      </w:pPr>
    </w:p>
    <w:p>
      <w:pPr>
        <w:ind w:right="3139" w:firstLine="811"/>
        <w:spacing w:after="0" w:line="246" w:lineRule="auto"/>
        <w:tabs>
          <w:tab w:leader="none" w:pos="109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 the Plan, the maximum aggregate number of Shares which may be optioned and sold under the Plan is 1,640,000 Shares. The Shares may be authorized, but unissued, or reacquired Common Stock.</w:t>
      </w:r>
    </w:p>
    <w:p>
      <w:pPr>
        <w:spacing w:after="0" w:line="177"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 except that if unvested Shares are repurchased by the Company at their original purchase price, and the original purchaser of such Shares did not receive any benefits of ownership of such Shares, such Shares shall become available for future grant under the Plan. For purposes of the preceding sentence, voting rights shall not be considered a benefit of Share ownership.</w:t>
      </w:r>
    </w:p>
    <w:p>
      <w:pPr>
        <w:spacing w:after="0" w:line="200" w:lineRule="exact"/>
        <w:rPr>
          <w:sz w:val="20"/>
          <w:szCs w:val="20"/>
          <w:color w:val="auto"/>
        </w:rPr>
      </w:pPr>
    </w:p>
    <w:p>
      <w:pPr>
        <w:spacing w:after="0" w:line="33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38" w:name="page39"/>
    <w:bookmarkEnd w:id="38"/>
    <w:p>
      <w:pPr>
        <w:ind w:left="267"/>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367" w:hanging="640"/>
        <w:spacing w:after="0"/>
        <w:tabs>
          <w:tab w:leader="none" w:pos="136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9" w:lineRule="exact"/>
        <w:rPr>
          <w:rFonts w:ascii="Courier New" w:cs="Courier New" w:eastAsia="Courier New" w:hAnsi="Courier New"/>
          <w:sz w:val="15"/>
          <w:szCs w:val="15"/>
          <w:color w:val="auto"/>
        </w:rPr>
      </w:pPr>
    </w:p>
    <w:p>
      <w:pPr>
        <w:ind w:left="2087" w:hanging="724"/>
        <w:spacing w:after="0"/>
        <w:tabs>
          <w:tab w:leader="none" w:pos="2087"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w:t>
      </w:r>
    </w:p>
    <w:p>
      <w:pPr>
        <w:spacing w:after="0" w:line="179"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If permitted by</w:t>
      </w:r>
    </w:p>
    <w:p>
      <w:pPr>
        <w:spacing w:after="0" w:line="4" w:lineRule="exact"/>
        <w:rPr>
          <w:rFonts w:ascii="Courier New" w:cs="Courier New" w:eastAsia="Courier New" w:hAnsi="Courier New"/>
          <w:sz w:val="15"/>
          <w:szCs w:val="15"/>
          <w:color w:val="auto"/>
        </w:rPr>
      </w:pPr>
    </w:p>
    <w:p>
      <w:pPr>
        <w:ind w:left="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the Plan may be administered by different bodies with respect to Directors, Officers who are not Directors, and Senior Managers who are neither Directors nor Officers.</w:t>
      </w:r>
    </w:p>
    <w:p>
      <w:pPr>
        <w:spacing w:after="0" w:line="174"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Directors and</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Subject to Section 16(b). With respect to Option grants made to Senior Managers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183"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With Respect to Other Persons.</w:t>
      </w:r>
    </w:p>
    <w:p>
      <w:pPr>
        <w:spacing w:after="0" w:line="4" w:lineRule="exact"/>
        <w:rPr>
          <w:rFonts w:ascii="Courier New" w:cs="Courier New" w:eastAsia="Courier New" w:hAnsi="Courier New"/>
          <w:sz w:val="15"/>
          <w:szCs w:val="15"/>
          <w:color w:val="auto"/>
        </w:rPr>
      </w:pPr>
    </w:p>
    <w:p>
      <w:pPr>
        <w:jc w:val="both"/>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Option grants made to Senior Managers who are neither Directors nor Officers of the Company, the Plan shall be administered by (A) the Board or</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committee designated by the Board, which committee shall be constituted to satisfy Applicable Laws. Once appointed, such Committee shall serve in its designated capacity until otherwise directed by the Board.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79" w:lineRule="exact"/>
        <w:rPr>
          <w:rFonts w:ascii="Courier New" w:cs="Courier New" w:eastAsia="Courier New" w:hAnsi="Courier New"/>
          <w:sz w:val="15"/>
          <w:szCs w:val="15"/>
          <w:color w:val="auto"/>
        </w:rPr>
      </w:pPr>
    </w:p>
    <w:p>
      <w:pPr>
        <w:ind w:left="7" w:right="2959" w:firstLine="1356"/>
        <w:spacing w:after="0" w:line="246" w:lineRule="auto"/>
        <w:tabs>
          <w:tab w:leader="none" w:pos="1734"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77"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in accordance with Section 2(n) of the Plan;</w:t>
      </w:r>
    </w:p>
    <w:p>
      <w:pPr>
        <w:spacing w:after="0" w:line="179"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Senior Managers to whom Options may</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 granted hereunder;</w:t>
      </w:r>
    </w:p>
    <w:p>
      <w:pPr>
        <w:spacing w:after="0" w:line="179"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are granted hereunder;</w:t>
      </w:r>
    </w:p>
    <w:p>
      <w:pPr>
        <w:spacing w:after="0" w:line="179" w:lineRule="exact"/>
        <w:rPr>
          <w:rFonts w:ascii="Courier New" w:cs="Courier New" w:eastAsia="Courier New" w:hAnsi="Courier New"/>
          <w:sz w:val="15"/>
          <w:szCs w:val="15"/>
          <w:color w:val="auto"/>
        </w:rPr>
      </w:pPr>
    </w:p>
    <w:p>
      <w:pPr>
        <w:ind w:left="7" w:right="3039" w:firstLine="2083"/>
        <w:spacing w:after="0" w:line="247" w:lineRule="auto"/>
        <w:tabs>
          <w:tab w:leader="none" w:pos="2733" w:val="left"/>
        </w:tabs>
        <w:numPr>
          <w:ilvl w:val="3"/>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174"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9" w:lineRule="exact"/>
        <w:rPr>
          <w:rFonts w:ascii="Courier New" w:cs="Courier New" w:eastAsia="Courier New" w:hAnsi="Courier New"/>
          <w:sz w:val="15"/>
          <w:szCs w:val="15"/>
          <w:color w:val="auto"/>
        </w:rPr>
      </w:pPr>
    </w:p>
    <w:p>
      <w:pPr>
        <w:ind w:left="2727" w:hanging="637"/>
        <w:spacing w:after="0"/>
        <w:tabs>
          <w:tab w:leader="none" w:pos="2727" w:val="left"/>
        </w:tabs>
        <w:numPr>
          <w:ilvl w:val="3"/>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29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2720" w:hanging="637"/>
        <w:spacing w:after="0"/>
        <w:tabs>
          <w:tab w:leader="none" w:pos="2720"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w:t>
      </w:r>
    </w:p>
    <w:p>
      <w:pPr>
        <w:spacing w:after="0" w:line="4" w:lineRule="exact"/>
        <w:rPr>
          <w:rFonts w:ascii="Courier New" w:cs="Courier New" w:eastAsia="Courier New" w:hAnsi="Courier New"/>
          <w:sz w:val="15"/>
          <w:szCs w:val="15"/>
          <w:color w:val="auto"/>
        </w:rPr>
      </w:pPr>
    </w:p>
    <w:p>
      <w:pPr>
        <w:ind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then current Fair Market Value if the Fair Market Value of the Common Stock covered by such Option shall have declined since the date the Option was granted;</w:t>
      </w:r>
    </w:p>
    <w:p>
      <w:pPr>
        <w:spacing w:after="0" w:line="174" w:lineRule="exact"/>
        <w:rPr>
          <w:rFonts w:ascii="Courier New" w:cs="Courier New" w:eastAsia="Courier New" w:hAnsi="Courier New"/>
          <w:sz w:val="15"/>
          <w:szCs w:val="15"/>
          <w:color w:val="auto"/>
        </w:rPr>
      </w:pPr>
    </w:p>
    <w:p>
      <w:pPr>
        <w:ind w:right="3219" w:firstLine="2083"/>
        <w:spacing w:after="0" w:line="247" w:lineRule="auto"/>
        <w:tabs>
          <w:tab w:leader="none" w:pos="2726"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regulations relating to the Plan, including rules and regulations relating to sub-plans established for the purpose of qualifying for preferred tax treatment under foreign tax laws;</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w:t>
      </w:r>
    </w:p>
    <w:p>
      <w:pPr>
        <w:spacing w:after="0" w:line="4" w:lineRule="exact"/>
        <w:rPr>
          <w:rFonts w:ascii="Courier New" w:cs="Courier New" w:eastAsia="Courier New" w:hAnsi="Courier New"/>
          <w:sz w:val="15"/>
          <w:szCs w:val="15"/>
          <w:color w:val="auto"/>
        </w:rPr>
      </w:pPr>
    </w:p>
    <w:p>
      <w:pPr>
        <w:ind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14(c) of the Plan), including the discretionary authority to extend the post-termination exercisability period of Options longer than is otherwise provided for in the Plan;</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any instrument required to effect the grant of an Option previously granted by the Administrator;</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 Option Exchange Program;</w:t>
      </w:r>
    </w:p>
    <w:p>
      <w:pPr>
        <w:spacing w:after="0" w:line="179" w:lineRule="exact"/>
        <w:rPr>
          <w:rFonts w:ascii="Courier New" w:cs="Courier New" w:eastAsia="Courier New" w:hAnsi="Courier New"/>
          <w:sz w:val="15"/>
          <w:szCs w:val="15"/>
          <w:color w:val="auto"/>
        </w:rPr>
      </w:pPr>
    </w:p>
    <w:p>
      <w:pPr>
        <w:ind w:right="3039" w:firstLine="2083"/>
        <w:spacing w:after="0" w:line="247" w:lineRule="auto"/>
        <w:tabs>
          <w:tab w:leader="none" w:pos="2726"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 determinations and interpretations shall be final and binding on all Optionees and any other holders of Options.</w:t>
      </w:r>
    </w:p>
    <w:p>
      <w:pPr>
        <w:spacing w:after="0" w:line="174"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to Senior Managers. If otherwise eligible, a Senior Manager who has been granted an Option may be granted additional Options.</w:t>
      </w:r>
    </w:p>
    <w:p>
      <w:pPr>
        <w:spacing w:after="0" w:line="174" w:lineRule="exact"/>
        <w:rPr>
          <w:rFonts w:ascii="Courier New" w:cs="Courier New" w:eastAsia="Courier New" w:hAnsi="Courier New"/>
          <w:sz w:val="15"/>
          <w:szCs w:val="15"/>
          <w:color w:val="auto"/>
        </w:rPr>
      </w:pPr>
    </w:p>
    <w:p>
      <w:pPr>
        <w:ind w:left="1080" w:hanging="269"/>
        <w:spacing w:after="0"/>
        <w:tabs>
          <w:tab w:leader="none" w:pos="10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80"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limitations shall apply to grants of Options to</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9" w:lineRule="exact"/>
        <w:rPr>
          <w:rFonts w:ascii="Courier New" w:cs="Courier New" w:eastAsia="Courier New" w:hAnsi="Courier New"/>
          <w:sz w:val="15"/>
          <w:szCs w:val="15"/>
          <w:color w:val="auto"/>
        </w:rPr>
      </w:pPr>
    </w:p>
    <w:p>
      <w:pPr>
        <w:ind w:left="1440" w:right="3219" w:firstLine="1280"/>
        <w:spacing w:after="0" w:line="247" w:lineRule="auto"/>
        <w:tabs>
          <w:tab w:leader="none" w:pos="3076" w:val="left"/>
        </w:tabs>
        <w:numPr>
          <w:ilvl w:val="3"/>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shall be granted, in any fiscal year of the Company, Options to purchase more than 500,000 shares.</w:t>
      </w:r>
    </w:p>
    <w:p>
      <w:pPr>
        <w:spacing w:after="0" w:line="174" w:lineRule="exact"/>
        <w:rPr>
          <w:rFonts w:ascii="Courier New" w:cs="Courier New" w:eastAsia="Courier New" w:hAnsi="Courier New"/>
          <w:sz w:val="15"/>
          <w:szCs w:val="15"/>
          <w:color w:val="auto"/>
        </w:rPr>
      </w:pPr>
    </w:p>
    <w:p>
      <w:pPr>
        <w:ind w:left="1440" w:right="2959" w:firstLine="1280"/>
        <w:spacing w:after="0" w:line="246" w:lineRule="auto"/>
        <w:tabs>
          <w:tab w:leader="none" w:pos="3167" w:val="left"/>
        </w:tabs>
        <w:numPr>
          <w:ilvl w:val="3"/>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his or her initial employment, an Employee may be granted Options to purchase up to an additional 500,000 Shares which shall not count against the limit set forth in subsection (i) above.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3740" w:hanging="644"/>
        <w:spacing w:after="0"/>
        <w:tabs>
          <w:tab w:leader="none" w:pos="3740" w:val="left"/>
        </w:tabs>
        <w:numPr>
          <w:ilvl w:val="4"/>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limitations shall be</w:t>
      </w:r>
    </w:p>
    <w:p>
      <w:pPr>
        <w:spacing w:after="0" w:line="4" w:lineRule="exact"/>
        <w:rPr>
          <w:rFonts w:ascii="Courier New" w:cs="Courier New" w:eastAsia="Courier New" w:hAnsi="Courier New"/>
          <w:sz w:val="15"/>
          <w:szCs w:val="15"/>
          <w:color w:val="auto"/>
        </w:rPr>
      </w:pPr>
    </w:p>
    <w:p>
      <w:pPr>
        <w:ind w:left="1360"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proportionately in connection with any change in the Company's capitalization as described in Section 12.</w:t>
      </w:r>
    </w:p>
    <w:p>
      <w:pPr>
        <w:spacing w:after="0" w:line="174" w:lineRule="exact"/>
        <w:rPr>
          <w:rFonts w:ascii="Courier New" w:cs="Courier New" w:eastAsia="Courier New" w:hAnsi="Courier New"/>
          <w:sz w:val="15"/>
          <w:szCs w:val="15"/>
          <w:color w:val="auto"/>
        </w:rPr>
      </w:pPr>
    </w:p>
    <w:p>
      <w:pPr>
        <w:ind w:left="1360" w:right="2959" w:firstLine="1736"/>
        <w:spacing w:after="0" w:line="246" w:lineRule="auto"/>
        <w:tabs>
          <w:tab w:leader="none" w:pos="3723" w:val="left"/>
        </w:tabs>
        <w:numPr>
          <w:ilvl w:val="4"/>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is canceled in the same fiscal year of the Company in which it was granted (other than in connection with a transaction describe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179" w:lineRule="exact"/>
        <w:rPr>
          <w:rFonts w:ascii="Courier New" w:cs="Courier New" w:eastAsia="Courier New" w:hAnsi="Courier New"/>
          <w:sz w:val="15"/>
          <w:szCs w:val="15"/>
          <w:color w:val="auto"/>
        </w:rPr>
      </w:pPr>
    </w:p>
    <w:p>
      <w:pPr>
        <w:ind w:left="-260" w:right="2959" w:firstLine="811"/>
        <w:spacing w:after="0" w:line="246" w:lineRule="auto"/>
        <w:tabs>
          <w:tab w:leader="none" w:pos="83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77" w:lineRule="exact"/>
        <w:rPr>
          <w:rFonts w:ascii="Courier New" w:cs="Courier New" w:eastAsia="Courier New" w:hAnsi="Courier New"/>
          <w:sz w:val="15"/>
          <w:szCs w:val="15"/>
          <w:color w:val="auto"/>
        </w:rPr>
      </w:pPr>
    </w:p>
    <w:p>
      <w:pPr>
        <w:ind w:left="1360" w:right="2959" w:hanging="809"/>
        <w:spacing w:after="0" w:line="246" w:lineRule="auto"/>
        <w:tabs>
          <w:tab w:leader="none" w:pos="1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ten (10) years from the date of grant. However, in the case of an Incentive Stock Option, the term shall be ten (10) years from the date of grant or such shorter term as may be provided in the Notice of Grant. Moreover, in the case of an Incentive Stock Option granted to an Optionee who, at the time the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82" w:lineRule="exact"/>
        <w:rPr>
          <w:rFonts w:ascii="Courier New" w:cs="Courier New" w:eastAsia="Courier New" w:hAnsi="Courier New"/>
          <w:sz w:val="15"/>
          <w:szCs w:val="15"/>
          <w:color w:val="auto"/>
        </w:rPr>
      </w:pPr>
    </w:p>
    <w:p>
      <w:pPr>
        <w:ind w:left="1360" w:hanging="809"/>
        <w:spacing w:after="0"/>
        <w:tabs>
          <w:tab w:leader="none" w:pos="1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179" w:lineRule="exact"/>
        <w:rPr>
          <w:rFonts w:ascii="Courier New" w:cs="Courier New" w:eastAsia="Courier New" w:hAnsi="Courier New"/>
          <w:sz w:val="15"/>
          <w:szCs w:val="15"/>
          <w:color w:val="auto"/>
        </w:rPr>
      </w:pPr>
    </w:p>
    <w:p>
      <w:pPr>
        <w:ind w:left="1820" w:right="3319" w:hanging="451"/>
        <w:spacing w:after="0" w:line="246" w:lineRule="auto"/>
        <w:tabs>
          <w:tab w:leader="none" w:pos="18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 issued pursuant to exercise of an Option shall be determined by the Administrator, subject to the following:</w:t>
      </w:r>
    </w:p>
    <w:p>
      <w:pPr>
        <w:spacing w:after="0" w:line="177" w:lineRule="exact"/>
        <w:rPr>
          <w:rFonts w:ascii="Courier New" w:cs="Courier New" w:eastAsia="Courier New" w:hAnsi="Courier New"/>
          <w:sz w:val="15"/>
          <w:szCs w:val="15"/>
          <w:color w:val="auto"/>
        </w:rPr>
      </w:pPr>
    </w:p>
    <w:p>
      <w:pPr>
        <w:ind w:left="2280" w:hanging="457"/>
        <w:spacing w:after="0"/>
        <w:tabs>
          <w:tab w:leader="none" w:pos="2280"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Incentive Stock Option</w:t>
      </w:r>
    </w:p>
    <w:p>
      <w:pPr>
        <w:spacing w:after="0" w:line="179" w:lineRule="exact"/>
        <w:rPr>
          <w:rFonts w:ascii="Courier New" w:cs="Courier New" w:eastAsia="Courier New" w:hAnsi="Courier New"/>
          <w:sz w:val="15"/>
          <w:szCs w:val="15"/>
          <w:color w:val="auto"/>
        </w:rPr>
      </w:pPr>
    </w:p>
    <w:p>
      <w:pPr>
        <w:ind w:left="2820" w:right="2959" w:hanging="360"/>
        <w:spacing w:after="0" w:line="246" w:lineRule="auto"/>
        <w:tabs>
          <w:tab w:leader="none" w:pos="2820" w:val="left"/>
        </w:tabs>
        <w:numPr>
          <w:ilvl w:val="3"/>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79" w:lineRule="exact"/>
        <w:rPr>
          <w:rFonts w:ascii="Courier New" w:cs="Courier New" w:eastAsia="Courier New" w:hAnsi="Courier New"/>
          <w:sz w:val="15"/>
          <w:szCs w:val="15"/>
          <w:color w:val="auto"/>
        </w:rPr>
      </w:pPr>
    </w:p>
    <w:p>
      <w:pPr>
        <w:ind w:left="2820" w:right="2959" w:hanging="360"/>
        <w:spacing w:after="0" w:line="246" w:lineRule="auto"/>
        <w:tabs>
          <w:tab w:leader="none" w:pos="2820" w:val="left"/>
        </w:tabs>
        <w:numPr>
          <w:ilvl w:val="3"/>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Employee other than an Employee described in paragraph (A) immediately above, the per Share exercise price shall be no less than 100% of the Fair Market Value per Share on the date of grant.</w:t>
      </w:r>
    </w:p>
    <w:p>
      <w:pPr>
        <w:spacing w:after="0" w:line="177" w:lineRule="exact"/>
        <w:rPr>
          <w:rFonts w:ascii="Courier New" w:cs="Courier New" w:eastAsia="Courier New" w:hAnsi="Courier New"/>
          <w:sz w:val="15"/>
          <w:szCs w:val="15"/>
          <w:color w:val="auto"/>
        </w:rPr>
      </w:pPr>
    </w:p>
    <w:p>
      <w:pPr>
        <w:ind w:left="2820" w:right="3039" w:hanging="360"/>
        <w:spacing w:after="0" w:line="247" w:lineRule="auto"/>
        <w:tabs>
          <w:tab w:leader="none" w:pos="2820" w:val="left"/>
        </w:tabs>
        <w:numPr>
          <w:ilvl w:val="3"/>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In the case of a Nonstatutory Stock Option, the per Share exercise price shall be determined by the Administrator.</w:t>
      </w:r>
    </w:p>
    <w:p>
      <w:pPr>
        <w:spacing w:after="0" w:line="174" w:lineRule="exact"/>
        <w:rPr>
          <w:rFonts w:ascii="Courier New" w:cs="Courier New" w:eastAsia="Courier New" w:hAnsi="Courier New"/>
          <w:sz w:val="15"/>
          <w:szCs w:val="15"/>
          <w:color w:val="auto"/>
        </w:rPr>
      </w:pPr>
    </w:p>
    <w:p>
      <w:pPr>
        <w:ind w:left="1820" w:right="2959" w:hanging="451"/>
        <w:spacing w:after="0" w:line="246" w:lineRule="auto"/>
        <w:tabs>
          <w:tab w:leader="none" w:pos="18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039" w:firstLine="1356"/>
        <w:spacing w:after="0" w:line="246" w:lineRule="auto"/>
        <w:tabs>
          <w:tab w:leader="none" w:pos="17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77"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77"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"cashless exercise" during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trading window permitted by the Company's Insider Trading Policy, 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77"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amount of any Company liability</w:t>
      </w:r>
    </w:p>
    <w:p>
      <w:pPr>
        <w:spacing w:after="0" w:line="4" w:lineRule="exact"/>
        <w:rPr>
          <w:rFonts w:ascii="Courier New" w:cs="Courier New" w:eastAsia="Courier New" w:hAnsi="Courier New"/>
          <w:sz w:val="15"/>
          <w:szCs w:val="15"/>
          <w:color w:val="auto"/>
        </w:rPr>
      </w:pPr>
    </w:p>
    <w:p>
      <w:pPr>
        <w:jc w:val="both"/>
        <w:ind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Optionee, including any liability attributable to the Optionee's participation in any Company-sponsored deferred compensation program or arrangement;</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to the extent permitted by Applicable Laws.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9" w:lineRule="exact"/>
        <w:rPr>
          <w:rFonts w:ascii="Courier New" w:cs="Courier New" w:eastAsia="Courier New" w:hAnsi="Courier New"/>
          <w:sz w:val="15"/>
          <w:szCs w:val="15"/>
          <w:color w:val="auto"/>
        </w:rPr>
      </w:pPr>
    </w:p>
    <w:p>
      <w:pPr>
        <w:ind w:left="1820" w:right="3039" w:hanging="464"/>
        <w:spacing w:after="0" w:line="246" w:lineRule="auto"/>
        <w:tabs>
          <w:tab w:leader="none" w:pos="18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 hereunder shall be exercisable according to the terms of the Plan and at such times and under such conditions as determined by the Administrator and set forth in the Option Agreement.</w:t>
      </w:r>
    </w:p>
    <w:p>
      <w:pPr>
        <w:spacing w:after="0" w:line="178"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2090"/>
        <w:spacing w:after="0" w:line="246"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12 of the Plan.</w:t>
      </w: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19" w:firstLine="2090"/>
        <w:spacing w:after="0" w:line="246"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177" w:lineRule="exact"/>
        <w:rPr>
          <w:sz w:val="20"/>
          <w:szCs w:val="20"/>
          <w:color w:val="auto"/>
        </w:rPr>
      </w:pPr>
    </w:p>
    <w:p>
      <w:pPr>
        <w:ind w:left="2080" w:hanging="724"/>
        <w:spacing w:after="0"/>
        <w:tabs>
          <w:tab w:leader="none" w:pos="20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an Optionee's Continuous</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Status as an Employee or Consultant with the Company, such Optionee may exercise his or her Option to the extent that he or she was entitled to exercise it as of the date of such termination. Such exercise may occur only before the end of the period determined by the Administrator for exercise following termination. In the case of an Incentive Stock Option, such period shall not exceed three (3) months. In no event shall such period extend beyond the expiration date of the term of the Option as set forth in the Option Agreement.</w:t>
      </w:r>
    </w:p>
    <w:p>
      <w:pPr>
        <w:spacing w:after="0" w:line="179" w:lineRule="exact"/>
        <w:rPr>
          <w:rFonts w:ascii="Courier New" w:cs="Courier New" w:eastAsia="Courier New" w:hAnsi="Courier New"/>
          <w:sz w:val="15"/>
          <w:szCs w:val="15"/>
          <w:color w:val="auto"/>
        </w:rPr>
      </w:pPr>
    </w:p>
    <w:p>
      <w:pPr>
        <w:ind w:right="2959" w:firstLine="2083"/>
        <w:spacing w:after="0" w:line="246" w:lineRule="auto"/>
        <w:tabs>
          <w:tab w:leader="none" w:pos="2726"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Optionee's change of status from Employee to Consultant shall not be treated as a termination of the Optionee's Continuous Status as an Employee or Consultant, and any Option held by the Optionee shall remain in effect, except as provided hereinbelow. Any Incentive Stock Option held by such Optionee shall automatically cease to be treated for tax purposes as an Incentive Stock Option and shall be treated as a Nonstatutory Stock Option on the ninety-first (91st) day following such change of status. Notwithstanding the above, within thirty (30) days after any such change of status, the Administrator may in its discretion determine that this Section 10(b)(ii) shall not apply to such change of status and that such change of status shall be treated as a termination of the Optionee's Continuous Status as an Employee or Consultant as provided in Section 10(b)(i).</w:t>
      </w:r>
    </w:p>
    <w:p>
      <w:pPr>
        <w:spacing w:after="0" w:line="182"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Optionee is not entitled to</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his or her Option at the date of such termination, or if the Optionee does not exercise such Option to the extent so entitled within the time specified herein, the Option shall terminate.</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Upon termination of an Optionee's Continuous Status as an Employee or Consultant as a result of the Optionee's Disability, the Optionee may exercise his or her Option at any time within twelve (12) months from the date of such termination (but in no event later than the expiration of the term of such Option as set forth in the Notice of Grant), only to the extent that the Optionee was entitled to exercise it at the date of such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2"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Upon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only to the extent that the Optionee was entitled to exercise the Option at the date of death. If, at the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82"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2959" w:firstLine="811"/>
        <w:spacing w:after="0" w:line="246" w:lineRule="auto"/>
        <w:tabs>
          <w:tab w:leader="none" w:pos="118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An Option may not be sold, pledged, assigned, hypothecated, transferred, or disposed of in any manner other than by will or by the laws of descent or distribution and may be exercised, during the lifetime of the Optionee, only by the Optionee.</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 shareholders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6"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 with or into another corporation, or the sale of substantially all of the assets of the Company, each outstanding Option may be assumed or an equivalent option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fifteen (15) days from the date of such notice, and the Option will terminate upon the expiration of such period. For the purposes of this paragraph, the Option shall be considered assumed if, following the merger or sale of assets, the option confers the right to purchase or receive,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19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260" w:right="3139" w:firstLine="811"/>
        <w:spacing w:after="0" w:line="246" w:lineRule="auto"/>
        <w:tabs>
          <w:tab w:leader="none" w:pos="92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77" w:lineRule="exact"/>
        <w:rPr>
          <w:rFonts w:ascii="Courier New" w:cs="Courier New" w:eastAsia="Courier New" w:hAnsi="Courier New"/>
          <w:sz w:val="15"/>
          <w:szCs w:val="15"/>
          <w:color w:val="auto"/>
        </w:rPr>
      </w:pPr>
    </w:p>
    <w:p>
      <w:pPr>
        <w:ind w:left="920" w:hanging="369"/>
        <w:spacing w:after="0"/>
        <w:tabs>
          <w:tab w:leader="none" w:pos="9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79" w:lineRule="exact"/>
        <w:rPr>
          <w:rFonts w:ascii="Courier New" w:cs="Courier New" w:eastAsia="Courier New" w:hAnsi="Courier New"/>
          <w:sz w:val="15"/>
          <w:szCs w:val="15"/>
          <w:color w:val="auto"/>
        </w:rPr>
      </w:pPr>
    </w:p>
    <w:p>
      <w:pPr>
        <w:ind w:left="-260" w:right="3139" w:firstLine="1356"/>
        <w:spacing w:after="0" w:line="247" w:lineRule="auto"/>
        <w:tabs>
          <w:tab w:leader="none" w:pos="146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 suspend or terminate the Plan.</w:t>
      </w:r>
    </w:p>
    <w:p>
      <w:pPr>
        <w:spacing w:after="0" w:line="174" w:lineRule="exact"/>
        <w:rPr>
          <w:rFonts w:ascii="Courier New" w:cs="Courier New" w:eastAsia="Courier New" w:hAnsi="Courier New"/>
          <w:sz w:val="15"/>
          <w:szCs w:val="15"/>
          <w:color w:val="auto"/>
        </w:rPr>
      </w:pPr>
    </w:p>
    <w:p>
      <w:pPr>
        <w:ind w:left="-260" w:right="3039" w:firstLine="1356"/>
        <w:spacing w:after="0" w:line="246" w:lineRule="auto"/>
        <w:tabs>
          <w:tab w:leader="none" w:pos="146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Company shall obtain shareholder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79"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7" w:lineRule="exact"/>
        <w:rPr>
          <w:rFonts w:ascii="Courier New" w:cs="Courier New" w:eastAsia="Courier New" w:hAnsi="Courier New"/>
          <w:sz w:val="15"/>
          <w:szCs w:val="15"/>
          <w:color w:val="auto"/>
        </w:rPr>
      </w:pPr>
    </w:p>
    <w:p>
      <w:pPr>
        <w:ind w:left="920" w:hanging="369"/>
        <w:spacing w:after="0"/>
        <w:tabs>
          <w:tab w:leader="none" w:pos="9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179"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79"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8" w:lineRule="exact"/>
        <w:rPr>
          <w:rFonts w:ascii="Courier New" w:cs="Courier New" w:eastAsia="Courier New" w:hAnsi="Courier New"/>
          <w:sz w:val="15"/>
          <w:szCs w:val="15"/>
          <w:color w:val="auto"/>
        </w:rPr>
      </w:pPr>
    </w:p>
    <w:p>
      <w:pPr>
        <w:ind w:left="920" w:hanging="369"/>
        <w:spacing w:after="0"/>
        <w:tabs>
          <w:tab w:leader="none" w:pos="9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w:t>
      </w:r>
    </w:p>
    <w:p>
      <w:pPr>
        <w:spacing w:after="0" w:line="179" w:lineRule="exact"/>
        <w:rPr>
          <w:rFonts w:ascii="Courier New" w:cs="Courier New" w:eastAsia="Courier New" w:hAnsi="Courier New"/>
          <w:sz w:val="15"/>
          <w:szCs w:val="15"/>
          <w:color w:val="auto"/>
        </w:rPr>
      </w:pPr>
    </w:p>
    <w:p>
      <w:pPr>
        <w:ind w:left="-260" w:right="3139" w:firstLine="1356"/>
        <w:spacing w:after="0" w:line="246" w:lineRule="auto"/>
        <w:tabs>
          <w:tab w:leader="none" w:pos="146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79" w:lineRule="exact"/>
        <w:rPr>
          <w:rFonts w:ascii="Courier New" w:cs="Courier New" w:eastAsia="Courier New" w:hAnsi="Courier New"/>
          <w:sz w:val="15"/>
          <w:szCs w:val="15"/>
          <w:color w:val="auto"/>
        </w:rPr>
      </w:pPr>
    </w:p>
    <w:p>
      <w:pPr>
        <w:jc w:val="both"/>
        <w:ind w:left="-260" w:right="3139" w:firstLine="811"/>
        <w:spacing w:after="0" w:line="247" w:lineRule="auto"/>
        <w:tabs>
          <w:tab w:leader="none" w:pos="92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 at all times reserve and keep available such number of Shares as shall be sufficient to satisfy the requirements of the Plan.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left="-260" w:right="2959" w:firstLine="811"/>
        <w:spacing w:after="0" w:line="246" w:lineRule="auto"/>
        <w:tabs>
          <w:tab w:leader="none" w:pos="92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state law.</w:t>
      </w:r>
    </w:p>
    <w:p>
      <w:pPr>
        <w:spacing w:after="0" w:line="35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9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10.16 (a)</w:t>
      </w:r>
    </w:p>
    <w:p>
      <w:pPr>
        <w:spacing w:after="0" w:line="200" w:lineRule="exact"/>
        <w:rPr>
          <w:sz w:val="20"/>
          <w:szCs w:val="20"/>
          <w:color w:val="auto"/>
        </w:rPr>
      </w:pPr>
    </w:p>
    <w:p>
      <w:pPr>
        <w:spacing w:after="0" w:line="32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1996 LONG TERM STOCK OPTION PLAN</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AS AMENDED AND RESTATED FEBRUARY 24, 1997</w:t>
      </w:r>
    </w:p>
    <w:p>
      <w:pPr>
        <w:spacing w:after="0" w:line="180" w:lineRule="exact"/>
        <w:rPr>
          <w:sz w:val="20"/>
          <w:szCs w:val="20"/>
          <w:color w:val="auto"/>
        </w:rPr>
      </w:pPr>
    </w:p>
    <w:p>
      <w:pPr>
        <w:ind w:right="3419" w:firstLine="811"/>
        <w:spacing w:after="0" w:line="247" w:lineRule="auto"/>
        <w:tabs>
          <w:tab w:leader="none" w:pos="163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1996 Long Term Stock Option Plan (the "Plan") are:</w:t>
      </w:r>
    </w:p>
    <w:p>
      <w:pPr>
        <w:spacing w:after="0" w:line="175" w:lineRule="exact"/>
        <w:rPr>
          <w:sz w:val="20"/>
          <w:szCs w:val="20"/>
          <w:color w:val="auto"/>
        </w:rPr>
      </w:pPr>
    </w:p>
    <w:p>
      <w:pPr>
        <w:ind w:left="1620" w:right="3499" w:hanging="809"/>
        <w:spacing w:after="0" w:line="247" w:lineRule="auto"/>
        <w:tabs>
          <w:tab w:leader="none" w:pos="1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quality personnel for positions of substantial responsibility,</w:t>
      </w:r>
    </w:p>
    <w:p>
      <w:pPr>
        <w:spacing w:after="0" w:line="174" w:lineRule="exact"/>
        <w:rPr>
          <w:rFonts w:ascii="Courier New" w:cs="Courier New" w:eastAsia="Courier New" w:hAnsi="Courier New"/>
          <w:sz w:val="15"/>
          <w:szCs w:val="15"/>
          <w:color w:val="auto"/>
        </w:rPr>
      </w:pPr>
    </w:p>
    <w:p>
      <w:pPr>
        <w:ind w:left="1620" w:right="3319" w:hanging="809"/>
        <w:spacing w:after="0" w:line="247" w:lineRule="auto"/>
        <w:tabs>
          <w:tab w:leader="none" w:pos="1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additional incentive for senior personnel of the Company by offering long term equity participation in the Company, and</w:t>
      </w:r>
    </w:p>
    <w:p>
      <w:pPr>
        <w:spacing w:after="0" w:line="174"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long-term success of the Company's business.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Options granted under the Plan may be Incentive Stock Options or Nonstatutory Stock Options, as determined by the Administrator at the time of grant and subject to the applicable provisions of Section 422 of the Code and the regulations promulgated thereunder.</w:t>
      </w:r>
    </w:p>
    <w:p>
      <w:pPr>
        <w:spacing w:after="0" w:line="177" w:lineRule="exact"/>
        <w:rPr>
          <w:sz w:val="20"/>
          <w:szCs w:val="20"/>
          <w:color w:val="auto"/>
        </w:rPr>
      </w:pPr>
    </w:p>
    <w:p>
      <w:pPr>
        <w:ind w:left="1620" w:right="3139" w:hanging="809"/>
        <w:spacing w:after="0" w:line="247" w:lineRule="auto"/>
        <w:tabs>
          <w:tab w:leader="none" w:pos="1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174"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 administer the Plan in accordance with Section 4 of the Plan.</w:t>
      </w:r>
    </w:p>
    <w:p>
      <w:pPr>
        <w:spacing w:after="0" w:line="174" w:lineRule="exact"/>
        <w:rPr>
          <w:rFonts w:ascii="Courier New" w:cs="Courier New" w:eastAsia="Courier New" w:hAnsi="Courier New"/>
          <w:sz w:val="15"/>
          <w:szCs w:val="15"/>
          <w:color w:val="auto"/>
        </w:rPr>
      </w:pPr>
    </w:p>
    <w:p>
      <w:pPr>
        <w:jc w:val="both"/>
        <w:ind w:right="3219" w:firstLine="1356"/>
        <w:spacing w:after="0" w:line="247" w:lineRule="auto"/>
        <w:tabs>
          <w:tab w:leader="none" w:pos="17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 administration of stock option plans under state corporate and securities laws and the Code.</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9" w:lineRule="exact"/>
        <w:rPr>
          <w:rFonts w:ascii="Courier New" w:cs="Courier New" w:eastAsia="Courier New" w:hAnsi="Courier New"/>
          <w:sz w:val="15"/>
          <w:szCs w:val="15"/>
          <w:color w:val="auto"/>
        </w:rPr>
      </w:pPr>
    </w:p>
    <w:p>
      <w:pPr>
        <w:ind w:right="3499" w:firstLine="1356"/>
        <w:spacing w:after="0" w:line="247" w:lineRule="auto"/>
        <w:tabs>
          <w:tab w:leader="none" w:pos="17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 with Section 4 of the Plan.</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Class A of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Gartner Group, Inc., a Delaware corporation.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ectPr>
          <w:pgSz w:w="11900" w:h="16838" w:orient="portrait"/>
          <w:cols w:equalWidth="0" w:num="1">
            <w:col w:w="10219"/>
          </w:cols>
          <w:pgMar w:left="240" w:top="142"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039" w:firstLine="1356"/>
        <w:spacing w:after="0" w:line="246" w:lineRule="auto"/>
        <w:tabs>
          <w:tab w:leader="none" w:pos="17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83"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179"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 Section 22(e)(3) of the Code.</w:t>
      </w:r>
    </w:p>
    <w:p>
      <w:pPr>
        <w:spacing w:after="0" w:line="174" w:lineRule="exact"/>
        <w:rPr>
          <w:rFonts w:ascii="Courier New" w:cs="Courier New" w:eastAsia="Courier New" w:hAnsi="Courier New"/>
          <w:sz w:val="15"/>
          <w:szCs w:val="15"/>
          <w:color w:val="auto"/>
        </w:rPr>
      </w:pPr>
    </w:p>
    <w:p>
      <w:pPr>
        <w:ind w:right="3139" w:firstLine="1356"/>
        <w:spacing w:after="0" w:line="246" w:lineRule="auto"/>
        <w:tabs>
          <w:tab w:leader="none" w:pos="17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the Common Stock determined as follows:</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or a national market system, including without limitation the Nasdaq National Market of the National Association of Securities Dealers, Inc. Automated Quotation ("NASDAQ") System, the Fair Market Value of a share of Common Stock shall be the average of the closing sales prices for such stock (or the average of the closing bids, if no sales were reported) as quoted on such system or exchange (or the exchange with the greatest volume of trading in Common Stock) on the five market trading days immediately preceding the date of determination, as reported in The Wall Street Journal or such other source as the Administrator of the Plan deems reliable; provided, however, that in the event the Fair Market Value as so determined is more than 20% greater or more than 20% less than the closing sales price for such stock (or the closing bid, if no sales were reported) as so quoted on the date of determination, then the Administrator shall be entitled to determine the Fair Market Value in good faith, at a price within the range of prices from the Fair Market Value as otherwise determined above to the closing price (or closing bid, as applicable) on the date of determination;</w:t>
      </w:r>
    </w:p>
    <w:p>
      <w:pPr>
        <w:spacing w:after="0" w:line="184"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quoted on the NASDAQ System</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(but not on the Nasdaq National Market thereof) or is regularly quoted by a recognized securities dealer but selling prices are not reported, the Fair Market Value of a Share of Common Stock shall be the average of the means between the high bid and low asked prices for the Common Stock on the five market trading days immediately preceding the day of determination, as reported in The Wall Street Journal</w:t>
      </w:r>
    </w:p>
    <w:p>
      <w:pPr>
        <w:sectPr>
          <w:pgSz w:w="11900" w:h="16838" w:orient="portrait"/>
          <w:cols w:equalWidth="0" w:num="1">
            <w:col w:w="10219"/>
          </w:cols>
          <w:pgMar w:left="240" w:top="29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or such other source as the Administrator deems reliable; provided, however, that in the event the Fair Market Value as so determined is more than 20% greater or more than 20% less than the mean between the high bid and low asked prices for such stock as so quoted on the date of determination, then the Administrator shall be entitled to determine the Fair Market Value in good faith, at a price within the range of prices from the Fair Market Value as otherwise determined above to the mean between the high bid and low asked prices on the date of determination;</w:t>
      </w:r>
    </w:p>
    <w:p>
      <w:pPr>
        <w:spacing w:after="0" w:line="180" w:lineRule="exact"/>
        <w:rPr>
          <w:sz w:val="20"/>
          <w:szCs w:val="20"/>
          <w:color w:val="auto"/>
        </w:rPr>
      </w:pPr>
    </w:p>
    <w:p>
      <w:pPr>
        <w:ind w:right="3139" w:firstLine="1629"/>
        <w:spacing w:after="0" w:line="247" w:lineRule="auto"/>
        <w:tabs>
          <w:tab w:leader="none" w:pos="2181"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established market for the Common Stock, the Fair Market Value shall be determined in good faith by the Administrator.</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intended to qualify as an incentive stock option within the meaning of Section 422 of the Code and the regulations promulgated thereunder.</w:t>
      </w:r>
    </w:p>
    <w:p>
      <w:pPr>
        <w:spacing w:after="0" w:line="174"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w:t>
      </w:r>
    </w:p>
    <w:p>
      <w:pPr>
        <w:spacing w:after="0" w:line="174" w:lineRule="exact"/>
        <w:rPr>
          <w:rFonts w:ascii="Courier New" w:cs="Courier New" w:eastAsia="Courier New" w:hAnsi="Courier New"/>
          <w:sz w:val="15"/>
          <w:szCs w:val="15"/>
          <w:color w:val="auto"/>
        </w:rPr>
      </w:pPr>
    </w:p>
    <w:p>
      <w:pPr>
        <w:ind w:right="3039" w:firstLine="1356"/>
        <w:spacing w:after="0" w:line="247"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Grant" means a written notice evidencing certain terms and conditions of an individual Option grant. The Notice of Grant is part of the Option Agreement.</w:t>
      </w:r>
    </w:p>
    <w:p>
      <w:pPr>
        <w:spacing w:after="0" w:line="174" w:lineRule="exact"/>
        <w:rPr>
          <w:rFonts w:ascii="Courier New" w:cs="Courier New" w:eastAsia="Courier New" w:hAnsi="Courier New"/>
          <w:sz w:val="15"/>
          <w:szCs w:val="15"/>
          <w:color w:val="auto"/>
        </w:rPr>
      </w:pPr>
    </w:p>
    <w:p>
      <w:pPr>
        <w:ind w:right="3319" w:firstLine="1356"/>
        <w:spacing w:after="0" w:line="247"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stock option granted pursuant to the Plan.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77" w:lineRule="exact"/>
        <w:rPr>
          <w:rFonts w:ascii="Courier New" w:cs="Courier New" w:eastAsia="Courier New" w:hAnsi="Courier New"/>
          <w:sz w:val="15"/>
          <w:szCs w:val="15"/>
          <w:color w:val="auto"/>
        </w:rPr>
      </w:pPr>
    </w:p>
    <w:p>
      <w:pPr>
        <w:ind w:right="2959" w:firstLine="1356"/>
        <w:spacing w:after="0" w:line="247"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Exchange Program" means a program whereby outstanding options are surrendered in exchange for options with a lower exercise price.</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w:t>
      </w:r>
    </w:p>
    <w:p>
      <w:pPr>
        <w:spacing w:after="0" w:line="179" w:lineRule="exact"/>
        <w:rPr>
          <w:rFonts w:ascii="Courier New" w:cs="Courier New" w:eastAsia="Courier New" w:hAnsi="Courier New"/>
          <w:sz w:val="15"/>
          <w:szCs w:val="15"/>
          <w:color w:val="auto"/>
        </w:rPr>
      </w:pPr>
    </w:p>
    <w:p>
      <w:pPr>
        <w:ind w:right="3679" w:firstLine="1356"/>
        <w:spacing w:after="0" w:line="247"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means a "parent corporation", whether now or hereafter existing, as defined in Section 424(e) of the Code.</w:t>
      </w:r>
    </w:p>
    <w:p>
      <w:pPr>
        <w:spacing w:after="0" w:line="174" w:lineRule="exact"/>
        <w:rPr>
          <w:rFonts w:ascii="Courier New" w:cs="Courier New" w:eastAsia="Courier New" w:hAnsi="Courier New"/>
          <w:sz w:val="15"/>
          <w:szCs w:val="15"/>
          <w:color w:val="auto"/>
        </w:rPr>
      </w:pPr>
    </w:p>
    <w:p>
      <w:pPr>
        <w:ind w:right="3219" w:firstLine="1356"/>
        <w:spacing w:after="0" w:line="247"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of the Exchange Act or any successor to Rule 16b-3, as in effect when discretion is being exercised with respect to the Plan.</w:t>
      </w:r>
    </w:p>
    <w:p>
      <w:pPr>
        <w:spacing w:after="0" w:line="174" w:lineRule="exact"/>
        <w:rPr>
          <w:rFonts w:ascii="Courier New" w:cs="Courier New" w:eastAsia="Courier New" w:hAnsi="Courier New"/>
          <w:sz w:val="15"/>
          <w:szCs w:val="15"/>
          <w:color w:val="auto"/>
        </w:rPr>
      </w:pPr>
    </w:p>
    <w:p>
      <w:pPr>
        <w:jc w:val="both"/>
        <w:ind w:right="3419" w:firstLine="1356"/>
        <w:spacing w:after="0" w:line="246" w:lineRule="auto"/>
        <w:tabs>
          <w:tab w:leader="none" w:pos="17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Manager" means an Employee who is an executive officer, vice president, director-level employee or senior analyst of the Company, or such other Employee as the Administrator shall deem eligible to participate in the Plan.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599" w:firstLine="1356"/>
        <w:spacing w:after="0" w:line="247" w:lineRule="auto"/>
        <w:tabs>
          <w:tab w:leader="none" w:pos="181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Common Stock, as adjusted in accordance with Section 12 of the Plan.</w:t>
      </w:r>
    </w:p>
    <w:p>
      <w:pPr>
        <w:spacing w:after="0" w:line="174" w:lineRule="exact"/>
        <w:rPr>
          <w:rFonts w:ascii="Courier New" w:cs="Courier New" w:eastAsia="Courier New" w:hAnsi="Courier New"/>
          <w:sz w:val="15"/>
          <w:szCs w:val="15"/>
          <w:color w:val="auto"/>
        </w:rPr>
      </w:pPr>
    </w:p>
    <w:p>
      <w:pPr>
        <w:ind w:right="3139" w:firstLine="1356"/>
        <w:spacing w:after="0" w:line="247" w:lineRule="auto"/>
        <w:tabs>
          <w:tab w:leader="none" w:pos="181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"subsidiary corporation," whether now or hereafter existing, as defined in Section 424(f) of the Code.</w:t>
      </w:r>
    </w:p>
    <w:p>
      <w:pPr>
        <w:spacing w:after="0" w:line="174" w:lineRule="exact"/>
        <w:rPr>
          <w:rFonts w:ascii="Courier New" w:cs="Courier New" w:eastAsia="Courier New" w:hAnsi="Courier New"/>
          <w:sz w:val="15"/>
          <w:szCs w:val="15"/>
          <w:color w:val="auto"/>
        </w:rPr>
      </w:pPr>
    </w:p>
    <w:p>
      <w:pPr>
        <w:ind w:right="3139" w:firstLine="811"/>
        <w:spacing w:after="0" w:line="246" w:lineRule="auto"/>
        <w:tabs>
          <w:tab w:leader="none" w:pos="109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the Plan. Subject to the provisions of Section 12 of the Plan, the maximum aggregate number of Shares which may be optioned and sold under the Plan is 1,800,000 Shares. The Shares may be authorized, but unissued, or reacquired Common Stock.</w:t>
      </w:r>
    </w:p>
    <w:p>
      <w:pPr>
        <w:spacing w:after="0" w:line="177"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 except that if unvested Shares are repurchased by the Company at their original purchase price, and the original purchaser of such Shares did not receive any benefits of ownership of such Shares, such Shares shall become available for future grant under the Plan. For purposes of the preceding sentence, voting rights shall not be considered a benefit of Share ownership.</w:t>
      </w:r>
    </w:p>
    <w:p>
      <w:pPr>
        <w:spacing w:after="0" w:line="181" w:lineRule="exact"/>
        <w:rPr>
          <w:sz w:val="20"/>
          <w:szCs w:val="20"/>
          <w:color w:val="auto"/>
        </w:rPr>
      </w:pPr>
    </w:p>
    <w:p>
      <w:pPr>
        <w:ind w:left="1360" w:hanging="640"/>
        <w:spacing w:after="0"/>
        <w:tabs>
          <w:tab w:leader="none" w:pos="13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9" w:lineRule="exact"/>
        <w:rPr>
          <w:rFonts w:ascii="Courier New" w:cs="Courier New" w:eastAsia="Courier New" w:hAnsi="Courier New"/>
          <w:sz w:val="15"/>
          <w:szCs w:val="15"/>
          <w:color w:val="auto"/>
        </w:rPr>
      </w:pPr>
    </w:p>
    <w:p>
      <w:pPr>
        <w:ind w:left="2080" w:hanging="724"/>
        <w:spacing w:after="0"/>
        <w:tabs>
          <w:tab w:leader="none" w:pos="208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Administrative Bodies.  The Plan may be</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administered by different Committees with respect to Directors, Officers who are not Directors, and Senior Managers who are neither Directors nor Officers.</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162(m). To the extent that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determines it to be desirable to qualify Options granted hereunder as "performance-based compensation" within the meaning of Section 162(m) of the Code, the Plan shall be administered by a Committee of two or more "outside directors" within the meaning of Section 162(m) of the Code.</w:t>
      </w:r>
    </w:p>
    <w:p>
      <w:pPr>
        <w:spacing w:after="0" w:line="177"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To the extent desirable to qualify</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hereunder as exempt under Rule 16b-3, the transactions contemplated hereunder shall be structured to satisfy the requirements for exemption under Rule 16b-3.</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Administration.  Other than as provided</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Plan shall be administered by (A) the Board or (B) a Committee, which committee shall be constituted to satisfy Applicable Laws.</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in accordance with Section 2(n) of the Plan;</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Senior Managers to whom Options may</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 granted hereunder;</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are granted hereunder;</w:t>
      </w:r>
    </w:p>
    <w:p>
      <w:pPr>
        <w:spacing w:after="0" w:line="179" w:lineRule="exact"/>
        <w:rPr>
          <w:rFonts w:ascii="Courier New" w:cs="Courier New" w:eastAsia="Courier New" w:hAnsi="Courier New"/>
          <w:sz w:val="15"/>
          <w:szCs w:val="15"/>
          <w:color w:val="auto"/>
        </w:rPr>
      </w:pPr>
    </w:p>
    <w:p>
      <w:pPr>
        <w:ind w:right="3039" w:firstLine="2083"/>
        <w:spacing w:after="0" w:line="247" w:lineRule="auto"/>
        <w:tabs>
          <w:tab w:leader="none" w:pos="272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exercise price of any Option to the</w:t>
      </w:r>
    </w:p>
    <w:p>
      <w:pPr>
        <w:spacing w:after="0" w:line="4" w:lineRule="exact"/>
        <w:rPr>
          <w:rFonts w:ascii="Courier New" w:cs="Courier New" w:eastAsia="Courier New" w:hAnsi="Courier New"/>
          <w:sz w:val="15"/>
          <w:szCs w:val="15"/>
          <w:color w:val="auto"/>
        </w:rPr>
      </w:pPr>
    </w:p>
    <w:p>
      <w:pPr>
        <w:ind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then current Fair Market Value if the Fair Market Value of the Common Stock covered by such Option shall have declined since the date the Option was granted;</w:t>
      </w:r>
    </w:p>
    <w:p>
      <w:pPr>
        <w:spacing w:after="0" w:line="174" w:lineRule="exact"/>
        <w:rPr>
          <w:rFonts w:ascii="Courier New" w:cs="Courier New" w:eastAsia="Courier New" w:hAnsi="Courier New"/>
          <w:sz w:val="15"/>
          <w:szCs w:val="15"/>
          <w:color w:val="auto"/>
        </w:rPr>
      </w:pPr>
    </w:p>
    <w:p>
      <w:pPr>
        <w:ind w:right="3219" w:firstLine="2083"/>
        <w:spacing w:after="0" w:line="247" w:lineRule="auto"/>
        <w:tabs>
          <w:tab w:leader="none" w:pos="272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regulations relating to the Plan, including rules and regulations relating to sub-plans established for the purpose of qualifying for preferred tax treatment under foreign tax laws;</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w:t>
      </w:r>
    </w:p>
    <w:p>
      <w:pPr>
        <w:spacing w:after="0" w:line="4" w:lineRule="exact"/>
        <w:rPr>
          <w:rFonts w:ascii="Courier New" w:cs="Courier New" w:eastAsia="Courier New" w:hAnsi="Courier New"/>
          <w:sz w:val="15"/>
          <w:szCs w:val="15"/>
          <w:color w:val="auto"/>
        </w:rPr>
      </w:pPr>
    </w:p>
    <w:p>
      <w:pPr>
        <w:ind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14(c) of the Plan), including the discretionary authority to extend the post-termination exercisability period of Options longer than is otherwise provided for in the Plan;</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any instrument required to effect the grant of an Option previously granted by the Administrator;</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 Option Exchange Program;</w:t>
      </w:r>
    </w:p>
    <w:p>
      <w:pPr>
        <w:spacing w:after="0" w:line="179" w:lineRule="exact"/>
        <w:rPr>
          <w:rFonts w:ascii="Courier New" w:cs="Courier New" w:eastAsia="Courier New" w:hAnsi="Courier New"/>
          <w:sz w:val="15"/>
          <w:szCs w:val="15"/>
          <w:color w:val="auto"/>
        </w:rPr>
      </w:pPr>
    </w:p>
    <w:p>
      <w:pPr>
        <w:ind w:right="3039" w:firstLine="2083"/>
        <w:spacing w:after="0" w:line="247" w:lineRule="auto"/>
        <w:tabs>
          <w:tab w:leader="none" w:pos="272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5" w:lineRule="exact"/>
        <w:rPr>
          <w:sz w:val="20"/>
          <w:szCs w:val="20"/>
          <w:color w:val="auto"/>
        </w:rPr>
      </w:pPr>
    </w:p>
    <w:p>
      <w:pPr>
        <w:ind w:right="3039" w:firstLine="1356"/>
        <w:spacing w:after="0" w:line="247" w:lineRule="auto"/>
        <w:tabs>
          <w:tab w:leader="none" w:pos="172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 determinations and interpretations shall be final and binding on all Optionees and any other holders of Options.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2959" w:firstLine="811"/>
        <w:spacing w:after="0" w:line="247" w:lineRule="auto"/>
        <w:tabs>
          <w:tab w:leader="none" w:pos="109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to Senior Managers. If otherwise eligible, a Senior Manager who has been granted an Option may be granted additional Options.</w:t>
      </w:r>
    </w:p>
    <w:p>
      <w:pPr>
        <w:spacing w:after="0" w:line="174" w:lineRule="exact"/>
        <w:rPr>
          <w:rFonts w:ascii="Courier New" w:cs="Courier New" w:eastAsia="Courier New" w:hAnsi="Courier New"/>
          <w:sz w:val="15"/>
          <w:szCs w:val="15"/>
          <w:color w:val="auto"/>
        </w:rPr>
      </w:pPr>
    </w:p>
    <w:p>
      <w:pPr>
        <w:ind w:left="1080" w:hanging="269"/>
        <w:spacing w:after="0"/>
        <w:tabs>
          <w:tab w:leader="none" w:pos="108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80"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77" w:lineRule="exact"/>
        <w:rPr>
          <w:rFonts w:ascii="Courier New" w:cs="Courier New" w:eastAsia="Courier New" w:hAnsi="Courier New"/>
          <w:sz w:val="15"/>
          <w:szCs w:val="15"/>
          <w:color w:val="auto"/>
        </w:rPr>
      </w:pPr>
    </w:p>
    <w:p>
      <w:pPr>
        <w:ind w:left="1720" w:hanging="364"/>
        <w:spacing w:after="0"/>
        <w:tabs>
          <w:tab w:leader="none" w:pos="172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limitations shall apply to grants of Options to</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9" w:lineRule="exact"/>
        <w:rPr>
          <w:rFonts w:ascii="Courier New" w:cs="Courier New" w:eastAsia="Courier New" w:hAnsi="Courier New"/>
          <w:sz w:val="15"/>
          <w:szCs w:val="15"/>
          <w:color w:val="auto"/>
        </w:rPr>
      </w:pPr>
    </w:p>
    <w:p>
      <w:pPr>
        <w:jc w:val="both"/>
        <w:ind w:left="1620" w:right="3039" w:firstLine="827"/>
        <w:spacing w:after="0" w:line="247" w:lineRule="auto"/>
        <w:tabs>
          <w:tab w:leader="none" w:pos="2801" w:val="left"/>
        </w:tabs>
        <w:numPr>
          <w:ilvl w:val="3"/>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shall be granted, in any fiscal year of the Company, Options to purchase more than 500,000 shares.</w:t>
      </w:r>
    </w:p>
    <w:p>
      <w:pPr>
        <w:spacing w:after="0" w:line="174" w:lineRule="exact"/>
        <w:rPr>
          <w:rFonts w:ascii="Courier New" w:cs="Courier New" w:eastAsia="Courier New" w:hAnsi="Courier New"/>
          <w:sz w:val="15"/>
          <w:szCs w:val="15"/>
          <w:color w:val="auto"/>
        </w:rPr>
      </w:pPr>
    </w:p>
    <w:p>
      <w:pPr>
        <w:ind w:left="1620" w:right="3039" w:firstLine="827"/>
        <w:spacing w:after="0" w:line="246" w:lineRule="auto"/>
        <w:tabs>
          <w:tab w:leader="none" w:pos="2892" w:val="left"/>
        </w:tabs>
        <w:numPr>
          <w:ilvl w:val="3"/>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his or her initial employment, an Employee may be granted Options to purchase up to an additional 500,000 Shares which shall not count against the limit set forth in subsection (i) above.</w:t>
      </w:r>
    </w:p>
    <w:p>
      <w:pPr>
        <w:spacing w:after="0" w:line="177" w:lineRule="exact"/>
        <w:rPr>
          <w:rFonts w:ascii="Courier New" w:cs="Courier New" w:eastAsia="Courier New" w:hAnsi="Courier New"/>
          <w:sz w:val="15"/>
          <w:szCs w:val="15"/>
          <w:color w:val="auto"/>
        </w:rPr>
      </w:pPr>
    </w:p>
    <w:p>
      <w:pPr>
        <w:ind w:left="1620" w:right="2959" w:firstLine="827"/>
        <w:spacing w:after="0" w:line="247" w:lineRule="auto"/>
        <w:tabs>
          <w:tab w:leader="none" w:pos="2983" w:val="left"/>
        </w:tabs>
        <w:numPr>
          <w:ilvl w:val="3"/>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limitations shall be adjusted proportionately in connection with any change in the Company's capitalization as described in Section 12.</w:t>
      </w:r>
    </w:p>
    <w:p>
      <w:pPr>
        <w:spacing w:after="0" w:line="174" w:lineRule="exact"/>
        <w:rPr>
          <w:rFonts w:ascii="Courier New" w:cs="Courier New" w:eastAsia="Courier New" w:hAnsi="Courier New"/>
          <w:sz w:val="15"/>
          <w:szCs w:val="15"/>
          <w:color w:val="auto"/>
        </w:rPr>
      </w:pPr>
    </w:p>
    <w:p>
      <w:pPr>
        <w:ind w:left="1620" w:right="2959" w:firstLine="827"/>
        <w:spacing w:after="0" w:line="246" w:lineRule="auto"/>
        <w:tabs>
          <w:tab w:leader="none" w:pos="2892" w:val="left"/>
        </w:tabs>
        <w:numPr>
          <w:ilvl w:val="3"/>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is canceled in the same fiscal year of the Company in which it was granted (other than in connection with a transaction describe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179" w:lineRule="exact"/>
        <w:rPr>
          <w:rFonts w:ascii="Courier New" w:cs="Courier New" w:eastAsia="Courier New" w:hAnsi="Courier New"/>
          <w:sz w:val="15"/>
          <w:szCs w:val="15"/>
          <w:color w:val="auto"/>
        </w:rPr>
      </w:pPr>
    </w:p>
    <w:p>
      <w:pPr>
        <w:ind w:right="2959" w:firstLine="720"/>
        <w:spacing w:after="0" w:line="246" w:lineRule="auto"/>
        <w:tabs>
          <w:tab w:leader="none" w:pos="10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77" w:lineRule="exact"/>
        <w:rPr>
          <w:rFonts w:ascii="Courier New" w:cs="Courier New" w:eastAsia="Courier New" w:hAnsi="Courier New"/>
          <w:sz w:val="15"/>
          <w:szCs w:val="15"/>
          <w:color w:val="auto"/>
        </w:rPr>
      </w:pPr>
    </w:p>
    <w:p>
      <w:pPr>
        <w:ind w:right="3039" w:firstLine="720"/>
        <w:spacing w:after="0" w:line="247" w:lineRule="auto"/>
        <w:tabs>
          <w:tab w:leader="none" w:pos="10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ten (10) years from the date of grant. However, in the case of an Incentive Stock Option, the term shall be ten (10) years from the date of</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grant or such shorter term as may be provided in the Notice of Grant. Moreover, in the case of an Incentive Stock Option granted to an Optionee who, at the time the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79" w:lineRule="exact"/>
        <w:rPr>
          <w:sz w:val="20"/>
          <w:szCs w:val="20"/>
          <w:color w:val="auto"/>
        </w:rPr>
      </w:pPr>
    </w:p>
    <w:p>
      <w:pPr>
        <w:ind w:left="1360" w:hanging="640"/>
        <w:spacing w:after="0"/>
        <w:tabs>
          <w:tab w:leader="none" w:pos="13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 issued pursuant to exercise of an Option shall be determined by the Administrator, subject to the following:</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Incentive Stock Option</w:t>
      </w:r>
    </w:p>
    <w:p>
      <w:pPr>
        <w:spacing w:after="0" w:line="179" w:lineRule="exact"/>
        <w:rPr>
          <w:rFonts w:ascii="Courier New" w:cs="Courier New" w:eastAsia="Courier New" w:hAnsi="Courier New"/>
          <w:sz w:val="15"/>
          <w:szCs w:val="15"/>
          <w:color w:val="auto"/>
        </w:rPr>
      </w:pPr>
    </w:p>
    <w:p>
      <w:pPr>
        <w:ind w:right="2959" w:firstLine="2720"/>
        <w:spacing w:after="0" w:line="246" w:lineRule="auto"/>
        <w:tabs>
          <w:tab w:leader="none" w:pos="3272" w:val="left"/>
        </w:tabs>
        <w:numPr>
          <w:ilvl w:val="3"/>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177" w:lineRule="exact"/>
        <w:rPr>
          <w:rFonts w:ascii="Courier New" w:cs="Courier New" w:eastAsia="Courier New" w:hAnsi="Courier New"/>
          <w:sz w:val="15"/>
          <w:szCs w:val="15"/>
          <w:color w:val="auto"/>
        </w:rPr>
      </w:pPr>
    </w:p>
    <w:p>
      <w:pPr>
        <w:ind w:left="3260" w:hanging="540"/>
        <w:spacing w:after="0"/>
        <w:tabs>
          <w:tab w:leader="none" w:pos="3260" w:val="left"/>
        </w:tabs>
        <w:numPr>
          <w:ilvl w:val="3"/>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any Employee other than an</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described in paragraph (A) immediately above, the per Share exercise price shall be no less than 100% of the Fair Market Value per Share on the date of grant.</w:t>
      </w:r>
    </w:p>
    <w:p>
      <w:pPr>
        <w:spacing w:after="0" w:line="174" w:lineRule="exact"/>
        <w:rPr>
          <w:rFonts w:ascii="Courier New" w:cs="Courier New" w:eastAsia="Courier New" w:hAnsi="Courier New"/>
          <w:sz w:val="15"/>
          <w:szCs w:val="15"/>
          <w:color w:val="auto"/>
        </w:rPr>
      </w:pPr>
    </w:p>
    <w:p>
      <w:pPr>
        <w:ind w:right="3039" w:firstLine="2083"/>
        <w:spacing w:after="0" w:line="246" w:lineRule="auto"/>
        <w:tabs>
          <w:tab w:leader="none" w:pos="2726"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Nonstatutory Stock Option, the per Share exercise price shall be determined by the Administrator. In the case of a Nonstatutory Stock Option intended to qualify as "performance-based compensation" within the meaning of Section 162(m) of the Code, the per Share exercise price shall be no less than 100% of the Fair Market Value per Share on the date of grant.</w:t>
      </w:r>
    </w:p>
    <w:p>
      <w:pPr>
        <w:spacing w:after="0" w:line="178"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Options may be</w:t>
      </w:r>
    </w:p>
    <w:p>
      <w:pPr>
        <w:spacing w:after="0" w:line="4" w:lineRule="exact"/>
        <w:rPr>
          <w:rFonts w:ascii="Courier New" w:cs="Courier New" w:eastAsia="Courier New" w:hAnsi="Courier New"/>
          <w:sz w:val="15"/>
          <w:szCs w:val="15"/>
          <w:color w:val="auto"/>
        </w:rPr>
      </w:pPr>
    </w:p>
    <w:p>
      <w:pPr>
        <w:jc w:val="both"/>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granted with a per Share exercise price of less than 100% of the Fair Market Value per Share on the date of grant pursuant to a merger or other corporate transaction.</w:t>
      </w:r>
    </w:p>
    <w:p>
      <w:pPr>
        <w:spacing w:after="0" w:line="174" w:lineRule="exact"/>
        <w:rPr>
          <w:rFonts w:ascii="Courier New" w:cs="Courier New" w:eastAsia="Courier New" w:hAnsi="Courier New"/>
          <w:sz w:val="15"/>
          <w:szCs w:val="15"/>
          <w:color w:val="auto"/>
        </w:rPr>
      </w:pPr>
    </w:p>
    <w:p>
      <w:pPr>
        <w:ind w:right="3039" w:firstLine="1356"/>
        <w:spacing w:after="0" w:line="246" w:lineRule="auto"/>
        <w:tabs>
          <w:tab w:leader="none" w:pos="172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Waiting Period and Exercise Dates.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w:t>
      </w:r>
    </w:p>
    <w:p>
      <w:pPr>
        <w:spacing w:after="0" w:line="177" w:lineRule="exact"/>
        <w:rPr>
          <w:rFonts w:ascii="Courier New" w:cs="Courier New" w:eastAsia="Courier New" w:hAnsi="Courier New"/>
          <w:sz w:val="15"/>
          <w:szCs w:val="15"/>
          <w:color w:val="auto"/>
        </w:rPr>
      </w:pPr>
    </w:p>
    <w:p>
      <w:pPr>
        <w:ind w:right="3039" w:firstLine="1356"/>
        <w:spacing w:after="0" w:line="246" w:lineRule="auto"/>
        <w:tabs>
          <w:tab w:leader="none" w:pos="172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77"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2720" w:hanging="637"/>
        <w:spacing w:after="0"/>
        <w:tabs>
          <w:tab w:leader="none" w:pos="27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9" w:lineRule="exact"/>
        <w:rPr>
          <w:rFonts w:ascii="Courier New" w:cs="Courier New" w:eastAsia="Courier New" w:hAnsi="Courier New"/>
          <w:sz w:val="15"/>
          <w:szCs w:val="15"/>
          <w:color w:val="auto"/>
        </w:rPr>
      </w:pPr>
    </w:p>
    <w:p>
      <w:pPr>
        <w:ind w:right="3139" w:firstLine="2083"/>
        <w:spacing w:after="0" w:line="247" w:lineRule="auto"/>
        <w:tabs>
          <w:tab w:leader="none" w:pos="272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(on such terms and conditions as determined by the Administrator);</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have a Fair Market Value on the</w:t>
      </w:r>
    </w:p>
    <w:p>
      <w:pPr>
        <w:spacing w:after="0" w:line="4" w:lineRule="exact"/>
        <w:rPr>
          <w:rFonts w:ascii="Courier New" w:cs="Courier New" w:eastAsia="Courier New" w:hAnsi="Courier New"/>
          <w:sz w:val="15"/>
          <w:szCs w:val="15"/>
          <w:color w:val="auto"/>
        </w:rPr>
      </w:pPr>
    </w:p>
    <w:p>
      <w:pPr>
        <w:ind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of surrender equal to the aggregate exercise price of the Shares as to which said Option shall be exercised;</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"cashless exercise" during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trading window permitted by the Company's Insider Trading Policy, 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77"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in the amount of any Company liability</w:t>
      </w:r>
    </w:p>
    <w:p>
      <w:pPr>
        <w:spacing w:after="0" w:line="4" w:lineRule="exact"/>
        <w:rPr>
          <w:rFonts w:ascii="Courier New" w:cs="Courier New" w:eastAsia="Courier New" w:hAnsi="Courier New"/>
          <w:sz w:val="15"/>
          <w:szCs w:val="15"/>
          <w:color w:val="auto"/>
        </w:rPr>
      </w:pPr>
    </w:p>
    <w:p>
      <w:pPr>
        <w:jc w:val="both"/>
        <w:ind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Optionee, including any liability attributable to the Optionee's participation in any Company-sponsored deferred compensation program or arrangement;</w:t>
      </w:r>
    </w:p>
    <w:p>
      <w:pPr>
        <w:spacing w:after="0" w:line="174"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to the extent permitted by Applicable Laws.</w:t>
      </w:r>
    </w:p>
    <w:p>
      <w:pPr>
        <w:spacing w:after="0" w:line="179"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80" w:lineRule="exact"/>
        <w:rPr>
          <w:sz w:val="20"/>
          <w:szCs w:val="20"/>
          <w:color w:val="auto"/>
        </w:rPr>
      </w:pPr>
    </w:p>
    <w:p>
      <w:pPr>
        <w:ind w:right="2959" w:firstLine="1356"/>
        <w:spacing w:after="0" w:line="246" w:lineRule="auto"/>
        <w:tabs>
          <w:tab w:leader="none" w:pos="172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 hereunder shall be exercisable according to the terms of the Plan and at such times and under such conditions as determined by the Administrator and set forth in the Option Agreement.</w:t>
      </w:r>
    </w:p>
    <w:p>
      <w:pPr>
        <w:spacing w:after="0" w:line="177"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80" w:lineRule="exact"/>
        <w:rPr>
          <w:sz w:val="20"/>
          <w:szCs w:val="20"/>
          <w:color w:val="auto"/>
        </w:rPr>
      </w:pPr>
    </w:p>
    <w:p>
      <w:pPr>
        <w:ind w:right="2959" w:firstLine="2090"/>
        <w:spacing w:after="0" w:line="246"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12 of the Plan.</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19" w:firstLine="2090"/>
        <w:spacing w:after="0" w:line="246"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177" w:lineRule="exact"/>
        <w:rPr>
          <w:sz w:val="20"/>
          <w:szCs w:val="20"/>
          <w:color w:val="auto"/>
        </w:rPr>
      </w:pPr>
    </w:p>
    <w:p>
      <w:pPr>
        <w:ind w:left="2080" w:hanging="724"/>
        <w:spacing w:after="0"/>
        <w:tabs>
          <w:tab w:leader="none" w:pos="20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an Optionee's Continuous</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Status as an Employee or Consultant with the Company, such Optionee may exercise his or her Option to the extent that he or she was entitled to exercise it as of the date of such termination. Such exercise may occur only before the end of the period determined by the Administrator for exercise following termination. In the case of an Incentive Stock Option, such period shall not exceed three (3) months. In no event shall such period extend beyond the expiration date of the term of the Option as set forth in the Option Agreement.</w:t>
      </w:r>
    </w:p>
    <w:p>
      <w:pPr>
        <w:spacing w:after="0" w:line="179" w:lineRule="exact"/>
        <w:rPr>
          <w:rFonts w:ascii="Courier New" w:cs="Courier New" w:eastAsia="Courier New" w:hAnsi="Courier New"/>
          <w:sz w:val="15"/>
          <w:szCs w:val="15"/>
          <w:color w:val="auto"/>
        </w:rPr>
      </w:pPr>
    </w:p>
    <w:p>
      <w:pPr>
        <w:ind w:right="2959" w:firstLine="2083"/>
        <w:spacing w:after="0" w:line="246" w:lineRule="auto"/>
        <w:tabs>
          <w:tab w:leader="none" w:pos="2726"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Optionee's change of status from Employee to Consultant shall not be treated as a termination of the Optionee's Continuous Status as an Employee or Consultant, and any Option held by the Optionee shall remain in effect, except as provided hereinbelow. Any Incentive Stock Option held by such Optionee shall automatically cease to be treated for tax purposes as an Incentive Stock Option and shall be treated as a Nonstatutory Stock Option on the ninety-first (91st) day following such change of status. Notwithstanding the above, within thirty (30) days after any such change of status, the Administrator may in its discretion determine that this Section 10(b)(ii) shall not apply to such change of status and that such change of status shall be treated as a termination of the Optionee's Continuous Status as an Employee or Consultant as provided in Section 10(b)(i).</w:t>
      </w:r>
    </w:p>
    <w:p>
      <w:pPr>
        <w:spacing w:after="0" w:line="182" w:lineRule="exact"/>
        <w:rPr>
          <w:rFonts w:ascii="Courier New" w:cs="Courier New" w:eastAsia="Courier New" w:hAnsi="Courier New"/>
          <w:sz w:val="15"/>
          <w:szCs w:val="15"/>
          <w:color w:val="auto"/>
        </w:rPr>
      </w:pPr>
    </w:p>
    <w:p>
      <w:pPr>
        <w:ind w:left="2720" w:hanging="637"/>
        <w:spacing w:after="0"/>
        <w:tabs>
          <w:tab w:leader="none" w:pos="27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Optionee is not entitled to</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his or her Option at the date of such termination, or if the Optionee does not exercise such Option to the extent so entitled within the time specified herein, the Option shall terminate.</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Upon termination of an Optionee's Continuous Status as an Employee or Consultant as a result of the Optionee's Disability, the Optionee may exercise his or her Option at any time within twelve (12) months from the date of such termination (but in no event later than the expiration of the term of such Option as set forth in the Notice of Grant), only to the extent that the Optionee was entitled to exercise it at the date of such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2"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Upon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only to the extent that the Optionee was entitled to exercise the Option at the date of death. If, at the time of death, the Optionee was not entitled to exercise his or her entire Option, the Shares covered by the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78" w:lineRule="exact"/>
        <w:rPr>
          <w:sz w:val="20"/>
          <w:szCs w:val="20"/>
          <w:color w:val="auto"/>
        </w:rPr>
      </w:pPr>
    </w:p>
    <w:p>
      <w:pPr>
        <w:ind w:right="3039" w:firstLine="811"/>
        <w:spacing w:after="0" w:line="246" w:lineRule="auto"/>
        <w:tabs>
          <w:tab w:leader="none" w:pos="118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of Options. Options may not be sold, pledged, assigned, hypothecated, transferred or disposed of in any manner other than by will or by the laws of descent or distribution and may be exercised, during the lifetime of the Optionee, only by the Optionee.</w:t>
      </w:r>
    </w:p>
    <w:p>
      <w:pPr>
        <w:spacing w:after="0" w:line="177"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 shareholders of the Company, the number of shares of Common Stock covered by each outstanding Option, and the number of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6"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 with or into another corporation, or the sale of substantially all of the assets of the Company, each outstanding Option may be assumed or an equivalent option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fifteen (15) days from the date of such notice, and the Option will terminate upon the expiration of such period. For the purposes of this paragraph, the Option shall be considered assumed if, following the merger or sale of assets, the option confers the</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right to purchase or receive,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183" w:lineRule="exact"/>
        <w:rPr>
          <w:sz w:val="20"/>
          <w:szCs w:val="20"/>
          <w:color w:val="auto"/>
        </w:rPr>
      </w:pPr>
    </w:p>
    <w:p>
      <w:pPr>
        <w:jc w:val="both"/>
        <w:ind w:right="3139" w:firstLine="720"/>
        <w:spacing w:after="0" w:line="246" w:lineRule="auto"/>
        <w:tabs>
          <w:tab w:leader="none" w:pos="136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 purposes, the date on which the Administrator makes the determination granting such Option, or such other later date as is determined by the Administrator.</w:t>
      </w:r>
    </w:p>
    <w:p>
      <w:pPr>
        <w:spacing w:after="0" w:line="1" w:lineRule="exact"/>
        <w:rPr>
          <w:rFonts w:ascii="Courier New" w:cs="Courier New" w:eastAsia="Courier New" w:hAnsi="Courier New"/>
          <w:sz w:val="15"/>
          <w:szCs w:val="15"/>
          <w:color w:val="auto"/>
        </w:rPr>
      </w:pPr>
    </w:p>
    <w:p>
      <w:pPr>
        <w:ind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the determination shall be provided to each Optionee within a reasonable time after the date of such grant.</w:t>
      </w:r>
    </w:p>
    <w:p>
      <w:pPr>
        <w:spacing w:after="0" w:line="174"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7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 suspend or terminate the Plan.</w:t>
      </w:r>
    </w:p>
    <w:p>
      <w:pPr>
        <w:spacing w:after="0" w:line="174" w:lineRule="exact"/>
        <w:rPr>
          <w:rFonts w:ascii="Courier New" w:cs="Courier New" w:eastAsia="Courier New" w:hAnsi="Courier New"/>
          <w:sz w:val="15"/>
          <w:szCs w:val="15"/>
          <w:color w:val="auto"/>
        </w:rPr>
      </w:pPr>
    </w:p>
    <w:p>
      <w:pPr>
        <w:ind w:right="3139" w:firstLine="1356"/>
        <w:spacing w:after="0" w:line="246" w:lineRule="auto"/>
        <w:tabs>
          <w:tab w:leader="none" w:pos="17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Company shall obtain shareholder approval of any Plan amendment to the extent necessary and desirable to comply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77"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260" w:right="2959" w:firstLine="1356"/>
        <w:spacing w:after="0" w:line="246" w:lineRule="auto"/>
        <w:tabs>
          <w:tab w:leader="none" w:pos="1467"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8" w:lineRule="exact"/>
        <w:rPr>
          <w:rFonts w:ascii="Courier New" w:cs="Courier New" w:eastAsia="Courier New" w:hAnsi="Courier New"/>
          <w:sz w:val="15"/>
          <w:szCs w:val="15"/>
          <w:color w:val="auto"/>
        </w:rPr>
      </w:pPr>
    </w:p>
    <w:p>
      <w:pPr>
        <w:ind w:left="820" w:hanging="360"/>
        <w:spacing w:after="0"/>
        <w:tabs>
          <w:tab w:leader="none" w:pos="8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w:t>
      </w:r>
    </w:p>
    <w:p>
      <w:pPr>
        <w:spacing w:after="0" w:line="179" w:lineRule="exact"/>
        <w:rPr>
          <w:rFonts w:ascii="Courier New" w:cs="Courier New" w:eastAsia="Courier New" w:hAnsi="Courier New"/>
          <w:sz w:val="15"/>
          <w:szCs w:val="15"/>
          <w:color w:val="auto"/>
        </w:rPr>
      </w:pPr>
    </w:p>
    <w:p>
      <w:pPr>
        <w:ind w:left="-260" w:right="3139" w:firstLine="1356"/>
        <w:spacing w:after="0" w:line="246" w:lineRule="auto"/>
        <w:tabs>
          <w:tab w:leader="none" w:pos="146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8" w:lineRule="exact"/>
        <w:rPr>
          <w:rFonts w:ascii="Courier New" w:cs="Courier New" w:eastAsia="Courier New" w:hAnsi="Courier New"/>
          <w:sz w:val="15"/>
          <w:szCs w:val="15"/>
          <w:color w:val="auto"/>
        </w:rPr>
      </w:pPr>
    </w:p>
    <w:p>
      <w:pPr>
        <w:ind w:left="-260" w:right="2959" w:firstLine="1356"/>
        <w:spacing w:after="0" w:line="246" w:lineRule="auto"/>
        <w:tabs>
          <w:tab w:leader="none" w:pos="146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79" w:lineRule="exact"/>
        <w:rPr>
          <w:rFonts w:ascii="Courier New" w:cs="Courier New" w:eastAsia="Courier New" w:hAnsi="Courier New"/>
          <w:sz w:val="15"/>
          <w:szCs w:val="15"/>
          <w:color w:val="auto"/>
        </w:rPr>
      </w:pPr>
    </w:p>
    <w:p>
      <w:pPr>
        <w:ind w:left="-260" w:right="3139" w:firstLine="720"/>
        <w:spacing w:after="0" w:line="247" w:lineRule="auto"/>
        <w:tabs>
          <w:tab w:leader="none" w:pos="8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 at all times reserve and keep available such number of Shares as shall be sufficient to satisfy the requirements of the Plan.</w:t>
      </w:r>
    </w:p>
    <w:p>
      <w:pPr>
        <w:spacing w:after="0" w:line="174" w:lineRule="exact"/>
        <w:rPr>
          <w:rFonts w:ascii="Courier New" w:cs="Courier New" w:eastAsia="Courier New" w:hAnsi="Courier New"/>
          <w:sz w:val="15"/>
          <w:szCs w:val="15"/>
          <w:color w:val="auto"/>
        </w:rPr>
      </w:pPr>
    </w:p>
    <w:p>
      <w:pPr>
        <w:ind w:left="-260" w:right="2959" w:firstLine="720"/>
        <w:spacing w:after="0" w:line="246" w:lineRule="auto"/>
        <w:tabs>
          <w:tab w:leader="none" w:pos="83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state law.</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93" w:right="1440" w:bottom="1440" w:gutter="0" w:footer="0" w:header="0"/>
        </w:sectPr>
      </w:pPr>
    </w:p>
    <w:bookmarkStart w:id="58" w:name="page59"/>
    <w:bookmarkEnd w:id="58"/>
    <w:p>
      <w:pPr>
        <w:ind w:left="267"/>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1996 LONG TERM STOCK OPTION PLAN</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STOCK OPTION AGREEMENT</w:t>
      </w:r>
    </w:p>
    <w:p>
      <w:pPr>
        <w:spacing w:after="0" w:line="354" w:lineRule="exact"/>
        <w:rPr>
          <w:sz w:val="20"/>
          <w:szCs w:val="20"/>
          <w:color w:val="auto"/>
        </w:rPr>
      </w:pPr>
    </w:p>
    <w:p>
      <w:pPr>
        <w:jc w:val="both"/>
        <w:ind w:left="7" w:right="2959" w:firstLine="727"/>
        <w:spacing w:after="0" w:line="247" w:lineRule="auto"/>
        <w:rPr>
          <w:sz w:val="20"/>
          <w:szCs w:val="20"/>
          <w:color w:val="auto"/>
        </w:rPr>
      </w:pPr>
      <w:r>
        <w:rPr>
          <w:rFonts w:ascii="Courier New" w:cs="Courier New" w:eastAsia="Courier New" w:hAnsi="Courier New"/>
          <w:sz w:val="15"/>
          <w:szCs w:val="15"/>
          <w:color w:val="auto"/>
        </w:rPr>
        <w:t>Unless otherwise defined herein, the terms defined in the 1996 Long Term Stock Option Plan shall have the same defined meanings in this Option Agreement.</w:t>
      </w:r>
    </w:p>
    <w:p>
      <w:pPr>
        <w:spacing w:after="0" w:line="175" w:lineRule="exact"/>
        <w:rPr>
          <w:sz w:val="20"/>
          <w:szCs w:val="20"/>
          <w:color w:val="auto"/>
        </w:rPr>
      </w:pPr>
    </w:p>
    <w:p>
      <w:pPr>
        <w:ind w:left="7" w:right="7319" w:hanging="7"/>
        <w:spacing w:after="0" w:line="493" w:lineRule="auto"/>
        <w:tabs>
          <w:tab w:leader="none" w:pos="37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STOCK OPTION GRANT [Optionee's Name and Address]</w:t>
      </w:r>
    </w:p>
    <w:p>
      <w:pPr>
        <w:spacing w:after="0" w:line="1" w:lineRule="exact"/>
        <w:rPr>
          <w:sz w:val="20"/>
          <w:szCs w:val="20"/>
          <w:color w:val="auto"/>
        </w:rPr>
      </w:pPr>
    </w:p>
    <w:p>
      <w:pPr>
        <w:ind w:left="7" w:right="2959" w:firstLine="727"/>
        <w:spacing w:after="0" w:line="247" w:lineRule="auto"/>
        <w:rPr>
          <w:sz w:val="20"/>
          <w:szCs w:val="20"/>
          <w:color w:val="auto"/>
        </w:rPr>
      </w:pPr>
      <w:r>
        <w:rPr>
          <w:rFonts w:ascii="Courier New" w:cs="Courier New" w:eastAsia="Courier New" w:hAnsi="Courier New"/>
          <w:sz w:val="15"/>
          <w:szCs w:val="15"/>
          <w:color w:val="auto"/>
        </w:rPr>
        <w:t>You have been granted an option to purchase Common Stock of the Company, subject to the terms and conditions of the Plan and this Option Agreement, as follows:</w:t>
      </w:r>
    </w:p>
    <w:p>
      <w:pPr>
        <w:spacing w:after="0" w:line="174" w:lineRule="exact"/>
        <w:rPr>
          <w:sz w:val="20"/>
          <w:szCs w:val="20"/>
          <w:color w:val="auto"/>
        </w:rPr>
      </w:pPr>
    </w:p>
    <w:tbl>
      <w:tblPr>
        <w:tblLayout w:type="fixed"/>
        <w:tblInd w:w="727"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Grant Number</w:t>
            </w:r>
          </w:p>
        </w:tc>
        <w:tc>
          <w:tcPr>
            <w:tcW w:w="3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___________________</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Date of Grant</w:t>
            </w:r>
          </w:p>
        </w:tc>
        <w:tc>
          <w:tcPr>
            <w:tcW w:w="3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___________________</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 Price per Share</w:t>
            </w:r>
          </w:p>
        </w:tc>
        <w:tc>
          <w:tcPr>
            <w:tcW w:w="3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 _________________</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Number of Shares Granted</w:t>
            </w:r>
          </w:p>
        </w:tc>
        <w:tc>
          <w:tcPr>
            <w:tcW w:w="3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___________________</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Exercise Price</w:t>
            </w:r>
          </w:p>
        </w:tc>
        <w:tc>
          <w:tcPr>
            <w:tcW w:w="3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 _________________</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Type of Option:</w:t>
            </w: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___</w:t>
            </w:r>
          </w:p>
        </w:tc>
        <w:tc>
          <w:tcPr>
            <w:tcW w:w="2760" w:type="dxa"/>
            <w:vAlign w:val="bottom"/>
          </w:tcPr>
          <w:p>
            <w:pPr>
              <w:ind w:left="480"/>
              <w:spacing w:after="0"/>
              <w:rPr>
                <w:sz w:val="20"/>
                <w:szCs w:val="20"/>
                <w:color w:val="auto"/>
              </w:rPr>
            </w:pPr>
            <w:r>
              <w:rPr>
                <w:rFonts w:ascii="Courier New" w:cs="Courier New" w:eastAsia="Courier New" w:hAnsi="Courier New"/>
                <w:sz w:val="15"/>
                <w:szCs w:val="15"/>
                <w:color w:val="auto"/>
              </w:rPr>
              <w:t>Incentive Stock Option</w:t>
            </w:r>
          </w:p>
        </w:tc>
      </w:tr>
      <w:tr>
        <w:trPr>
          <w:trHeight w:val="350"/>
        </w:trPr>
        <w:tc>
          <w:tcPr>
            <w:tcW w:w="300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___</w:t>
            </w:r>
          </w:p>
        </w:tc>
        <w:tc>
          <w:tcPr>
            <w:tcW w:w="2760" w:type="dxa"/>
            <w:vAlign w:val="bottom"/>
          </w:tcPr>
          <w:p>
            <w:pPr>
              <w:ind w:left="480"/>
              <w:spacing w:after="0"/>
              <w:rPr>
                <w:sz w:val="20"/>
                <w:szCs w:val="20"/>
                <w:color w:val="auto"/>
              </w:rPr>
            </w:pPr>
            <w:r>
              <w:rPr>
                <w:rFonts w:ascii="Courier New" w:cs="Courier New" w:eastAsia="Courier New" w:hAnsi="Courier New"/>
                <w:sz w:val="15"/>
                <w:szCs w:val="15"/>
                <w:color w:val="auto"/>
              </w:rPr>
              <w:t>Nonstatutory Stock Option</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Term/Expiration Date:</w:t>
            </w:r>
          </w:p>
        </w:tc>
        <w:tc>
          <w:tcPr>
            <w:tcW w:w="3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______________________, 200__</w:t>
            </w:r>
          </w:p>
        </w:tc>
      </w:tr>
      <w:tr>
        <w:trPr>
          <w:trHeight w:val="175"/>
        </w:trPr>
        <w:tc>
          <w:tcPr>
            <w:tcW w:w="300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years from date of grant]</w:t>
            </w:r>
          </w:p>
        </w:tc>
      </w:tr>
    </w:tbl>
    <w:p>
      <w:pPr>
        <w:spacing w:after="0" w:line="354"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Vesting Schedule:</w:t>
      </w:r>
    </w:p>
    <w:p>
      <w:pPr>
        <w:spacing w:after="0" w:line="180" w:lineRule="exact"/>
        <w:rPr>
          <w:sz w:val="20"/>
          <w:szCs w:val="20"/>
          <w:color w:val="auto"/>
        </w:rPr>
      </w:pPr>
    </w:p>
    <w:p>
      <w:pPr>
        <w:ind w:left="7" w:right="2959" w:firstLine="727"/>
        <w:spacing w:after="0" w:line="246" w:lineRule="auto"/>
        <w:rPr>
          <w:sz w:val="20"/>
          <w:szCs w:val="20"/>
          <w:color w:val="auto"/>
        </w:rPr>
      </w:pPr>
      <w:r>
        <w:rPr>
          <w:rFonts w:ascii="Courier New" w:cs="Courier New" w:eastAsia="Courier New" w:hAnsi="Courier New"/>
          <w:sz w:val="15"/>
          <w:szCs w:val="15"/>
          <w:color w:val="auto"/>
        </w:rPr>
        <w:t>This Option shall vest and become exercisable as to 100% of the Shares subject to the Option six (6) years from the Date of Grant, subject to acceleration of vesting and exercisability upon the achievement of certain financial performance targets determined by the Board in its sole discretion, as follows:</w:t>
      </w:r>
    </w:p>
    <w:p>
      <w:pPr>
        <w:spacing w:after="0" w:line="178" w:lineRule="exact"/>
        <w:rPr>
          <w:sz w:val="20"/>
          <w:szCs w:val="20"/>
          <w:color w:val="auto"/>
        </w:rPr>
      </w:pPr>
    </w:p>
    <w:p>
      <w:pPr>
        <w:ind w:left="2727" w:hanging="727"/>
        <w:spacing w:after="0"/>
        <w:tabs>
          <w:tab w:leader="none" w:pos="272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Company's financial performance for fiscal</w:t>
      </w:r>
    </w:p>
    <w:p>
      <w:pPr>
        <w:spacing w:after="0" w:line="4" w:lineRule="exact"/>
        <w:rPr>
          <w:rFonts w:ascii="Courier New" w:cs="Courier New" w:eastAsia="Courier New" w:hAnsi="Courier New"/>
          <w:sz w:val="15"/>
          <w:szCs w:val="15"/>
          <w:color w:val="auto"/>
        </w:rPr>
      </w:pPr>
    </w:p>
    <w:p>
      <w:pPr>
        <w:ind w:left="7"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year [1997] meets the target set forth in Exhibit A hereto, then 25% of the Shares subject to this Option shall first become exercisable 3 years from the Date of Grant [(January 23, 2000)].</w:t>
      </w:r>
    </w:p>
    <w:p>
      <w:pPr>
        <w:sectPr>
          <w:pgSz w:w="11900" w:h="16838" w:orient="portrait"/>
          <w:cols w:equalWidth="0" w:num="1">
            <w:col w:w="10226"/>
          </w:cols>
          <w:pgMar w:left="233" w:top="293" w:right="1440" w:bottom="1440" w:gutter="0" w:footer="0" w:header="0"/>
        </w:sectPr>
      </w:pPr>
    </w:p>
    <w:bookmarkStart w:id="59" w:name="page60"/>
    <w:bookmarkEnd w:id="59"/>
    <w:p>
      <w:pPr>
        <w:ind w:left="267"/>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7" w:right="2959" w:firstLine="1993"/>
        <w:spacing w:after="0" w:line="246" w:lineRule="auto"/>
        <w:tabs>
          <w:tab w:leader="none" w:pos="273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Company's cumulative financial performance for fiscal years [1997] and [1998] exceeds the cumulative target for such years set forth in Exhibit A hereto, then a total of 50% of the Shares subject to this Option shall accelerate and first become exercisable 3 years from the Date of Grant [(January 23, 2000)].</w:t>
      </w:r>
    </w:p>
    <w:p>
      <w:pPr>
        <w:spacing w:after="0" w:line="177" w:lineRule="exact"/>
        <w:rPr>
          <w:rFonts w:ascii="Courier New" w:cs="Courier New" w:eastAsia="Courier New" w:hAnsi="Courier New"/>
          <w:sz w:val="15"/>
          <w:szCs w:val="15"/>
          <w:color w:val="auto"/>
        </w:rPr>
      </w:pPr>
    </w:p>
    <w:p>
      <w:pPr>
        <w:ind w:left="2727" w:hanging="727"/>
        <w:spacing w:after="0"/>
        <w:tabs>
          <w:tab w:leader="none" w:pos="272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Company's cumulative financial performance</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years 1996, 1997 and 1998 exceeds the cumulative target for such years set forth in Exhibit A, then (a) a total of 50% of the Shares subject to this Option shall accelerate and first become exercisable 3 years from the Date of Grant [(January 23, 2000)], (b) an additional 25% of the Shares subject to this Option shall accelerate and first become exercisable 4 years form the Date of Grant [(January 23, 2001)] and (c) the remaining 25% of the Shares subject to this Option shall accelerate and first become exercisable 5 years for the Date of Grant [(January 23, 2002)].</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Failure to achieve the specified target or targets for any one year or consecutive years can be remedied by achievement of the cumulative target in a succeeding year or years.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foregoing acceleration schedule is summarized below:</w:t>
      </w:r>
    </w:p>
    <w:p>
      <w:pPr>
        <w:spacing w:after="0" w:line="180" w:lineRule="exact"/>
        <w:rPr>
          <w:sz w:val="20"/>
          <w:szCs w:val="20"/>
          <w:color w:val="auto"/>
        </w:rPr>
      </w:pPr>
    </w:p>
    <w:tbl>
      <w:tblPr>
        <w:tblLayout w:type="fixed"/>
        <w:tblInd w:w="1627" w:type="dxa"/>
        <w:tblCellMar>
          <w:top w:w="0" w:type="dxa"/>
          <w:left w:w="0" w:type="dxa"/>
          <w:bottom w:w="0" w:type="dxa"/>
          <w:right w:w="0" w:type="dxa"/>
        </w:tblCellMar>
      </w:tblPr>
      <w:tr>
        <w:trPr>
          <w:trHeight w:val="170"/>
        </w:trPr>
        <w:tc>
          <w:tcPr>
            <w:tcW w:w="110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Year</w:t>
            </w:r>
          </w:p>
        </w:tc>
        <w:tc>
          <w:tcPr>
            <w:tcW w:w="2140" w:type="dxa"/>
            <w:vAlign w:val="bottom"/>
          </w:tcPr>
          <w:p>
            <w:pPr>
              <w:jc w:val="center"/>
              <w:ind w:left="224"/>
              <w:spacing w:after="0"/>
              <w:rPr>
                <w:sz w:val="20"/>
                <w:szCs w:val="20"/>
                <w:color w:val="auto"/>
              </w:rPr>
            </w:pPr>
            <w:r>
              <w:rPr>
                <w:rFonts w:ascii="Courier New" w:cs="Courier New" w:eastAsia="Courier New" w:hAnsi="Courier New"/>
                <w:sz w:val="15"/>
                <w:szCs w:val="15"/>
                <w:color w:val="auto"/>
              </w:rPr>
              <w:t>meet target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vesting</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w w:val="97"/>
              </w:rPr>
              <w:t>schedule</w:t>
            </w:r>
          </w:p>
        </w:tc>
      </w:tr>
      <w:tr>
        <w:trPr>
          <w:trHeight w:val="175"/>
        </w:trPr>
        <w:tc>
          <w:tcPr>
            <w:tcW w:w="11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6"/>
              </w:rPr>
              <w:t>yes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1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350"/>
        </w:trPr>
        <w:tc>
          <w:tcPr>
            <w:tcW w:w="11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w:t>
            </w:r>
          </w:p>
        </w:tc>
        <w:tc>
          <w:tcPr>
            <w:tcW w:w="21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6"/>
              </w:rPr>
              <w:t>yes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1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350"/>
        </w:trPr>
        <w:tc>
          <w:tcPr>
            <w:tcW w:w="11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w:t>
            </w:r>
          </w:p>
        </w:tc>
        <w:tc>
          <w:tcPr>
            <w:tcW w:w="214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6"/>
              </w:rPr>
              <w:t>yes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1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1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bl>
    <w:p>
      <w:pPr>
        <w:spacing w:after="0" w:line="17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Termination Period:</w:t>
      </w:r>
    </w:p>
    <w:p>
      <w:pPr>
        <w:spacing w:after="0" w:line="180" w:lineRule="exact"/>
        <w:rPr>
          <w:sz w:val="20"/>
          <w:szCs w:val="20"/>
          <w:color w:val="auto"/>
        </w:rPr>
      </w:pPr>
    </w:p>
    <w:p>
      <w:pPr>
        <w:ind w:left="7" w:right="3139" w:firstLine="727"/>
        <w:spacing w:after="0" w:line="246" w:lineRule="auto"/>
        <w:rPr>
          <w:sz w:val="20"/>
          <w:szCs w:val="20"/>
          <w:color w:val="auto"/>
        </w:rPr>
      </w:pPr>
      <w:r>
        <w:rPr>
          <w:rFonts w:ascii="Courier New" w:cs="Courier New" w:eastAsia="Courier New" w:hAnsi="Courier New"/>
          <w:sz w:val="15"/>
          <w:szCs w:val="15"/>
          <w:color w:val="auto"/>
        </w:rPr>
        <w:t>This Option may not be exercised after termination of the Optionee's Continuous Status as an Employee or Consultant with the Company, provided that upon termination for death or Disability of the Optionee this Option may be exercised for such longer period as provided in the Plan. In the event of the Optionee's change in status from Employee to Consultant, this Option Agreement shall remain in effect except as provided in the Plan. In no event shall this Option be exercised later than the Term/Expiration Date as provided above.</w:t>
      </w:r>
    </w:p>
    <w:p>
      <w:pPr>
        <w:spacing w:after="0" w:line="354" w:lineRule="exact"/>
        <w:rPr>
          <w:sz w:val="20"/>
          <w:szCs w:val="20"/>
          <w:color w:val="auto"/>
        </w:rPr>
      </w:pPr>
    </w:p>
    <w:p>
      <w:pPr>
        <w:ind w:left="447" w:hanging="447"/>
        <w:spacing w:after="0"/>
        <w:tabs>
          <w:tab w:leader="none" w:pos="44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79" w:lineRule="exact"/>
        <w:rPr>
          <w:rFonts w:ascii="Courier New" w:cs="Courier New" w:eastAsia="Courier New" w:hAnsi="Courier New"/>
          <w:sz w:val="15"/>
          <w:szCs w:val="15"/>
          <w:color w:val="auto"/>
        </w:rPr>
      </w:pPr>
    </w:p>
    <w:p>
      <w:pPr>
        <w:ind w:left="7" w:right="2959" w:firstLine="720"/>
        <w:spacing w:after="0" w:line="246" w:lineRule="auto"/>
        <w:tabs>
          <w:tab w:leader="none" w:pos="1006"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Plan Administrator of the Company hereby grants to the Optionee named in the Notice of Grant attached as Part I of this Agreement (the "Optionee"), an option (the "Option") to purchase the number of Shares, as set forth in the Notice of Grant, at the exercise price per share set forth in the Notice of Grant (the "Exercise Price"), subject to the terms and conditions</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Plan, which is incorporated herein by reference. Subject to Section 14(c) of the Plan, in the event of a conflict between the terms and conditions of the Plan and the terms and conditions of this Option Agreement, the terms and conditions of the Plan shall prevail.</w:t>
      </w:r>
    </w:p>
    <w:p>
      <w:pPr>
        <w:spacing w:after="0" w:line="177"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If designated in the Notice of Grant as an Incentive Stock Option ("ISO"), this Option is intended to qualify as an Incentive Stock Option under Section 422 of the Code. However, if this Option is intended to be an Incentive Stock Option, to the extent that it exceeds the $100,000 rule of Code Section 422(d) it shall be treated as a Nonstatutory Stock Option ("NSO").</w:t>
      </w:r>
    </w:p>
    <w:p>
      <w:pPr>
        <w:spacing w:after="0" w:line="178" w:lineRule="exact"/>
        <w:rPr>
          <w:sz w:val="20"/>
          <w:szCs w:val="20"/>
          <w:color w:val="auto"/>
        </w:rPr>
      </w:pPr>
    </w:p>
    <w:p>
      <w:pPr>
        <w:ind w:left="1080" w:hanging="360"/>
        <w:spacing w:after="0"/>
        <w:tabs>
          <w:tab w:leader="none" w:pos="10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Exercise. This Option is exercisable during its term in accordance with the Vesting Schedule set out in the Notice of Grant and the applicable provisions of the Plan and this Option Agreement. In the event of Optionee's death, Disability or other termination of Optionee's employment or consulting relationship, the exercisability of the Option is governed by the applicable provisions of the Plan and this Option Agreement.</w:t>
      </w:r>
    </w:p>
    <w:p>
      <w:pPr>
        <w:spacing w:after="0" w:line="178"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This Option is exercisable by delivery of an exercise notice, in the form attached as Exhibit B (the "Exercise Notice"),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shall be signed by the Optionee and shall be delivered in person or by certified mail to the Secretary of the Company. The Exercise Notice shall be accompanied by payment of the aggregate Exercise Price as to all Exercised Shares. This Option shall be deemed to be exercised upon receipt by the Company of such fully executed Exercise Notice accompanied by such aggregate Exercise Price.</w:t>
      </w:r>
    </w:p>
    <w:p>
      <w:pPr>
        <w:spacing w:after="0" w:line="181"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No Shares shall be issued pursuant to the exercise of this Option unless such issuance and exercise complies with the Plan and all relevant provisions of law and the requirements of any stock exchange or quotation service upon which the Shares are then listed. Assuming such compliance, for income tax purposes the Exercised Shares shall be considered transferred to the Optionee on the date the Option is exercised with respect to such Exercised Shares.</w:t>
      </w:r>
    </w:p>
    <w:p>
      <w:pPr>
        <w:spacing w:after="0" w:line="179" w:lineRule="exact"/>
        <w:rPr>
          <w:sz w:val="20"/>
          <w:szCs w:val="20"/>
          <w:color w:val="auto"/>
        </w:rPr>
      </w:pPr>
    </w:p>
    <w:p>
      <w:pPr>
        <w:ind w:right="3039" w:firstLine="811"/>
        <w:spacing w:after="0" w:line="247" w:lineRule="auto"/>
        <w:tabs>
          <w:tab w:leader="none" w:pos="109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aggregate Exercise Price shall be by any of the following, or a combination thereof, at the election of the Optionee:</w:t>
      </w:r>
    </w:p>
    <w:p>
      <w:pPr>
        <w:spacing w:after="0" w:line="174"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or</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or</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"cashless exercise" during the trading window permitted by the Company's Insider Trading Policy, delivery of a properly executed exercise notice together with such other documentation as the Administrator and the broker, if applicable, shall require to effect an exercise of the Option and delivery to the Company of the sale or loan proceeds required to pay the exercise price; or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2959" w:firstLine="1356"/>
        <w:spacing w:after="0" w:line="246" w:lineRule="auto"/>
        <w:tabs>
          <w:tab w:leader="none" w:pos="209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other Shares which (i) in the case of Shares acquired upon exercise of an option, have been owned by the Optionee for more than six (6) months on the date of surrender, AND (ii) have a Fair Market Value on the date of surrender equal to the aggregate Exercise Price of the Exercised Shares.</w:t>
      </w:r>
    </w:p>
    <w:p>
      <w:pPr>
        <w:spacing w:after="0" w:line="177" w:lineRule="exact"/>
        <w:rPr>
          <w:rFonts w:ascii="Courier New" w:cs="Courier New" w:eastAsia="Courier New" w:hAnsi="Courier New"/>
          <w:sz w:val="15"/>
          <w:szCs w:val="15"/>
          <w:color w:val="auto"/>
        </w:rPr>
      </w:pPr>
    </w:p>
    <w:p>
      <w:pPr>
        <w:ind w:right="2959" w:firstLine="720"/>
        <w:spacing w:after="0" w:line="246" w:lineRule="auto"/>
        <w:tabs>
          <w:tab w:leader="none" w:pos="10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 This Option may not be transferred in any manner otherwise than by will or by the laws of descent or distribution and may be exercised during the lifetime of Optionee only by the Optionee. The terms of the Plan and this Option Agreement shall be binding upon the executors, administrators, heirs, successors and assigns of the Optionee.</w:t>
      </w:r>
    </w:p>
    <w:p>
      <w:pPr>
        <w:spacing w:after="0" w:line="177" w:lineRule="exact"/>
        <w:rPr>
          <w:rFonts w:ascii="Courier New" w:cs="Courier New" w:eastAsia="Courier New" w:hAnsi="Courier New"/>
          <w:sz w:val="15"/>
          <w:szCs w:val="15"/>
          <w:color w:val="auto"/>
        </w:rPr>
      </w:pPr>
    </w:p>
    <w:p>
      <w:pPr>
        <w:ind w:right="2959" w:firstLine="720"/>
        <w:spacing w:after="0" w:line="247" w:lineRule="auto"/>
        <w:tabs>
          <w:tab w:leader="none" w:pos="10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This Option may be exercised only within the term set out in the Notice of Grant, and may be exercised during such term only in accordance with the Plan and the terms of this Option Agreement.</w:t>
      </w:r>
    </w:p>
    <w:p>
      <w:pPr>
        <w:spacing w:after="0" w:line="174" w:lineRule="exact"/>
        <w:rPr>
          <w:rFonts w:ascii="Courier New" w:cs="Courier New" w:eastAsia="Courier New" w:hAnsi="Courier New"/>
          <w:sz w:val="15"/>
          <w:szCs w:val="15"/>
          <w:color w:val="auto"/>
        </w:rPr>
      </w:pPr>
    </w:p>
    <w:p>
      <w:pPr>
        <w:ind w:right="2959" w:firstLine="720"/>
        <w:spacing w:after="0" w:line="246" w:lineRule="auto"/>
        <w:tabs>
          <w:tab w:leader="none" w:pos="10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Consequences. Some of the federal tax consequences relating to this Option, as of the date of this Option, are set forth below. THIS SUMMARY IS NECESSARILY INCOMPLETE, AND THE TAX LAWS AND REGULATIONS ARE SUBJECT TO CHANGE. THE OPTIONEE SHOULD CONSULT A TAX ADVISER BEFORE EXERCISING THIS OPTION OR DISPOSING OF THE SHARES.</w:t>
      </w:r>
    </w:p>
    <w:p>
      <w:pPr>
        <w:spacing w:after="0" w:line="177" w:lineRule="exact"/>
        <w:rPr>
          <w:rFonts w:ascii="Courier New" w:cs="Courier New" w:eastAsia="Courier New" w:hAnsi="Courier New"/>
          <w:sz w:val="15"/>
          <w:szCs w:val="15"/>
          <w:color w:val="auto"/>
        </w:rPr>
      </w:pPr>
    </w:p>
    <w:p>
      <w:pPr>
        <w:ind w:left="2080" w:hanging="724"/>
        <w:spacing w:after="0"/>
        <w:tabs>
          <w:tab w:leader="none" w:pos="208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Exercising the Option.</w:t>
      </w:r>
    </w:p>
    <w:p>
      <w:pPr>
        <w:spacing w:after="0" w:line="179" w:lineRule="exact"/>
        <w:rPr>
          <w:rFonts w:ascii="Courier New" w:cs="Courier New" w:eastAsia="Courier New" w:hAnsi="Courier New"/>
          <w:sz w:val="15"/>
          <w:szCs w:val="15"/>
          <w:color w:val="auto"/>
        </w:rPr>
      </w:pPr>
    </w:p>
    <w:p>
      <w:pPr>
        <w:ind w:left="2720" w:hanging="637"/>
        <w:spacing w:after="0"/>
        <w:tabs>
          <w:tab w:leader="none" w:pos="2720"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The Optionee may incur</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regular federal income tax and state income tax liability upon exercise of a NSO. The Optionee will be treated as having received compensation income (taxable at ordinary income tax rates) equal to the excess, if any, of the Fair Market Value of the Exercised Shares on the date of exercise over their aggregate Exercise Price. If the Optionee is an Employee or a former Employee, the Company will be required to withhold from his or her compensation or collect from Optionee and pay to the applicable taxing authorities an amount in cash equal to a percentage of this compensation income at the time of exercise, and may refuse to honor the exercise and refuse to deliver Shares if such withholding amounts are not delivered at the time of exercise.</w:t>
      </w:r>
    </w:p>
    <w:p>
      <w:pPr>
        <w:spacing w:after="0" w:line="180" w:lineRule="exact"/>
        <w:rPr>
          <w:rFonts w:ascii="Courier New" w:cs="Courier New" w:eastAsia="Courier New" w:hAnsi="Courier New"/>
          <w:sz w:val="15"/>
          <w:szCs w:val="15"/>
          <w:color w:val="auto"/>
        </w:rPr>
      </w:pPr>
    </w:p>
    <w:p>
      <w:pPr>
        <w:ind w:right="2959" w:firstLine="2083"/>
        <w:spacing w:after="0" w:line="246" w:lineRule="auto"/>
        <w:tabs>
          <w:tab w:leader="none" w:pos="2726"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If this Option qualifies as an ISO, the Optionee will have no regular federal income tax or state income tax liability upon its exercise, although the excess, if any, of the Fair Market Value of the Exercised Shares on the date of exercise over their aggregate Exercise Price will be treated as an adjustment to alternative minimum taxable income for federal tax purposes and may subject the Optionee to alternative minimum tax in the year of exercise. In the event that the Optionee undergoes a change of status from Employee to Consultant, any Incentive Stock Option of the Optionee that remains unexercised shall cease to qualify as an Incentive Stock Option and will be treated for tax purposes as a Nonstatutory Stock Option on the ninety-first (91st) day following such change of status.</w:t>
      </w:r>
    </w:p>
    <w:p>
      <w:pPr>
        <w:spacing w:after="0" w:line="181" w:lineRule="exact"/>
        <w:rPr>
          <w:rFonts w:ascii="Courier New" w:cs="Courier New" w:eastAsia="Courier New" w:hAnsi="Courier New"/>
          <w:sz w:val="15"/>
          <w:szCs w:val="15"/>
          <w:color w:val="auto"/>
        </w:rPr>
      </w:pPr>
    </w:p>
    <w:p>
      <w:pPr>
        <w:ind w:left="2080" w:hanging="724"/>
        <w:spacing w:after="0"/>
        <w:tabs>
          <w:tab w:leader="none" w:pos="208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Disposition of Shares.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2720" w:hanging="637"/>
        <w:spacing w:after="0"/>
        <w:tabs>
          <w:tab w:leader="none" w:pos="2720"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NSO.  If the Optionee holds NSO Shares for at</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least one year, any gain realized on disposition of the Shares will be treated as long-term capital gain for federal income tax purposes.</w:t>
      </w:r>
    </w:p>
    <w:p>
      <w:pPr>
        <w:spacing w:after="0" w:line="174" w:lineRule="exact"/>
        <w:rPr>
          <w:rFonts w:ascii="Courier New" w:cs="Courier New" w:eastAsia="Courier New" w:hAnsi="Courier New"/>
          <w:sz w:val="15"/>
          <w:szCs w:val="15"/>
          <w:color w:val="auto"/>
        </w:rPr>
      </w:pPr>
    </w:p>
    <w:p>
      <w:pPr>
        <w:ind w:right="3039" w:firstLine="2083"/>
        <w:spacing w:after="0" w:line="246" w:lineRule="auto"/>
        <w:tabs>
          <w:tab w:leader="none" w:pos="2726"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 If the Optionee holds ISO Shares for at least one year after exercise AND two years after the grant date, any gain realized on disposition of the Shares will be treated as long-term capital gain for federal income tax purposes. If the Optionee disposes of ISO Shares within one year after exercise or two years after the grant date, any gain realized on such disposition will be treated as compensation income (taxable at ordinary income rates) to the extent of the excess, if any, of the LESSER OF (A) the difference between the FAIR MARKET VALUE OF THE SHARES ACQUIRED ON THE DATE OF EXERCISE and the aggregate Exercise Price, or (B) the difference between the SALE PRICE of such Shares and the aggregate Exercise Price.</w:t>
      </w:r>
    </w:p>
    <w:p>
      <w:pPr>
        <w:spacing w:after="0" w:line="180" w:lineRule="exact"/>
        <w:rPr>
          <w:rFonts w:ascii="Courier New" w:cs="Courier New" w:eastAsia="Courier New" w:hAnsi="Courier New"/>
          <w:sz w:val="15"/>
          <w:szCs w:val="15"/>
          <w:color w:val="auto"/>
        </w:rPr>
      </w:pPr>
    </w:p>
    <w:p>
      <w:pPr>
        <w:ind w:right="2959" w:firstLine="1356"/>
        <w:spacing w:after="0" w:line="246" w:lineRule="auto"/>
        <w:tabs>
          <w:tab w:leader="none" w:pos="1727"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Disqualifying Disposition of ISO Shares. If the Optionee sells or otherwise disposes of any of the Shares acquired pursuant to an ISO on or before the later of (i) two years after the grant date, or (ii) one year after the exercise date, the Optionee shall immediately notify the Company in writing of such disposition. The Optionee agrees that he or she may be subject to income tax withholding by the Company on the compensation income recognized from such early disposition of ISO Shares by payment in cash or out of the current earnings paid to the Optionee.</w:t>
      </w:r>
    </w:p>
    <w:p>
      <w:pPr>
        <w:spacing w:after="0" w:line="354" w:lineRule="exact"/>
        <w:rPr>
          <w:rFonts w:ascii="Courier New" w:cs="Courier New" w:eastAsia="Courier New" w:hAnsi="Courier New"/>
          <w:sz w:val="15"/>
          <w:szCs w:val="15"/>
          <w:color w:val="auto"/>
        </w:rPr>
      </w:pPr>
    </w:p>
    <w:p>
      <w:pPr>
        <w:ind w:right="2959" w:firstLine="720"/>
        <w:spacing w:after="0" w:line="246" w:lineRule="auto"/>
        <w:tabs>
          <w:tab w:leader="none" w:pos="10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In consideration of the grant by the Company of this Option, you (i) reconfirm your obligations set forth in the Confidentiality Agreement or Agreement Regarding Certain Conditions of Employment previously executed by you, and (ii) agree that for a period of one (1) year following termination of your Continuous Status as an Employee or Consultant, for any reason, you will not work for any entity, whether as a consultant, analyst, sales person, independent contractor, independent business venturer, owner, partner, employee or otherwise, that provides research, analysis, advisory or consulting services for the computer, communication or information technology industries or for the purchasers and vendors of information technology products and services, if the products or services offered, or planned to be offered within one year after your termination of employment, by such company are competitive with the products or services then offered by the Company or under development by the Company, and are products or services which you worked with or had supervisory responsibility over at any time during the year prior to the termination of your employment.</w:t>
      </w:r>
    </w:p>
    <w:p>
      <w:pPr>
        <w:spacing w:after="0" w:line="184" w:lineRule="exact"/>
        <w:rPr>
          <w:rFonts w:ascii="Courier New" w:cs="Courier New" w:eastAsia="Courier New" w:hAnsi="Courier New"/>
          <w:sz w:val="15"/>
          <w:szCs w:val="15"/>
          <w:color w:val="auto"/>
        </w:rPr>
      </w:pPr>
    </w:p>
    <w:p>
      <w:pPr>
        <w:ind w:right="2959" w:firstLine="720"/>
        <w:spacing w:after="0" w:line="246" w:lineRule="auto"/>
        <w:tabs>
          <w:tab w:leader="none" w:pos="10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Governing Law. 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Delaware law except for that body of law pertaining to conflict of laws, and except for paragraph 7 (which shall be governed by Connecticut law).</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right="2959" w:firstLine="727"/>
        <w:spacing w:after="0" w:line="246" w:lineRule="auto"/>
        <w:rPr>
          <w:sz w:val="20"/>
          <w:szCs w:val="20"/>
          <w:color w:val="auto"/>
        </w:rPr>
      </w:pPr>
      <w:r>
        <w:rPr>
          <w:rFonts w:ascii="Courier New" w:cs="Courier New" w:eastAsia="Courier New" w:hAnsi="Courier New"/>
          <w:sz w:val="15"/>
          <w:szCs w:val="15"/>
          <w:color w:val="auto"/>
        </w:rPr>
        <w:t>By your signature and the signature of the Company's representative below, you and the Company agree that this Option is granted under and governed by the terms and conditions of the Plan and this Option Agreement. Optionee has reviewed the Plan and this Option Agreement in their entirety, has had an opportunity to obtain the advice of counsel prior to executing this Option Agreement and fully understands all provisions of the Plan and Option Agreement. Optionee hereby agrees to accept as binding, conclusive and final all decisions or interpretations of the Administrator upon any questions relating to the Plan and Option Agreement. Optionee further agrees to notify the Company upon any change in the residence address indicated below.</w:t>
      </w:r>
    </w:p>
    <w:p>
      <w:pPr>
        <w:sectPr>
          <w:pgSz w:w="11900" w:h="16838" w:orient="portrait"/>
          <w:cols w:equalWidth="0" w:num="1">
            <w:col w:w="10219"/>
          </w:cols>
          <w:pgMar w:left="240" w:top="293" w:right="1440" w:bottom="1440" w:gutter="0" w:footer="0" w:header="0"/>
        </w:sect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OPTIONEE: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GARTNER GROUP, INC.</w:t>
      </w:r>
    </w:p>
    <w:p>
      <w:pPr>
        <w:spacing w:after="0" w:line="200" w:lineRule="exact"/>
        <w:rPr>
          <w:sz w:val="20"/>
          <w:szCs w:val="20"/>
          <w:color w:val="auto"/>
        </w:rPr>
      </w:pPr>
    </w:p>
    <w:p>
      <w:pPr>
        <w:sectPr>
          <w:pgSz w:w="11900" w:h="16838" w:orient="portrait"/>
          <w:cols w:equalWidth="0" w:num="2">
            <w:col w:w="4080" w:space="720"/>
            <w:col w:w="5419"/>
          </w:cols>
          <w:pgMar w:left="240" w:top="293"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3460" w:space="720"/>
            <w:col w:w="603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0"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spacing w:after="0" w:line="154" w:lineRule="exact"/>
        <w:rPr>
          <w:sz w:val="20"/>
          <w:szCs w:val="20"/>
          <w:color w:val="auto"/>
        </w:rPr>
      </w:pPr>
    </w:p>
    <w:p>
      <w:pPr>
        <w:ind w:right="200"/>
        <w:spacing w:after="0" w:line="247" w:lineRule="auto"/>
        <w:rPr>
          <w:sz w:val="20"/>
          <w:szCs w:val="20"/>
          <w:color w:val="auto"/>
        </w:rPr>
      </w:pPr>
      <w:r>
        <w:rPr>
          <w:rFonts w:ascii="Courier New" w:cs="Courier New" w:eastAsia="Courier New" w:hAnsi="Courier New"/>
          <w:sz w:val="15"/>
          <w:szCs w:val="15"/>
          <w:color w:val="auto"/>
        </w:rPr>
        <w:t>- -------------------------------- Residence Address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80"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PERFORMANCE OBJECTIVES</w:t>
      </w:r>
    </w:p>
    <w:p>
      <w:pPr>
        <w:spacing w:after="0" w:line="354"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[Intentionally Left Blank]</w:t>
      </w:r>
    </w:p>
    <w:p>
      <w:pPr>
        <w:sectPr>
          <w:pgSz w:w="11900" w:h="16838" w:orient="portrait"/>
          <w:cols w:equalWidth="0" w:num="1">
            <w:col w:w="9959"/>
          </w:cols>
          <w:pgMar w:left="500" w:top="29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GARTNER GROUP, INC.</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1996 LONG TERM STOCK OPTION PLAN</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EXERCISE NOTICE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Gartner Group,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Top Gallant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10212</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Stamford, CT</w:t>
        <w:tab/>
        <w:t>06904-2212</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Secretary</w:t>
      </w:r>
    </w:p>
    <w:p>
      <w:pPr>
        <w:spacing w:after="0" w:line="180" w:lineRule="exact"/>
        <w:rPr>
          <w:sz w:val="20"/>
          <w:szCs w:val="20"/>
          <w:color w:val="auto"/>
        </w:rPr>
      </w:pPr>
    </w:p>
    <w:p>
      <w:pPr>
        <w:ind w:right="3039" w:firstLine="720"/>
        <w:spacing w:after="0" w:line="246" w:lineRule="auto"/>
        <w:tabs>
          <w:tab w:leader="none" w:pos="10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Effective as of today, ________________, 199__, the undersigned ("Purchaser") hereby elects to purchase ______________ shares (the "Shares") of the Common Stock of Gartner Group, Inc. (the "Company") under and pursuant to the Company's Long Term Stock Option Plan (the "Plan") and the Stock Option Agreement dated ________, 19___ (the "Option Agreement"). The purchase price for the Shares shall be $____, as required by the Option Agreement.</w:t>
      </w:r>
    </w:p>
    <w:p>
      <w:pPr>
        <w:spacing w:after="0" w:line="179" w:lineRule="exact"/>
        <w:rPr>
          <w:rFonts w:ascii="Courier New" w:cs="Courier New" w:eastAsia="Courier New" w:hAnsi="Courier New"/>
          <w:sz w:val="15"/>
          <w:szCs w:val="15"/>
          <w:color w:val="auto"/>
        </w:rPr>
      </w:pPr>
    </w:p>
    <w:p>
      <w:pPr>
        <w:ind w:right="3139" w:firstLine="720"/>
        <w:spacing w:after="0" w:line="247" w:lineRule="auto"/>
        <w:tabs>
          <w:tab w:leader="none" w:pos="10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Payment. Purchaser herewith delivers to the Company the full purchase price for the Shares.</w:t>
      </w:r>
    </w:p>
    <w:p>
      <w:pPr>
        <w:spacing w:after="0" w:line="174" w:lineRule="exact"/>
        <w:rPr>
          <w:rFonts w:ascii="Courier New" w:cs="Courier New" w:eastAsia="Courier New" w:hAnsi="Courier New"/>
          <w:sz w:val="15"/>
          <w:szCs w:val="15"/>
          <w:color w:val="auto"/>
        </w:rPr>
      </w:pPr>
    </w:p>
    <w:p>
      <w:pPr>
        <w:jc w:val="both"/>
        <w:ind w:right="3139" w:firstLine="720"/>
        <w:spacing w:after="0" w:line="247" w:lineRule="auto"/>
        <w:tabs>
          <w:tab w:leader="none" w:pos="10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of Purchaser. Purchaser acknowledges that Purchaser has received, read and understood the Plan and the Option Agreement and agrees to abide by and be bound by their terms and conditions.</w:t>
      </w:r>
    </w:p>
    <w:p>
      <w:pPr>
        <w:spacing w:after="0" w:line="174" w:lineRule="exact"/>
        <w:rPr>
          <w:rFonts w:ascii="Courier New" w:cs="Courier New" w:eastAsia="Courier New" w:hAnsi="Courier New"/>
          <w:sz w:val="15"/>
          <w:szCs w:val="15"/>
          <w:color w:val="auto"/>
        </w:rPr>
      </w:pPr>
    </w:p>
    <w:p>
      <w:pPr>
        <w:ind w:right="2959" w:firstLine="720"/>
        <w:spacing w:after="0" w:line="246" w:lineRule="auto"/>
        <w:tabs>
          <w:tab w:leader="none" w:pos="10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Shareholder. Until the issuance (as evidenced by the appropriate entry on the books of the Company or of a duly authorized transfer agent of the Company) of the stock certificate evidencing such Shares, no right to vote or receive dividends or any other rights as a shareholder shall exist with respect to the Optioned Stock, notwithstanding the exercise of the Option. A share certificate for the number of Shares so acquired shall be issued to the Optionee as soon as practicable after exercise of the Option. No adjustment will be made for a dividend or other right for which the record date is prior to the date the stock certificate is issued, except as provided in Section 12 of the Plan.</w:t>
      </w:r>
    </w:p>
    <w:p>
      <w:pPr>
        <w:spacing w:after="0" w:line="180" w:lineRule="exact"/>
        <w:rPr>
          <w:rFonts w:ascii="Courier New" w:cs="Courier New" w:eastAsia="Courier New" w:hAnsi="Courier New"/>
          <w:sz w:val="15"/>
          <w:szCs w:val="15"/>
          <w:color w:val="auto"/>
        </w:rPr>
      </w:pPr>
    </w:p>
    <w:p>
      <w:pPr>
        <w:ind w:right="3139" w:firstLine="720"/>
        <w:spacing w:after="0" w:line="246" w:lineRule="auto"/>
        <w:tabs>
          <w:tab w:leader="none" w:pos="10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Consultation.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ectPr>
          <w:pgSz w:w="11900" w:h="16838" w:orient="portrait"/>
          <w:cols w:equalWidth="0" w:num="1">
            <w:col w:w="10219"/>
          </w:cols>
          <w:pgMar w:left="240" w:top="29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2959" w:firstLine="720"/>
        <w:spacing w:after="0" w:line="246" w:lineRule="auto"/>
        <w:tabs>
          <w:tab w:leader="none" w:pos="10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Governing Law. The Plan and Option Agreement are incorporated herein by reference. This Agreement,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Delaware law except for that body of law pertaining to conflict of laws.</w:t>
      </w:r>
    </w:p>
    <w:p>
      <w:pPr>
        <w:sectPr>
          <w:pgSz w:w="11900" w:h="16838" w:orient="portrait"/>
          <w:cols w:equalWidth="0" w:num="1">
            <w:col w:w="10219"/>
          </w:cols>
          <w:pgMar w:left="240" w:top="293" w:right="1440" w:bottom="1440" w:gutter="0" w:footer="0" w:header="0"/>
        </w:sect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by:</w:t>
      </w:r>
    </w:p>
    <w:p>
      <w:pPr>
        <w:spacing w:after="0" w:line="191"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GARTNER GROUP, INC.</w:t>
      </w:r>
    </w:p>
    <w:p>
      <w:pPr>
        <w:spacing w:after="0" w:line="200"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spacing w:after="0" w:line="154" w:lineRule="exact"/>
        <w:rPr>
          <w:sz w:val="20"/>
          <w:szCs w:val="20"/>
          <w:color w:val="auto"/>
        </w:rPr>
      </w:pPr>
    </w:p>
    <w:p>
      <w:pPr>
        <w:ind w:right="200"/>
        <w:spacing w:after="0" w:line="247" w:lineRule="auto"/>
        <w:rPr>
          <w:sz w:val="20"/>
          <w:szCs w:val="20"/>
          <w:color w:val="auto"/>
        </w:rPr>
      </w:pPr>
      <w:r>
        <w:rPr>
          <w:rFonts w:ascii="Courier New" w:cs="Courier New" w:eastAsia="Courier New" w:hAnsi="Courier New"/>
          <w:sz w:val="15"/>
          <w:szCs w:val="15"/>
          <w:color w:val="auto"/>
        </w:rPr>
        <w:t>__________________________________ Signature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354"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ind w:right="200"/>
        <w:spacing w:after="0" w:line="247" w:lineRule="auto"/>
        <w:rPr>
          <w:sz w:val="20"/>
          <w:szCs w:val="20"/>
          <w:color w:val="auto"/>
        </w:rPr>
      </w:pPr>
      <w:r>
        <w:rPr>
          <w:rFonts w:ascii="Courier New" w:cs="Courier New" w:eastAsia="Courier New" w:hAnsi="Courier New"/>
          <w:sz w:val="15"/>
          <w:szCs w:val="15"/>
          <w:color w:val="auto"/>
        </w:rPr>
        <w:t>__________________________________ 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Its:_______________________________</w:t>
      </w:r>
    </w:p>
    <w:p>
      <w:pPr>
        <w:spacing w:after="0" w:line="379"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80"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ind w:right="280"/>
        <w:spacing w:after="0" w:line="247" w:lineRule="auto"/>
        <w:rPr>
          <w:sz w:val="20"/>
          <w:szCs w:val="20"/>
          <w:color w:val="auto"/>
        </w:rPr>
      </w:pPr>
      <w:r>
        <w:rPr>
          <w:rFonts w:ascii="Courier New" w:cs="Courier New" w:eastAsia="Courier New" w:hAnsi="Courier New"/>
          <w:sz w:val="15"/>
          <w:szCs w:val="15"/>
          <w:color w:val="auto"/>
        </w:rPr>
        <w:t>_________________________________ _________________________________ 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56 Top Gallant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10212</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Stamford, CT</w:t>
        <w:tab/>
        <w:t>06904-2212</w:t>
      </w:r>
    </w:p>
    <w:p>
      <w:pPr>
        <w:spacing w:after="0" w:line="205" w:lineRule="exact"/>
        <w:rPr>
          <w:sz w:val="20"/>
          <w:szCs w:val="20"/>
          <w:color w:val="auto"/>
        </w:rPr>
      </w:pPr>
    </w:p>
    <w:p>
      <w:pPr>
        <w:sectPr>
          <w:pgSz w:w="11900" w:h="16838" w:orient="portrait"/>
          <w:cols w:equalWidth="0" w:num="2">
            <w:col w:w="3280" w:space="720"/>
            <w:col w:w="6219"/>
          </w:cols>
          <w:pgMar w:left="240" w:top="293" w:right="1440" w:bottom="1440" w:gutter="0" w:footer="0" w:header="0"/>
          <w:type w:val="continuous"/>
        </w:sectPr>
      </w:pPr>
    </w:p>
    <w:p>
      <w:pPr>
        <w:spacing w:after="0" w:line="149"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Date Received</w:t>
      </w:r>
    </w:p>
    <w:p>
      <w:pPr>
        <w:sectPr>
          <w:pgSz w:w="11900" w:h="16838" w:orient="portrait"/>
          <w:cols w:equalWidth="0" w:num="1">
            <w:col w:w="10219"/>
          </w:cols>
          <w:pgMar w:left="240" w:top="293" w:right="1440" w:bottom="1440" w:gutter="0" w:footer="0" w:header="0"/>
          <w:type w:val="continuous"/>
        </w:sectPr>
      </w:pPr>
    </w:p>
    <w:bookmarkStart w:id="67" w:name="page68"/>
    <w:bookmarkEnd w:id="67"/>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6187"/>
        <w:spacing w:after="0"/>
        <w:rPr>
          <w:sz w:val="20"/>
          <w:szCs w:val="20"/>
          <w:color w:val="auto"/>
        </w:rPr>
      </w:pPr>
      <w:r>
        <w:rPr>
          <w:rFonts w:ascii="Courier New" w:cs="Courier New" w:eastAsia="Courier New" w:hAnsi="Courier New"/>
          <w:sz w:val="15"/>
          <w:szCs w:val="15"/>
          <w:color w:val="auto"/>
        </w:rPr>
        <w:t>Exhibit 11.1</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Gartner Group, Inc.</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Computation of Income per Common Share</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For the three months ended,</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nine months ended,</w:t>
            </w:r>
          </w:p>
        </w:tc>
      </w:tr>
      <w:tr>
        <w:trPr>
          <w:trHeight w:val="175"/>
        </w:trPr>
        <w:tc>
          <w:tcPr>
            <w:tcW w:w="60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6080" w:type="dxa"/>
            <w:vAlign w:val="bottom"/>
          </w:tcPr>
          <w:p>
            <w:pPr>
              <w:spacing w:after="0"/>
              <w:rPr>
                <w:sz w:val="15"/>
                <w:szCs w:val="15"/>
                <w:color w:val="auto"/>
              </w:rPr>
            </w:pPr>
          </w:p>
        </w:tc>
        <w:tc>
          <w:tcPr>
            <w:tcW w:w="28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6080" w:type="dxa"/>
            <w:vAlign w:val="bottom"/>
          </w:tcPr>
          <w:p>
            <w:pPr>
              <w:spacing w:after="0"/>
              <w:rPr>
                <w:sz w:val="24"/>
                <w:szCs w:val="24"/>
                <w:color w:val="auto"/>
              </w:rPr>
            </w:pPr>
          </w:p>
        </w:tc>
        <w:tc>
          <w:tcPr>
            <w:tcW w:w="172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6080" w:type="dxa"/>
            <w:vAlign w:val="bottom"/>
          </w:tcPr>
          <w:p>
            <w:pPr>
              <w:spacing w:after="0"/>
              <w:rPr>
                <w:sz w:val="15"/>
                <w:szCs w:val="15"/>
                <w:color w:val="auto"/>
              </w:rPr>
            </w:pP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$ 18,455</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$ 12,621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$ 55,697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$ 35,826</w:t>
            </w:r>
          </w:p>
        </w:tc>
      </w:tr>
      <w:tr>
        <w:trPr>
          <w:trHeight w:val="175"/>
        </w:trPr>
        <w:tc>
          <w:tcPr>
            <w:tcW w:w="6080" w:type="dxa"/>
            <w:vAlign w:val="bottom"/>
          </w:tcPr>
          <w:p>
            <w:pPr>
              <w:spacing w:after="0"/>
              <w:rPr>
                <w:sz w:val="15"/>
                <w:szCs w:val="15"/>
                <w:color w:val="auto"/>
              </w:rPr>
            </w:pP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95,326</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90,968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94,277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89,903</w:t>
            </w: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under warrant</w:t>
            </w:r>
          </w:p>
        </w:tc>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245</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331</w:t>
            </w:r>
          </w:p>
        </w:tc>
      </w:tr>
      <w:tr>
        <w:trPr>
          <w:trHeight w:val="175"/>
        </w:trPr>
        <w:tc>
          <w:tcPr>
            <w:tcW w:w="6080" w:type="dxa"/>
            <w:vAlign w:val="bottom"/>
          </w:tcPr>
          <w:p>
            <w:pPr>
              <w:spacing w:after="0"/>
              <w:rPr>
                <w:sz w:val="20"/>
                <w:szCs w:val="20"/>
                <w:color w:val="auto"/>
              </w:rPr>
            </w:pPr>
            <w:r>
              <w:rPr>
                <w:rFonts w:ascii="Courier New" w:cs="Courier New" w:eastAsia="Courier New" w:hAnsi="Courier New"/>
                <w:sz w:val="15"/>
                <w:szCs w:val="15"/>
                <w:color w:val="auto"/>
              </w:rPr>
              <w:t>Weighted average number of option shares outstanding</w:t>
            </w: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7,082</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8,795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7,569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8,662</w:t>
            </w:r>
          </w:p>
        </w:tc>
      </w:tr>
      <w:tr>
        <w:trPr>
          <w:trHeight w:val="175"/>
        </w:trPr>
        <w:tc>
          <w:tcPr>
            <w:tcW w:w="6080" w:type="dxa"/>
            <w:vAlign w:val="bottom"/>
          </w:tcPr>
          <w:p>
            <w:pPr>
              <w:spacing w:after="0"/>
              <w:rPr>
                <w:sz w:val="15"/>
                <w:szCs w:val="15"/>
                <w:color w:val="auto"/>
              </w:rPr>
            </w:pP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60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 as adjusted</w:t>
            </w: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102,653</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100,094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102,124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98,896</w:t>
            </w:r>
          </w:p>
        </w:tc>
      </w:tr>
      <w:tr>
        <w:trPr>
          <w:trHeight w:val="175"/>
        </w:trPr>
        <w:tc>
          <w:tcPr>
            <w:tcW w:w="6080" w:type="dxa"/>
            <w:vAlign w:val="bottom"/>
          </w:tcPr>
          <w:p>
            <w:pPr>
              <w:spacing w:after="0"/>
              <w:rPr>
                <w:sz w:val="15"/>
                <w:szCs w:val="15"/>
                <w:color w:val="auto"/>
              </w:rPr>
            </w:pP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income per common share (1)</w:t>
            </w: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   0.18</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   0.13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0.55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0.36</w:t>
            </w:r>
          </w:p>
        </w:tc>
      </w:tr>
      <w:tr>
        <w:trPr>
          <w:trHeight w:val="175"/>
        </w:trPr>
        <w:tc>
          <w:tcPr>
            <w:tcW w:w="6080" w:type="dxa"/>
            <w:vAlign w:val="bottom"/>
          </w:tcPr>
          <w:p>
            <w:pPr>
              <w:spacing w:after="0"/>
              <w:rPr>
                <w:sz w:val="15"/>
                <w:szCs w:val="15"/>
                <w:color w:val="auto"/>
              </w:rPr>
            </w:pPr>
          </w:p>
        </w:tc>
        <w:tc>
          <w:tcPr>
            <w:tcW w:w="17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4540" w:hanging="7"/>
        <w:spacing w:after="0" w:line="247" w:lineRule="auto"/>
        <w:tabs>
          <w:tab w:leader="none" w:pos="37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Fully diluted income per common share has not been presented because the effects are not material.</w:t>
      </w:r>
    </w:p>
    <w:p>
      <w:pPr>
        <w:sectPr>
          <w:pgSz w:w="11900" w:h="16838" w:orient="portrait"/>
          <w:cols w:equalWidth="0" w:num="1">
            <w:col w:w="11447"/>
          </w:cols>
          <w:pgMar w:left="233" w:top="142" w:right="219" w:bottom="1440" w:gutter="0" w:footer="0" w:header="0"/>
        </w:sectPr>
      </w:pPr>
    </w:p>
    <w:bookmarkStart w:id="68" w:name="page69"/>
    <w:bookmarkEnd w:id="68"/>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019"/>
        <w:spacing w:after="0" w:line="247" w:lineRule="auto"/>
        <w:rPr>
          <w:sz w:val="20"/>
          <w:szCs w:val="20"/>
          <w:color w:val="auto"/>
        </w:rPr>
      </w:pPr>
      <w:r>
        <w:rPr>
          <w:rFonts w:ascii="Courier New" w:cs="Courier New" w:eastAsia="Courier New" w:hAnsi="Courier New"/>
          <w:sz w:val="15"/>
          <w:szCs w:val="15"/>
          <w:color w:val="auto"/>
        </w:rPr>
        <w:t>THE SCHEDULE CONTAINS SUMMARY FINANCIAL INFORMATION EXTRACTED FROM THE ACCOMPANYING FINANCIAL STATEMENTS AND IS QUALIFIED IN ITS ENTIRETY BY REFERENCE TO SUCH FINANCIAL STATEMENTS.</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3-MOS</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SEP-30-1997</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OCT-01-1996</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JUN-30-1997</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161,770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20,520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166,803</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4,168</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383,164</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82,026</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43,062</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550,375</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298,272</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245,935</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550,375</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370,841</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370,841</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144,256</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144,256</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136,604</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2,111</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95,208</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39,511</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55,697</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55,697</w:t>
      </w:r>
    </w:p>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0.55</w:t>
      </w:r>
    </w:p>
    <w:p>
      <w:pPr>
        <w:spacing w:after="0" w:line="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0.55</w:t>
      </w:r>
    </w:p>
    <w:sectPr>
      <w:pgSz w:w="11900" w:h="16838" w:orient="portrait"/>
      <w:cols w:equalWidth="0" w:num="1">
        <w:col w:w="10199"/>
      </w:cols>
      <w:pgMar w:left="26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upperLetter"/>
      <w:start w:val="24"/>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lowerLetter"/>
      <w:start w:val="2"/>
    </w:lvl>
  </w:abstractNum>
  <w:abstractNum w:abstractNumId="3">
    <w:nsid w:val="75C6C33A"/>
    <w:multiLevelType w:val="hybridMultilevel"/>
    <w:lvl w:ilvl="0">
      <w:lvlJc w:val="left"/>
      <w:lvlText w:val="%1."/>
      <w:numFmt w:val="decimal"/>
      <w:start w:val="1"/>
    </w:lvl>
    <w:lvl w:ilvl="1">
      <w:lvlJc w:val="left"/>
      <w:lvlText w:val="(%2)"/>
      <w:numFmt w:val="lowerLetter"/>
      <w:start w:val="1"/>
    </w:lvl>
  </w:abstractNum>
  <w:abstractNum w:abstractNumId="4">
    <w:nsid w:val="12E685FB"/>
    <w:multiLevelType w:val="hybridMultilevel"/>
    <w:lvl w:ilvl="0">
      <w:lvlJc w:val="left"/>
      <w:lvlText w:val="(%1)"/>
      <w:numFmt w:val="lowerLetter"/>
      <w:start w:val="9"/>
    </w:lvl>
    <w:lvl w:ilvl="1">
      <w:lvlJc w:val="left"/>
      <w:lvlText w:val="(%2)"/>
      <w:numFmt w:val="lowerRoman"/>
      <w:start w:val="1"/>
    </w:lvl>
  </w:abstractNum>
  <w:abstractNum w:abstractNumId="5">
    <w:nsid w:val="70C6A529"/>
    <w:multiLevelType w:val="hybridMultilevel"/>
    <w:lvl w:ilvl="0">
      <w:lvlJc w:val="left"/>
      <w:lvlText w:val="%1"/>
      <w:numFmt w:val="lowerLetter"/>
      <w:start w:val="1"/>
    </w:lvl>
    <w:lvl w:ilvl="1">
      <w:lvlJc w:val="left"/>
      <w:lvlText w:val="(%2)"/>
      <w:numFmt w:val="lowerRoman"/>
      <w:start w:val="2"/>
    </w:lvl>
  </w:abstractNum>
  <w:abstractNum w:abstractNumId="6">
    <w:nsid w:val="520EEDD1"/>
    <w:multiLevelType w:val="hybridMultilevel"/>
    <w:lvl w:ilvl="0">
      <w:lvlJc w:val="left"/>
      <w:lvlText w:val="(%1)"/>
      <w:numFmt w:val="lowerLetter"/>
      <w:start w:val="15"/>
    </w:lvl>
    <w:lvl w:ilvl="1">
      <w:lvlJc w:val="left"/>
      <w:lvlText w:val="%2"/>
      <w:numFmt w:val="lowerRoman"/>
      <w:start w:val="1"/>
    </w:lvl>
  </w:abstractNum>
  <w:abstractNum w:abstractNumId="7">
    <w:nsid w:val="374A3FE6"/>
    <w:multiLevelType w:val="hybridMultilevel"/>
    <w:lvl w:ilvl="0">
      <w:lvlJc w:val="left"/>
      <w:lvlText w:val="(%1)"/>
      <w:numFmt w:val="lowerLetter"/>
      <w:start w:val="17"/>
    </w:lvl>
  </w:abstractNum>
  <w:abstractNum w:abstractNumId="8">
    <w:nsid w:val="4F4EF005"/>
    <w:multiLevelType w:val="hybridMultilevel"/>
    <w:lvl w:ilvl="0">
      <w:lvlJc w:val="left"/>
      <w:lvlText w:val="(%1)"/>
      <w:numFmt w:val="lowerLetter"/>
      <w:start w:val="27"/>
    </w:lvl>
  </w:abstractNum>
  <w:abstractNum w:abstractNumId="9">
    <w:nsid w:val="23F9C13C"/>
    <w:multiLevelType w:val="hybridMultilevel"/>
    <w:lvl w:ilvl="0">
      <w:lvlJc w:val="left"/>
      <w:lvlText w:val="%1"/>
      <w:numFmt w:val="decimal"/>
      <w:start w:val="1"/>
    </w:lvl>
    <w:lvl w:ilvl="1">
      <w:lvlJc w:val="left"/>
      <w:lvlText w:val="(%2)"/>
      <w:numFmt w:val="lowerLetter"/>
      <w:start w:val="29"/>
    </w:lvl>
  </w:abstractNum>
  <w:abstractNum w:abstractNumId="10">
    <w:nsid w:val="649BB77C"/>
    <w:multiLevelType w:val="hybridMultilevel"/>
    <w:lvl w:ilvl="0">
      <w:lvlJc w:val="left"/>
      <w:lvlText w:val="%1."/>
      <w:numFmt w:val="decimal"/>
      <w:start w:val="3"/>
    </w:lvl>
    <w:lvl w:ilvl="1">
      <w:lvlJc w:val="left"/>
      <w:lvlText w:val="%2"/>
      <w:numFmt w:val="lowerLetter"/>
      <w:start w:val="1"/>
    </w:lvl>
  </w:abstractNum>
  <w:abstractNum w:abstractNumId="11">
    <w:nsid w:val="275AC79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39386575"/>
    <w:multiLevelType w:val="hybridMultilevel"/>
    <w:lvl w:ilvl="0">
      <w:lvlJc w:val="left"/>
      <w:lvlText w:val="(%1)"/>
      <w:numFmt w:val="lowerRoman"/>
      <w:start w:val="3"/>
    </w:lvl>
    <w:lvl w:ilvl="1">
      <w:lvlJc w:val="left"/>
      <w:lvlText w:val="(%2)"/>
      <w:numFmt w:val="decimal"/>
      <w:start w:val="1"/>
    </w:lvl>
  </w:abstractNum>
  <w:abstractNum w:abstractNumId="13">
    <w:nsid w:val="1CF10FD8"/>
    <w:multiLevelType w:val="hybridMultilevel"/>
    <w:lvl w:ilvl="0">
      <w:lvlJc w:val="left"/>
      <w:lvlText w:val="(%1)"/>
      <w:numFmt w:val="decimal"/>
      <w:start w:val="2"/>
    </w:lvl>
    <w:lvl w:ilvl="1">
      <w:lvlJc w:val="left"/>
      <w:lvlText w:val="(%2)"/>
      <w:numFmt w:val="lowerLetter"/>
      <w:start w:val="1"/>
    </w:lvl>
  </w:abstractNum>
  <w:abstractNum w:abstractNumId="14">
    <w:nsid w:val="180115BE"/>
    <w:multiLevelType w:val="hybridMultilevel"/>
    <w:lvl w:ilvl="0">
      <w:lvlJc w:val="left"/>
      <w:lvlText w:val="%1"/>
      <w:numFmt w:val="lowerLetter"/>
      <w:start w:val="1"/>
    </w:lvl>
    <w:lvl w:ilvl="1">
      <w:lvlJc w:val="left"/>
      <w:lvlText w:val="(%2)"/>
      <w:numFmt w:val="lowerRoman"/>
      <w:start w:val="5"/>
    </w:lvl>
  </w:abstractNum>
  <w:abstractNum w:abstractNumId="15">
    <w:nsid w:val="235BA861"/>
    <w:multiLevelType w:val="hybridMultilevel"/>
    <w:lvl w:ilvl="0">
      <w:lvlJc w:val="left"/>
      <w:lvlText w:val="(%1)"/>
      <w:numFmt w:val="lowerLetter"/>
      <w:start w:val="2"/>
    </w:lvl>
    <w:lvl w:ilvl="1">
      <w:lvlJc w:val="left"/>
      <w:lvlText w:val="(%2)"/>
      <w:numFmt w:val="lowerRoman"/>
      <w:start w:val="1"/>
    </w:lvl>
  </w:abstractNum>
  <w:abstractNum w:abstractNumId="16">
    <w:nsid w:val="47398C89"/>
    <w:multiLevelType w:val="hybridMultilevel"/>
    <w:lvl w:ilvl="0">
      <w:lvlJc w:val="left"/>
      <w:lvlText w:val="%1"/>
      <w:numFmt w:val="lowerRoman"/>
      <w:start w:val="1"/>
    </w:lvl>
    <w:lvl w:ilvl="1">
      <w:lvlJc w:val="left"/>
      <w:lvlText w:val="(%2)"/>
      <w:numFmt w:val="decimal"/>
      <w:start w:val="1"/>
    </w:lvl>
  </w:abstractNum>
  <w:abstractNum w:abstractNumId="17">
    <w:nsid w:val="354FE9F9"/>
    <w:multiLevelType w:val="hybridMultilevel"/>
    <w:lvl w:ilvl="0">
      <w:lvlJc w:val="left"/>
      <w:lvlText w:val="(%1)"/>
      <w:numFmt w:val="lowerRoman"/>
      <w:start w:val="2"/>
    </w:lvl>
    <w:lvl w:ilvl="1">
      <w:lvlJc w:val="left"/>
      <w:lvlText w:val="(%2)"/>
      <w:numFmt w:val="decimal"/>
      <w:start w:val="1"/>
    </w:lvl>
  </w:abstractNum>
  <w:abstractNum w:abstractNumId="18">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9">
    <w:nsid w:val="741226BB"/>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20">
    <w:nsid w:val="D34B6A8"/>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21">
    <w:nsid w:val="10233C99"/>
    <w:multiLevelType w:val="hybridMultilevel"/>
    <w:lvl w:ilvl="0">
      <w:lvlJc w:val="left"/>
      <w:lvlText w:val="(%1)"/>
      <w:numFmt w:val="lowerRoman"/>
      <w:start w:val="2"/>
    </w:lvl>
  </w:abstractNum>
  <w:abstractNum w:abstractNumId="22">
    <w:nsid w:val="3F6AB60F"/>
    <w:multiLevelType w:val="hybridMultilevel"/>
    <w:lvl w:ilvl="0">
      <w:lvlJc w:val="left"/>
      <w:lvlText w:val="%1"/>
      <w:numFmt w:val="lowerLetter"/>
      <w:start w:val="1"/>
    </w:lvl>
    <w:lvl w:ilvl="1">
      <w:lvlJc w:val="left"/>
      <w:lvlText w:val="(%2)"/>
      <w:numFmt w:val="lowerLetter"/>
      <w:start w:val="22"/>
    </w:lvl>
  </w:abstractNum>
  <w:abstractNum w:abstractNumId="23">
    <w:nsid w:val="61574095"/>
    <w:multiLevelType w:val="hybridMultilevel"/>
    <w:lvl w:ilvl="0">
      <w:lvlJc w:val="left"/>
      <w:lvlText w:val="(%1)"/>
      <w:numFmt w:val="lowerLetter"/>
      <w:start w:val="4"/>
    </w:lvl>
    <w:lvl w:ilvl="1">
      <w:lvlJc w:val="left"/>
      <w:lvlText w:val="(%2)"/>
      <w:numFmt w:val="lowerLetter"/>
      <w:start w:val="9"/>
    </w:lvl>
  </w:abstractNum>
  <w:abstractNum w:abstractNumId="24">
    <w:nsid w:val="7E0C57B1"/>
    <w:multiLevelType w:val="hybridMultilevel"/>
    <w:lvl w:ilvl="0">
      <w:lvlJc w:val="left"/>
      <w:lvlText w:val="(%1)"/>
      <w:numFmt w:val="lowerRoman"/>
      <w:start w:val="2"/>
    </w:lvl>
  </w:abstractNum>
  <w:abstractNum w:abstractNumId="25">
    <w:nsid w:val="77AE35EB"/>
    <w:multiLevelType w:val="hybridMultilevel"/>
    <w:lvl w:ilvl="0">
      <w:lvlJc w:val="left"/>
      <w:lvlText w:val="%1."/>
      <w:numFmt w:val="decimal"/>
      <w:start w:val="6"/>
    </w:lvl>
    <w:lvl w:ilvl="1">
      <w:lvlJc w:val="left"/>
      <w:lvlText w:val="(%2)"/>
      <w:numFmt w:val="lowerLetter"/>
      <w:start w:val="1"/>
    </w:lvl>
  </w:abstractNum>
  <w:abstractNum w:abstractNumId="26">
    <w:nsid w:val="579BE4F1"/>
    <w:multiLevelType w:val="hybridMultilevel"/>
    <w:lvl w:ilvl="0">
      <w:lvlJc w:val="left"/>
      <w:lvlText w:val="%1."/>
      <w:numFmt w:val="decimal"/>
      <w:start w:val="7"/>
    </w:lvl>
    <w:lvl w:ilvl="1">
      <w:lvlJc w:val="left"/>
      <w:lvlText w:val="(%2)"/>
      <w:numFmt w:val="lowerLetter"/>
      <w:start w:val="1"/>
    </w:lvl>
  </w:abstractNum>
  <w:abstractNum w:abstractNumId="27">
    <w:nsid w:val="310C50B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
    <w:nsid w:val="5FF87E0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
    <w:nsid w:val="2F305DEF"/>
    <w:multiLevelType w:val="hybridMultilevel"/>
    <w:lvl w:ilvl="0">
      <w:lvlJc w:val="left"/>
      <w:lvlText w:val="%1"/>
      <w:numFmt w:val="lowerLetter"/>
      <w:start w:val="1"/>
    </w:lvl>
    <w:lvl w:ilvl="1">
      <w:lvlJc w:val="left"/>
      <w:lvlText w:val="(%2)"/>
      <w:numFmt w:val="lowerRoman"/>
      <w:start w:val="2"/>
    </w:lvl>
  </w:abstractNum>
  <w:abstractNum w:abstractNumId="30">
    <w:nsid w:val="25A70BF7"/>
    <w:multiLevelType w:val="hybridMultilevel"/>
    <w:lvl w:ilvl="0">
      <w:lvlJc w:val="left"/>
      <w:lvlText w:val="(%1)"/>
      <w:numFmt w:val="lowerLetter"/>
      <w:start w:val="2"/>
    </w:lvl>
    <w:lvl w:ilvl="1">
      <w:lvlJc w:val="left"/>
      <w:lvlText w:val="(%2)"/>
      <w:numFmt w:val="lowerRoman"/>
      <w:start w:val="1"/>
    </w:lvl>
  </w:abstractNum>
  <w:abstractNum w:abstractNumId="31">
    <w:nsid w:val="1DBABF00"/>
    <w:multiLevelType w:val="hybridMultilevel"/>
    <w:lvl w:ilvl="0">
      <w:lvlJc w:val="left"/>
      <w:lvlText w:val="(%1)"/>
      <w:numFmt w:val="lowerRoman"/>
      <w:start w:val="2"/>
    </w:lvl>
  </w:abstractNum>
  <w:abstractNum w:abstractNumId="32">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33">
    <w:nsid w:val="1F48EAA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
    <w:nsid w:val="1381823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
    <w:nsid w:val="5DB70AE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6">
    <w:nsid w:val="100F8FCA"/>
    <w:multiLevelType w:val="hybridMultilevel"/>
    <w:lvl w:ilvl="0">
      <w:lvlJc w:val="left"/>
      <w:lvlText w:val="(%1)"/>
      <w:numFmt w:val="decimal"/>
      <w:start w:val="15"/>
    </w:lvl>
    <w:lvl w:ilvl="1">
      <w:lvlJc w:val="left"/>
      <w:lvlText w:val="%2."/>
      <w:numFmt w:val="decimal"/>
      <w:start w:val="11"/>
    </w:lvl>
    <w:lvl w:ilvl="2">
      <w:lvlJc w:val="left"/>
      <w:lvlText w:val="(%3)"/>
      <w:numFmt w:val="lowerLetter"/>
      <w:start w:val="1"/>
    </w:lvl>
  </w:abstractNum>
  <w:abstractNum w:abstractNumId="37">
    <w:nsid w:val="6590700B"/>
    <w:multiLevelType w:val="hybridMultilevel"/>
    <w:lvl w:ilvl="0">
      <w:lvlJc w:val="left"/>
      <w:lvlText w:val="%1"/>
      <w:numFmt w:val="decimal"/>
      <w:start w:val="1"/>
    </w:lvl>
    <w:lvl w:ilvl="1">
      <w:lvlJc w:val="left"/>
      <w:lvlText w:val="(%2)"/>
      <w:numFmt w:val="lowerLetter"/>
      <w:start w:val="2"/>
    </w:lvl>
  </w:abstractNum>
  <w:abstractNum w:abstractNumId="38">
    <w:nsid w:val="15014ACB"/>
    <w:multiLevelType w:val="hybridMultilevel"/>
    <w:lvl w:ilvl="0">
      <w:lvlJc w:val="left"/>
      <w:lvlText w:val="%1."/>
      <w:numFmt w:val="decimal"/>
      <w:start w:val="13"/>
    </w:lvl>
    <w:lvl w:ilvl="1">
      <w:lvlJc w:val="left"/>
      <w:lvlText w:val="(%2)"/>
      <w:numFmt w:val="lowerLetter"/>
      <w:start w:val="1"/>
    </w:lvl>
  </w:abstractNum>
  <w:abstractNum w:abstractNumId="39">
    <w:nsid w:val="5F5E7F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0">
    <w:nsid w:val="98A3148"/>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41">
    <w:nsid w:val="799D024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2">
    <w:nsid w:val="6B94764"/>
    <w:multiLevelType w:val="hybridMultilevel"/>
    <w:lvl w:ilvl="0">
      <w:lvlJc w:val="left"/>
      <w:lvlText w:val="(%1)"/>
      <w:numFmt w:val="lowerLetter"/>
      <w:start w:val="2"/>
    </w:lvl>
  </w:abstractNum>
  <w:abstractNum w:abstractNumId="43">
    <w:nsid w:val="42C296BD"/>
    <w:multiLevelType w:val="hybridMultilevel"/>
    <w:lvl w:ilvl="0">
      <w:lvlJc w:val="left"/>
      <w:lvlText w:val="%1."/>
      <w:numFmt w:val="decimal"/>
      <w:start w:val="18"/>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1."/>
      <w:numFmt w:val="decimal"/>
      <w:start w:val="2"/>
    </w:lvl>
    <w:lvl w:ilvl="1">
      <w:lvlJc w:val="left"/>
      <w:lvlText w:val="(%2)"/>
      <w:numFmt w:val="lowerLetter"/>
      <w:start w:val="1"/>
    </w:lvl>
  </w:abstractNum>
  <w:abstractNum w:abstractNumId="47">
    <w:nsid w:val="5DC79EA8"/>
    <w:multiLevelType w:val="hybridMultilevel"/>
    <w:lvl w:ilvl="0">
      <w:lvlJc w:val="left"/>
      <w:lvlText w:val="(%1)"/>
      <w:numFmt w:val="lowerLetter"/>
      <w:start w:val="10"/>
    </w:lvl>
    <w:lvl w:ilvl="1">
      <w:lvlJc w:val="left"/>
      <w:lvlText w:val="(%2)"/>
      <w:numFmt w:val="lowerRoman"/>
      <w:start w:val="1"/>
    </w:lvl>
  </w:abstractNum>
  <w:abstractNum w:abstractNumId="48">
    <w:nsid w:val="540A471C"/>
    <w:multiLevelType w:val="hybridMultilevel"/>
    <w:lvl w:ilvl="0">
      <w:lvlJc w:val="left"/>
      <w:lvlText w:val="(%1)"/>
      <w:numFmt w:val="lowerLetter"/>
      <w:start w:val="17"/>
    </w:lvl>
  </w:abstractNum>
  <w:abstractNum w:abstractNumId="49">
    <w:nsid w:val="7BD3EE7B"/>
    <w:multiLevelType w:val="hybridMultilevel"/>
    <w:lvl w:ilvl="0">
      <w:lvlJc w:val="left"/>
      <w:lvlText w:val="(%1)"/>
      <w:numFmt w:val="lowerLetter"/>
      <w:start w:val="27"/>
    </w:lvl>
  </w:abstractNum>
  <w:abstractNum w:abstractNumId="50">
    <w:nsid w:val="51D9C564"/>
    <w:multiLevelType w:val="hybridMultilevel"/>
    <w:lvl w:ilvl="0">
      <w:lvlJc w:val="left"/>
      <w:lvlText w:val="%1."/>
      <w:numFmt w:val="decimal"/>
      <w:start w:val="3"/>
    </w:lvl>
  </w:abstractNum>
  <w:abstractNum w:abstractNumId="51">
    <w:nsid w:val="613EFDC5"/>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2">
    <w:nsid w:val="BF72B1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53">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lowerRoman"/>
      <w:start w:val="1"/>
    </w:lvl>
  </w:abstractNum>
  <w:abstractNum w:abstractNumId="54">
    <w:nsid w:val="42963E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55">
    <w:nsid w:val="A0382C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6">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lowerRoman"/>
      <w:start w:val="3"/>
    </w:lvl>
  </w:abstractNum>
  <w:abstractNum w:abstractNumId="57">
    <w:nsid w:val="1A32234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lowerRoman"/>
      <w:start w:val="1"/>
    </w:lvl>
  </w:abstractNum>
  <w:abstractNum w:abstractNumId="58">
    <w:nsid w:val="3B0FD3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68EB2F6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0">
    <w:nsid w:val="4962813B"/>
    <w:multiLevelType w:val="hybridMultilevel"/>
    <w:lvl w:ilvl="0">
      <w:lvlJc w:val="left"/>
      <w:lvlText w:val="(%1)"/>
      <w:numFmt w:val="lowerLetter"/>
      <w:start w:val="2"/>
    </w:lvl>
    <w:lvl w:ilvl="1">
      <w:lvlJc w:val="left"/>
      <w:lvlText w:val="(%2)"/>
      <w:numFmt w:val="lowerRoman"/>
      <w:start w:val="1"/>
    </w:lvl>
  </w:abstractNum>
  <w:abstractNum w:abstractNumId="61">
    <w:nsid w:val="60B6DF70"/>
    <w:multiLevelType w:val="hybridMultilevel"/>
    <w:lvl w:ilvl="0">
      <w:lvlJc w:val="left"/>
      <w:lvlText w:val="%1."/>
      <w:numFmt w:val="decimal"/>
      <w:start w:val="11"/>
    </w:lvl>
    <w:lvl w:ilvl="1">
      <w:lvlJc w:val="left"/>
      <w:lvlText w:val="(%2)"/>
      <w:numFmt w:val="lowerLetter"/>
      <w:start w:val="1"/>
    </w:lvl>
  </w:abstractNum>
  <w:abstractNum w:abstractNumId="62">
    <w:nsid w:val="6A5EE64"/>
    <w:multiLevelType w:val="hybridMultilevel"/>
    <w:lvl w:ilvl="0">
      <w:lvlJc w:val="left"/>
      <w:lvlText w:val="%1."/>
      <w:numFmt w:val="decimal"/>
      <w:start w:val="13"/>
    </w:lvl>
    <w:lvl w:ilvl="1">
      <w:lvlJc w:val="left"/>
      <w:lvlText w:val="(%2)"/>
      <w:numFmt w:val="lowerLetter"/>
      <w:start w:val="1"/>
    </w:lvl>
  </w:abstractNum>
  <w:abstractNum w:abstractNumId="63">
    <w:nsid w:val="14330624"/>
    <w:multiLevelType w:val="hybridMultilevel"/>
    <w:lvl w:ilvl="0">
      <w:lvlJc w:val="left"/>
      <w:lvlText w:val="%1."/>
      <w:numFmt w:val="decimal"/>
      <w:start w:val="18"/>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1."/>
      <w:numFmt w:val="decimal"/>
      <w:start w:val="2"/>
    </w:lvl>
    <w:lvl w:ilvl="1">
      <w:lvlJc w:val="left"/>
      <w:lvlText w:val="(%2)"/>
      <w:numFmt w:val="lowerLetter"/>
      <w:start w:val="1"/>
    </w:lvl>
  </w:abstractNum>
  <w:abstractNum w:abstractNumId="67">
    <w:nsid w:val="100F59DC"/>
    <w:multiLevelType w:val="hybridMultilevel"/>
    <w:lvl w:ilvl="0">
      <w:lvlJc w:val="left"/>
      <w:lvlText w:val="(%1)"/>
      <w:numFmt w:val="lowerLetter"/>
      <w:start w:val="9"/>
    </w:lvl>
    <w:lvl w:ilvl="1">
      <w:lvlJc w:val="left"/>
      <w:lvlText w:val="(%2)"/>
      <w:numFmt w:val="lowerRoman"/>
      <w:start w:val="1"/>
    </w:lvl>
  </w:abstractNum>
  <w:abstractNum w:abstractNumId="68">
    <w:nsid w:val="7FB7E0AA"/>
    <w:multiLevelType w:val="hybridMultilevel"/>
    <w:lvl w:ilvl="0">
      <w:lvlJc w:val="left"/>
      <w:lvlText w:val="%1"/>
      <w:numFmt w:val="lowerLetter"/>
      <w:start w:val="1"/>
    </w:lvl>
    <w:lvl w:ilvl="1">
      <w:lvlJc w:val="left"/>
      <w:lvlText w:val="(%2)"/>
      <w:numFmt w:val="lowerLetter"/>
      <w:start w:val="61"/>
    </w:lvl>
  </w:abstractNum>
  <w:abstractNum w:abstractNumId="69">
    <w:nsid w:val="6EB5BD4"/>
    <w:multiLevelType w:val="hybridMultilevel"/>
    <w:lvl w:ilvl="0">
      <w:lvlJc w:val="left"/>
      <w:lvlText w:val="(%1)"/>
      <w:numFmt w:val="lowerLetter"/>
      <w:start w:val="15"/>
    </w:lvl>
    <w:lvl w:ilvl="1">
      <w:lvlJc w:val="left"/>
      <w:lvlText w:val="%2"/>
      <w:numFmt w:val="lowerLetter"/>
      <w:start w:val="1"/>
    </w:lvl>
  </w:abstractNum>
  <w:abstractNum w:abstractNumId="70">
    <w:nsid w:val="6F6DD9AC"/>
    <w:multiLevelType w:val="hybridMultilevel"/>
    <w:lvl w:ilvl="0">
      <w:lvlJc w:val="left"/>
      <w:lvlText w:val="%1"/>
      <w:numFmt w:val="decimal"/>
      <w:start w:val="1"/>
    </w:lvl>
    <w:lvl w:ilvl="1">
      <w:lvlJc w:val="left"/>
      <w:lvlText w:val="(%2)"/>
      <w:numFmt w:val="lowerLetter"/>
      <w:start w:val="27"/>
    </w:lvl>
  </w:abstractNum>
  <w:abstractNum w:abstractNumId="71">
    <w:nsid w:val="94211F2"/>
    <w:multiLevelType w:val="hybridMultilevel"/>
    <w:lvl w:ilvl="0">
      <w:lvlJc w:val="left"/>
      <w:lvlText w:val="%1."/>
      <w:numFmt w:val="decimal"/>
      <w:start w:val="3"/>
    </w:lvl>
    <w:lvl w:ilvl="1">
      <w:lvlJc w:val="left"/>
      <w:lvlText w:val="%2"/>
      <w:numFmt w:val="lowerLetter"/>
      <w:start w:val="1"/>
    </w:lvl>
  </w:abstractNum>
  <w:abstractNum w:abstractNumId="72">
    <w:nsid w:val="885E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
    <w:nsid w:val="76272110"/>
    <w:multiLevelType w:val="hybridMultilevel"/>
    <w:lvl w:ilvl="0">
      <w:lvlJc w:val="left"/>
      <w:lvlText w:val="(%1)"/>
      <w:numFmt w:val="lowerRoman"/>
      <w:start w:val="1"/>
    </w:lvl>
  </w:abstractNum>
  <w:abstractNum w:abstractNumId="74">
    <w:nsid w:val="4C04A8AF"/>
    <w:multiLevelType w:val="hybridMultilevel"/>
    <w:lvl w:ilvl="0">
      <w:lvlJc w:val="left"/>
      <w:lvlText w:val="(%1)"/>
      <w:numFmt w:val="lowerLetter"/>
      <w:start w:val="3"/>
    </w:lvl>
  </w:abstractNum>
  <w:abstractNum w:abstractNumId="75">
    <w:nsid w:val="1716703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76">
    <w:nsid w:val="14E17E33"/>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7">
    <w:nsid w:val="3222E7C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8">
    <w:nsid w:val="74DE0EE3"/>
    <w:multiLevelType w:val="hybridMultilevel"/>
    <w:lvl w:ilvl="0">
      <w:lvlJc w:val="left"/>
      <w:lvlText w:val="%1"/>
      <w:numFmt w:val="decimal"/>
      <w:start w:val="1"/>
    </w:lvl>
    <w:lvl w:ilvl="1">
      <w:lvlJc w:val="left"/>
      <w:lvlText w:val="(%2)"/>
      <w:numFmt w:val="lowerRoman"/>
      <w:start w:val="2"/>
    </w:lvl>
  </w:abstractNum>
  <w:abstractNum w:abstractNumId="79">
    <w:nsid w:val="68EBC550"/>
    <w:multiLevelType w:val="hybridMultilevel"/>
    <w:lvl w:ilvl="0">
      <w:lvlJc w:val="left"/>
      <w:lvlText w:val="%1."/>
      <w:numFmt w:val="decimal"/>
      <w:start w:val="10"/>
    </w:lvl>
    <w:lvl w:ilvl="1">
      <w:lvlJc w:val="left"/>
      <w:lvlText w:val="%2"/>
      <w:numFmt w:val="lowerRoman"/>
      <w:start w:val="1"/>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lowerLetter"/>
      <w:start w:val="2"/>
    </w:lvl>
    <w:lvl w:ilvl="1">
      <w:lvlJc w:val="left"/>
      <w:lvlText w:val="(%2)"/>
      <w:numFmt w:val="lowerRoman"/>
      <w:start w:val="1"/>
    </w:lvl>
  </w:abstractNum>
  <w:abstractNum w:abstractNumId="82">
    <w:nsid w:val="4A2AC315"/>
    <w:multiLevelType w:val="hybridMultilevel"/>
    <w:lvl w:ilvl="0">
      <w:lvlJc w:val="left"/>
      <w:lvlText w:val="%1."/>
      <w:numFmt w:val="decimal"/>
      <w:start w:val="11"/>
    </w:lvl>
    <w:lvl w:ilvl="1">
      <w:lvlJc w:val="left"/>
      <w:lvlText w:val="(%2)"/>
      <w:numFmt w:val="lowerLetter"/>
      <w:start w:val="1"/>
    </w:lvl>
  </w:abstractNum>
  <w:abstractNum w:abstractNumId="83">
    <w:nsid w:val="39EE015C"/>
    <w:multiLevelType w:val="hybridMultilevel"/>
    <w:lvl w:ilvl="0">
      <w:lvlJc w:val="left"/>
      <w:lvlText w:val="%1."/>
      <w:numFmt w:val="decimal"/>
      <w:start w:val="13"/>
    </w:lvl>
    <w:lvl w:ilvl="1">
      <w:lvlJc w:val="left"/>
      <w:lvlText w:val="(%2)"/>
      <w:numFmt w:val="lowerLetter"/>
      <w:start w:val="1"/>
    </w:lvl>
  </w:abstractNum>
  <w:abstractNum w:abstractNumId="84">
    <w:nsid w:val="57FC4FBB"/>
    <w:multiLevelType w:val="hybridMultilevel"/>
    <w:lvl w:ilvl="0">
      <w:lvlJc w:val="left"/>
      <w:lvlText w:val="%1"/>
      <w:numFmt w:val="decimal"/>
      <w:start w:val="1"/>
    </w:lvl>
    <w:lvl w:ilvl="1">
      <w:lvlJc w:val="left"/>
      <w:lvlText w:val="(%2)"/>
      <w:numFmt w:val="lowerLetter"/>
      <w:start w:val="2"/>
    </w:lvl>
  </w:abstractNum>
  <w:abstractNum w:abstractNumId="85">
    <w:nsid w:val="CC1016F"/>
    <w:multiLevelType w:val="hybridMultilevel"/>
    <w:lvl w:ilvl="0">
      <w:lvlJc w:val="left"/>
      <w:lvlText w:val="%1."/>
      <w:numFmt w:val="decimal"/>
      <w:start w:val="16"/>
    </w:lvl>
    <w:lvl w:ilvl="1">
      <w:lvlJc w:val="left"/>
      <w:lvlText w:val="(%2)"/>
      <w:numFmt w:val="lowerLetter"/>
      <w:start w:val="1"/>
    </w:lvl>
  </w:abstractNum>
  <w:abstractNum w:abstractNumId="86">
    <w:nsid w:val="43F18422"/>
    <w:multiLevelType w:val="hybridMultilevel"/>
    <w:lvl w:ilvl="0">
      <w:lvlJc w:val="left"/>
      <w:lvlText w:val="%1."/>
      <w:numFmt w:val="upperLetter"/>
      <w:start w:val="9"/>
    </w:lvl>
  </w:abstractNum>
  <w:abstractNum w:abstractNumId="87">
    <w:nsid w:val="60EF0119"/>
    <w:multiLevelType w:val="hybridMultilevel"/>
    <w:lvl w:ilvl="0">
      <w:lvlJc w:val="left"/>
      <w:lvlText w:val="(%1)"/>
      <w:numFmt w:val="lowerRoman"/>
      <w:start w:val="1"/>
    </w:lvl>
  </w:abstractNum>
  <w:abstractNum w:abstractNumId="88">
    <w:nsid w:val="26F324BA"/>
    <w:multiLevelType w:val="hybridMultilevel"/>
    <w:lvl w:ilvl="0">
      <w:lvlJc w:val="left"/>
      <w:lvlText w:val="(%1)"/>
      <w:numFmt w:val="lowerRoman"/>
      <w:start w:val="2"/>
    </w:lvl>
  </w:abstractNum>
  <w:abstractNum w:abstractNumId="89">
    <w:nsid w:val="7F01579B"/>
    <w:multiLevelType w:val="hybridMultilevel"/>
    <w:lvl w:ilvl="0">
      <w:lvlJc w:val="left"/>
      <w:lvlText w:val="%1."/>
      <w:numFmt w:val="upperLetter"/>
      <w:start w:val="35"/>
    </w:lvl>
    <w:lvl w:ilvl="1">
      <w:lvlJc w:val="left"/>
      <w:lvlText w:val="%2."/>
      <w:numFmt w:val="decimal"/>
      <w:start w:val="1"/>
    </w:lvl>
  </w:abstractNum>
  <w:abstractNum w:abstractNumId="90">
    <w:nsid w:val="49DA307D"/>
    <w:multiLevelType w:val="hybridMultilevel"/>
    <w:lvl w:ilvl="0">
      <w:lvlJc w:val="left"/>
      <w:lvlText w:val="%1."/>
      <w:numFmt w:val="decimal"/>
      <w:start w:val="2"/>
    </w:lvl>
    <w:lvl w:ilvl="1">
      <w:lvlJc w:val="left"/>
      <w:lvlText w:val="(%2)"/>
      <w:numFmt w:val="lowerLetter"/>
      <w:start w:val="1"/>
    </w:lvl>
  </w:abstractNum>
  <w:abstractNum w:abstractNumId="91">
    <w:nsid w:val="7055A5F5"/>
    <w:multiLevelType w:val="hybridMultilevel"/>
    <w:lvl w:ilvl="0">
      <w:lvlJc w:val="left"/>
      <w:lvlText w:val="%1."/>
      <w:numFmt w:val="decimal"/>
      <w:start w:val="3"/>
    </w:lvl>
    <w:lvl w:ilvl="1">
      <w:lvlJc w:val="left"/>
      <w:lvlText w:val="(%2)"/>
      <w:numFmt w:val="lowerLetter"/>
      <w:start w:val="1"/>
    </w:lvl>
  </w:abstractNum>
  <w:abstractNum w:abstractNumId="92">
    <w:nsid w:val="5FB8370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3">
    <w:nsid w:val="50801EE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4">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5FB8011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6">
    <w:nsid w:val="6AA78F7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6"/>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2019-12-12T07:00:41Z</dcterms:created>
  <dcterms:modified xsi:type="dcterms:W3CDTF">2019-12-12T07:00:41Z</dcterms:modified>
</cp:coreProperties>
</file>