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346"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FORM 10-Q/A</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QUARTERLY REPORT PURSUANT TO SECTION 13 OR 15(D) OF</w:t>
      </w:r>
    </w:p>
    <w:p>
      <w:pPr>
        <w:spacing w:after="0" w:line="4" w:lineRule="exact"/>
        <w:rPr>
          <w:sz w:val="24"/>
          <w:szCs w:val="24"/>
          <w:color w:val="auto"/>
        </w:rPr>
      </w:pPr>
    </w:p>
    <w:p>
      <w:pPr>
        <w:jc w:val="both"/>
        <w:ind w:left="1880" w:right="5119" w:hanging="1441"/>
        <w:spacing w:after="0" w:line="274" w:lineRule="auto"/>
        <w:tabs>
          <w:tab w:leader="none" w:pos="18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EXCHANGE ACT OF 1934. FOR THE QUARTER ENDED MARCH 31, 1996</w:t>
      </w:r>
    </w:p>
    <w:p>
      <w:pPr>
        <w:spacing w:after="0" w:line="152"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1160" w:right="4419" w:hanging="721"/>
        <w:spacing w:after="0"/>
        <w:tabs>
          <w:tab w:leader="none" w:pos="-9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ectPr>
          <w:pgSz w:w="11900" w:h="16838" w:orient="portrait"/>
          <w:cols w:equalWidth="0" w:num="1">
            <w:col w:w="10219"/>
          </w:cols>
          <w:pgMar w:left="240" w:top="231" w:right="1440" w:bottom="1440" w:gutter="0" w:footer="0" w:header="0"/>
        </w:sectPr>
      </w:pPr>
    </w:p>
    <w:p>
      <w:pPr>
        <w:spacing w:after="0" w:line="2" w:lineRule="exact"/>
        <w:rPr>
          <w:sz w:val="24"/>
          <w:szCs w:val="24"/>
          <w:color w:val="auto"/>
        </w:rPr>
      </w:pPr>
    </w:p>
    <w:p>
      <w:pPr>
        <w:ind w:left="1880"/>
        <w:spacing w:after="0"/>
        <w:tabs>
          <w:tab w:leader="none" w:pos="542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ectPr>
          <w:pgSz w:w="11900" w:h="16838" w:orient="portrait"/>
          <w:cols w:equalWidth="0" w:num="1">
            <w:col w:w="10219"/>
          </w:cols>
          <w:pgMar w:left="240" w:top="231" w:right="1440" w:bottom="1440" w:gutter="0" w:footer="0" w:header="0"/>
          <w:type w:val="continuous"/>
        </w:sectPr>
      </w:pPr>
    </w:p>
    <w:p>
      <w:pPr>
        <w:spacing w:after="0" w:line="176" w:lineRule="exact"/>
        <w:rPr>
          <w:sz w:val="24"/>
          <w:szCs w:val="24"/>
          <w:color w:val="auto"/>
        </w:rPr>
      </w:pPr>
    </w:p>
    <w:p>
      <w:pPr>
        <w:ind w:left="1960"/>
        <w:spacing w:after="0"/>
        <w:rPr>
          <w:sz w:val="20"/>
          <w:szCs w:val="20"/>
          <w:color w:val="auto"/>
        </w:rPr>
      </w:pPr>
      <w:r>
        <w:rPr>
          <w:rFonts w:ascii="Courier New" w:cs="Courier New" w:eastAsia="Courier New" w:hAnsi="Courier New"/>
          <w:sz w:val="14"/>
          <w:szCs w:val="14"/>
          <w:color w:val="auto"/>
        </w:rPr>
        <w:t>COMMISSION FILE NUMBER 0-015144</w:t>
      </w:r>
    </w:p>
    <w:p>
      <w:pPr>
        <w:sectPr>
          <w:pgSz w:w="11900" w:h="16838" w:orient="portrait"/>
          <w:cols w:equalWidth="0" w:num="1">
            <w:col w:w="10219"/>
          </w:cols>
          <w:pgMar w:left="240" w:top="231" w:right="1440" w:bottom="1440" w:gutter="0" w:footer="0" w:header="0"/>
          <w:type w:val="continuous"/>
        </w:sectPr>
      </w:pPr>
    </w:p>
    <w:p>
      <w:pPr>
        <w:spacing w:after="0" w:line="18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GARTNER GROUP, INC.</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4300" w:type="dxa"/>
            <w:vAlign w:val="bottom"/>
          </w:tcPr>
          <w:p>
            <w:pPr>
              <w:jc w:val="center"/>
              <w:ind w:right="645"/>
              <w:spacing w:after="0"/>
              <w:rPr>
                <w:sz w:val="20"/>
                <w:szCs w:val="20"/>
                <w:color w:val="auto"/>
              </w:rPr>
            </w:pPr>
            <w:r>
              <w:rPr>
                <w:rFonts w:ascii="Courier New" w:cs="Courier New" w:eastAsia="Courier New" w:hAnsi="Courier New"/>
                <w:sz w:val="15"/>
                <w:szCs w:val="15"/>
                <w:color w:val="auto"/>
                <w:w w:val="97"/>
              </w:rPr>
              <w:t>Delaware</w:t>
            </w:r>
          </w:p>
        </w:tc>
        <w:tc>
          <w:tcPr>
            <w:tcW w:w="268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04-3099750</w:t>
            </w:r>
          </w:p>
        </w:tc>
      </w:tr>
      <w:tr>
        <w:trPr>
          <w:trHeight w:val="172"/>
        </w:trPr>
        <w:tc>
          <w:tcPr>
            <w:tcW w:w="4300" w:type="dxa"/>
            <w:vAlign w:val="bottom"/>
          </w:tcPr>
          <w:p>
            <w:pPr>
              <w:jc w:val="center"/>
              <w:ind w:right="565"/>
              <w:spacing w:after="0"/>
              <w:rPr>
                <w:sz w:val="20"/>
                <w:szCs w:val="20"/>
                <w:color w:val="auto"/>
              </w:rPr>
            </w:pPr>
            <w:r>
              <w:rPr>
                <w:rFonts w:ascii="Courier New" w:cs="Courier New" w:eastAsia="Courier New" w:hAnsi="Courier New"/>
                <w:sz w:val="15"/>
                <w:szCs w:val="15"/>
                <w:color w:val="auto"/>
                <w:w w:val="99"/>
              </w:rPr>
              <w:t>(State or other jurisdiction of</w:t>
            </w:r>
          </w:p>
        </w:tc>
        <w:tc>
          <w:tcPr>
            <w:tcW w:w="2680" w:type="dxa"/>
            <w:vAlign w:val="bottom"/>
          </w:tcPr>
          <w:p>
            <w:pPr>
              <w:ind w:left="980"/>
              <w:spacing w:after="0"/>
              <w:rPr>
                <w:sz w:val="20"/>
                <w:szCs w:val="20"/>
                <w:color w:val="auto"/>
              </w:rPr>
            </w:pPr>
            <w:r>
              <w:rPr>
                <w:rFonts w:ascii="Courier New" w:cs="Courier New" w:eastAsia="Courier New" w:hAnsi="Courier New"/>
                <w:sz w:val="15"/>
                <w:szCs w:val="15"/>
                <w:color w:val="auto"/>
              </w:rPr>
              <w:t>(I.R.S.  Employer</w:t>
            </w:r>
          </w:p>
        </w:tc>
      </w:tr>
      <w:tr>
        <w:trPr>
          <w:trHeight w:val="172"/>
        </w:trPr>
        <w:tc>
          <w:tcPr>
            <w:tcW w:w="4300" w:type="dxa"/>
            <w:vAlign w:val="bottom"/>
          </w:tcPr>
          <w:p>
            <w:pPr>
              <w:jc w:val="center"/>
              <w:ind w:right="645"/>
              <w:spacing w:after="0"/>
              <w:rPr>
                <w:sz w:val="20"/>
                <w:szCs w:val="20"/>
                <w:color w:val="auto"/>
              </w:rPr>
            </w:pPr>
            <w:r>
              <w:rPr>
                <w:rFonts w:ascii="Courier New" w:cs="Courier New" w:eastAsia="Courier New" w:hAnsi="Courier New"/>
                <w:sz w:val="15"/>
                <w:szCs w:val="15"/>
                <w:color w:val="auto"/>
                <w:w w:val="99"/>
              </w:rPr>
              <w:t>incorporation or organization)</w:t>
            </w:r>
          </w:p>
        </w:tc>
        <w:tc>
          <w:tcPr>
            <w:tcW w:w="268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8"/>
              </w:rPr>
              <w:t>Identification Number)</w:t>
            </w:r>
          </w:p>
        </w:tc>
      </w:tr>
      <w:tr>
        <w:trPr>
          <w:trHeight w:val="344"/>
        </w:trPr>
        <w:tc>
          <w:tcPr>
            <w:tcW w:w="4300" w:type="dxa"/>
            <w:vAlign w:val="bottom"/>
          </w:tcPr>
          <w:p>
            <w:pPr>
              <w:jc w:val="center"/>
              <w:ind w:right="645"/>
              <w:spacing w:after="0"/>
              <w:rPr>
                <w:sz w:val="20"/>
                <w:szCs w:val="20"/>
                <w:color w:val="auto"/>
              </w:rPr>
            </w:pPr>
            <w:r>
              <w:rPr>
                <w:rFonts w:ascii="Courier New" w:cs="Courier New" w:eastAsia="Courier New" w:hAnsi="Courier New"/>
                <w:sz w:val="15"/>
                <w:szCs w:val="15"/>
                <w:color w:val="auto"/>
                <w:w w:val="99"/>
              </w:rPr>
              <w:t>P.O. Box 10212</w:t>
            </w:r>
          </w:p>
        </w:tc>
        <w:tc>
          <w:tcPr>
            <w:tcW w:w="268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06904-2212</w:t>
            </w:r>
          </w:p>
        </w:tc>
      </w:tr>
      <w:tr>
        <w:trPr>
          <w:trHeight w:val="172"/>
        </w:trPr>
        <w:tc>
          <w:tcPr>
            <w:tcW w:w="4300" w:type="dxa"/>
            <w:vAlign w:val="bottom"/>
          </w:tcPr>
          <w:p>
            <w:pPr>
              <w:jc w:val="center"/>
              <w:ind w:right="565"/>
              <w:spacing w:after="0"/>
              <w:rPr>
                <w:sz w:val="20"/>
                <w:szCs w:val="20"/>
                <w:color w:val="auto"/>
              </w:rPr>
            </w:pPr>
            <w:r>
              <w:rPr>
                <w:rFonts w:ascii="Courier New" w:cs="Courier New" w:eastAsia="Courier New" w:hAnsi="Courier New"/>
                <w:sz w:val="15"/>
                <w:szCs w:val="15"/>
                <w:color w:val="auto"/>
                <w:w w:val="99"/>
              </w:rPr>
              <w:t>56 Top Gallant Road</w:t>
            </w:r>
          </w:p>
        </w:tc>
        <w:tc>
          <w:tcPr>
            <w:tcW w:w="268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(Zip Code)</w:t>
            </w:r>
          </w:p>
        </w:tc>
      </w:tr>
      <w:tr>
        <w:trPr>
          <w:trHeight w:val="344"/>
        </w:trPr>
        <w:tc>
          <w:tcPr>
            <w:tcW w:w="4300" w:type="dxa"/>
            <w:vAlign w:val="bottom"/>
          </w:tcPr>
          <w:p>
            <w:pPr>
              <w:jc w:val="center"/>
              <w:ind w:right="645"/>
              <w:spacing w:after="0"/>
              <w:rPr>
                <w:sz w:val="20"/>
                <w:szCs w:val="20"/>
                <w:color w:val="auto"/>
              </w:rPr>
            </w:pPr>
            <w:r>
              <w:rPr>
                <w:rFonts w:ascii="Courier New" w:cs="Courier New" w:eastAsia="Courier New" w:hAnsi="Courier New"/>
                <w:sz w:val="15"/>
                <w:szCs w:val="15"/>
                <w:color w:val="auto"/>
                <w:w w:val="98"/>
              </w:rPr>
              <w:t>Stamford, CT</w:t>
            </w:r>
          </w:p>
        </w:tc>
        <w:tc>
          <w:tcPr>
            <w:tcW w:w="2680" w:type="dxa"/>
            <w:vAlign w:val="bottom"/>
          </w:tcPr>
          <w:p>
            <w:pPr>
              <w:spacing w:after="0"/>
              <w:rPr>
                <w:sz w:val="24"/>
                <w:szCs w:val="24"/>
                <w:color w:val="auto"/>
              </w:rPr>
            </w:pPr>
          </w:p>
        </w:tc>
      </w:tr>
      <w:tr>
        <w:trPr>
          <w:trHeight w:val="172"/>
        </w:trPr>
        <w:tc>
          <w:tcPr>
            <w:tcW w:w="4300" w:type="dxa"/>
            <w:vAlign w:val="bottom"/>
          </w:tcPr>
          <w:p>
            <w:pPr>
              <w:jc w:val="center"/>
              <w:ind w:right="645"/>
              <w:spacing w:after="0"/>
              <w:rPr>
                <w:sz w:val="20"/>
                <w:szCs w:val="20"/>
                <w:color w:val="auto"/>
              </w:rPr>
            </w:pPr>
            <w:r>
              <w:rPr>
                <w:rFonts w:ascii="Courier New" w:cs="Courier New" w:eastAsia="Courier New" w:hAnsi="Courier New"/>
                <w:sz w:val="15"/>
                <w:szCs w:val="15"/>
                <w:color w:val="auto"/>
                <w:w w:val="99"/>
              </w:rPr>
              <w:t>(Address of principal executive offices)</w:t>
            </w:r>
          </w:p>
        </w:tc>
        <w:tc>
          <w:tcPr>
            <w:tcW w:w="2680" w:type="dxa"/>
            <w:vAlign w:val="bottom"/>
          </w:tcPr>
          <w:p>
            <w:pPr>
              <w:spacing w:after="0"/>
              <w:rPr>
                <w:sz w:val="14"/>
                <w:szCs w:val="14"/>
                <w:color w:val="auto"/>
              </w:rPr>
            </w:pPr>
          </w:p>
        </w:tc>
      </w:tr>
    </w:tbl>
    <w:p>
      <w:pPr>
        <w:spacing w:after="0" w:line="174"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Registrant's telephone number, including area code: (203) 964-0096</w:t>
      </w:r>
    </w:p>
    <w:p>
      <w:pPr>
        <w:spacing w:after="0" w:line="174"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6"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Indicate by check mark whether the Registrant (1) has filed all reports to</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be filed by Section 13 or 15(d) of the Securities Exchange Act of 1934 during</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preceding 12 months (or for such shorter period that the registrant was</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required to file such reports), and (2) has been subject to such filing</w:t>
      </w:r>
    </w:p>
    <w:p>
      <w:pPr>
        <w:spacing w:after="0" w:line="2" w:lineRule="exact"/>
        <w:rPr>
          <w:sz w:val="24"/>
          <w:szCs w:val="24"/>
          <w:color w:val="auto"/>
        </w:rPr>
      </w:pPr>
    </w:p>
    <w:p>
      <w:pPr>
        <w:spacing w:after="0"/>
        <w:tabs>
          <w:tab w:leader="none" w:pos="3200" w:val="left"/>
          <w:tab w:leader="none" w:pos="3640" w:val="left"/>
          <w:tab w:leader="none" w:pos="4180" w:val="left"/>
          <w:tab w:leader="none" w:pos="4720" w:val="left"/>
        </w:tabs>
        <w:rPr>
          <w:sz w:val="20"/>
          <w:szCs w:val="20"/>
          <w:color w:val="auto"/>
        </w:rPr>
      </w:pPr>
      <w:r>
        <w:rPr>
          <w:rFonts w:ascii="Courier New" w:cs="Courier New" w:eastAsia="Courier New" w:hAnsi="Courier New"/>
          <w:sz w:val="15"/>
          <w:szCs w:val="15"/>
          <w:color w:val="auto"/>
        </w:rPr>
        <w:t>requirements for the past 90 days.</w:t>
        <w:tab/>
        <w:t>YES</w:t>
        <w:tab/>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3"/>
          <w:szCs w:val="13"/>
          <w:color w:val="auto"/>
        </w:rPr>
        <w:t>.</w:t>
      </w:r>
    </w:p>
    <w:p>
      <w:pPr>
        <w:spacing w:after="0" w:line="2" w:lineRule="exact"/>
        <w:rPr>
          <w:sz w:val="24"/>
          <w:szCs w:val="24"/>
          <w:color w:val="auto"/>
        </w:rPr>
      </w:pPr>
    </w:p>
    <w:p>
      <w:pPr>
        <w:ind w:left="3560"/>
        <w:spacing w:after="0"/>
        <w:tabs>
          <w:tab w:leader="none" w:pos="4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4"/>
          <w:szCs w:val="24"/>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number of shares outstanding of the Registrant's capital stock as of March 31, 1996 was 90,569,386 shares of Common Stock, Class A and 1,600,000 shares of Common Stock, Class B.</w:t>
      </w:r>
    </w:p>
    <w:p>
      <w:pPr>
        <w:sectPr>
          <w:pgSz w:w="11900" w:h="16838" w:orient="portrait"/>
          <w:cols w:equalWidth="0" w:num="1">
            <w:col w:w="10219"/>
          </w:cols>
          <w:pgMar w:left="240"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4960" w:type="dxa"/>
            <w:vAlign w:val="bottom"/>
          </w:tcPr>
          <w:p>
            <w:pPr>
              <w:ind w:left="1660"/>
              <w:spacing w:after="0"/>
              <w:rPr>
                <w:sz w:val="20"/>
                <w:szCs w:val="20"/>
                <w:color w:val="auto"/>
              </w:rPr>
            </w:pPr>
            <w:r>
              <w:rPr>
                <w:rFonts w:ascii="Courier New" w:cs="Courier New" w:eastAsia="Courier New" w:hAnsi="Courier New"/>
                <w:sz w:val="15"/>
                <w:szCs w:val="15"/>
                <w:color w:val="auto"/>
              </w:rPr>
              <w:t>TABLE OF CONTENTS</w:t>
            </w:r>
          </w:p>
        </w:tc>
        <w:tc>
          <w:tcPr>
            <w:tcW w:w="620" w:type="dxa"/>
            <w:vAlign w:val="bottom"/>
          </w:tcPr>
          <w:p>
            <w:pPr>
              <w:spacing w:after="0"/>
              <w:rPr>
                <w:sz w:val="14"/>
                <w:szCs w:val="14"/>
                <w:color w:val="auto"/>
              </w:rPr>
            </w:pPr>
          </w:p>
        </w:tc>
      </w:tr>
      <w:tr>
        <w:trPr>
          <w:trHeight w:val="344"/>
        </w:trPr>
        <w:tc>
          <w:tcPr>
            <w:tcW w:w="12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12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FINANCIAL INFORMATION</w:t>
            </w:r>
          </w:p>
        </w:tc>
        <w:tc>
          <w:tcPr>
            <w:tcW w:w="620" w:type="dxa"/>
            <w:vAlign w:val="bottom"/>
          </w:tcPr>
          <w:p>
            <w:pPr>
              <w:spacing w:after="0"/>
              <w:rPr>
                <w:sz w:val="24"/>
                <w:szCs w:val="24"/>
                <w:color w:val="auto"/>
              </w:rPr>
            </w:pPr>
          </w:p>
        </w:tc>
      </w:tr>
      <w:tr>
        <w:trPr>
          <w:trHeight w:val="344"/>
        </w:trPr>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ITEM 1:</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FINANCIAL STATEMENTS</w:t>
            </w:r>
          </w:p>
        </w:tc>
        <w:tc>
          <w:tcPr>
            <w:tcW w:w="620" w:type="dxa"/>
            <w:vAlign w:val="bottom"/>
          </w:tcPr>
          <w:p>
            <w:pPr>
              <w:spacing w:after="0"/>
              <w:rPr>
                <w:sz w:val="24"/>
                <w:szCs w:val="24"/>
                <w:color w:val="auto"/>
              </w:rPr>
            </w:pPr>
          </w:p>
        </w:tc>
      </w:tr>
      <w:tr>
        <w:trPr>
          <w:trHeight w:val="344"/>
        </w:trPr>
        <w:tc>
          <w:tcPr>
            <w:tcW w:w="1200" w:type="dxa"/>
            <w:vAlign w:val="bottom"/>
          </w:tcPr>
          <w:p>
            <w:pPr>
              <w:spacing w:after="0"/>
              <w:rPr>
                <w:sz w:val="24"/>
                <w:szCs w:val="24"/>
                <w:color w:val="auto"/>
              </w:rPr>
            </w:pP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Consolidated Balance Sheets at March 31, 1996 and</w:t>
            </w:r>
          </w:p>
        </w:tc>
        <w:tc>
          <w:tcPr>
            <w:tcW w:w="62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4960" w:type="dxa"/>
            <w:vAlign w:val="bottom"/>
          </w:tcPr>
          <w:p>
            <w:pPr>
              <w:ind w:left="320"/>
              <w:spacing w:after="0"/>
              <w:rPr>
                <w:sz w:val="20"/>
                <w:szCs w:val="20"/>
                <w:color w:val="auto"/>
              </w:rPr>
            </w:pPr>
            <w:r>
              <w:rPr>
                <w:rFonts w:ascii="Courier New" w:cs="Courier New" w:eastAsia="Courier New" w:hAnsi="Courier New"/>
                <w:sz w:val="15"/>
                <w:szCs w:val="15"/>
                <w:color w:val="auto"/>
              </w:rPr>
              <w:t>September 30, 1995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344"/>
        </w:trPr>
        <w:tc>
          <w:tcPr>
            <w:tcW w:w="1200" w:type="dxa"/>
            <w:vAlign w:val="bottom"/>
          </w:tcPr>
          <w:p>
            <w:pPr>
              <w:spacing w:after="0"/>
              <w:rPr>
                <w:sz w:val="24"/>
                <w:szCs w:val="24"/>
                <w:color w:val="auto"/>
              </w:rPr>
            </w:pP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Consolidated Statements of Operations for the Three</w:t>
            </w:r>
          </w:p>
        </w:tc>
        <w:tc>
          <w:tcPr>
            <w:tcW w:w="62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4960" w:type="dxa"/>
            <w:vAlign w:val="bottom"/>
          </w:tcPr>
          <w:p>
            <w:pPr>
              <w:ind w:left="320"/>
              <w:spacing w:after="0"/>
              <w:rPr>
                <w:sz w:val="20"/>
                <w:szCs w:val="20"/>
                <w:color w:val="auto"/>
              </w:rPr>
            </w:pPr>
            <w:r>
              <w:rPr>
                <w:rFonts w:ascii="Courier New" w:cs="Courier New" w:eastAsia="Courier New" w:hAnsi="Courier New"/>
                <w:sz w:val="15"/>
                <w:szCs w:val="15"/>
                <w:color w:val="auto"/>
              </w:rPr>
              <w:t>Months ended March 31, 1996 and 1995,  and for</w:t>
            </w:r>
          </w:p>
        </w:tc>
        <w:tc>
          <w:tcPr>
            <w:tcW w:w="62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4960" w:type="dxa"/>
            <w:vAlign w:val="bottom"/>
          </w:tcPr>
          <w:p>
            <w:pPr>
              <w:ind w:left="320"/>
              <w:spacing w:after="0"/>
              <w:rPr>
                <w:sz w:val="20"/>
                <w:szCs w:val="20"/>
                <w:color w:val="auto"/>
              </w:rPr>
            </w:pPr>
            <w:r>
              <w:rPr>
                <w:rFonts w:ascii="Courier New" w:cs="Courier New" w:eastAsia="Courier New" w:hAnsi="Courier New"/>
                <w:sz w:val="15"/>
                <w:szCs w:val="15"/>
                <w:color w:val="auto"/>
              </w:rPr>
              <w:t>the Six Months ended March 31, 1996 and 1995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344"/>
        </w:trPr>
        <w:tc>
          <w:tcPr>
            <w:tcW w:w="1200" w:type="dxa"/>
            <w:vAlign w:val="bottom"/>
          </w:tcPr>
          <w:p>
            <w:pPr>
              <w:spacing w:after="0"/>
              <w:rPr>
                <w:sz w:val="24"/>
                <w:szCs w:val="24"/>
                <w:color w:val="auto"/>
              </w:rPr>
            </w:pP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Condensed Consolidated Statements of Cash Flow for</w:t>
            </w:r>
          </w:p>
        </w:tc>
        <w:tc>
          <w:tcPr>
            <w:tcW w:w="62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4960" w:type="dxa"/>
            <w:vAlign w:val="bottom"/>
          </w:tcPr>
          <w:p>
            <w:pPr>
              <w:ind w:left="320"/>
              <w:spacing w:after="0"/>
              <w:rPr>
                <w:sz w:val="20"/>
                <w:szCs w:val="20"/>
                <w:color w:val="auto"/>
              </w:rPr>
            </w:pPr>
            <w:r>
              <w:rPr>
                <w:rFonts w:ascii="Courier New" w:cs="Courier New" w:eastAsia="Courier New" w:hAnsi="Courier New"/>
                <w:sz w:val="15"/>
                <w:szCs w:val="15"/>
                <w:color w:val="auto"/>
              </w:rPr>
              <w:t>the Six Months ended March  31, 1996 and 1995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344"/>
        </w:trPr>
        <w:tc>
          <w:tcPr>
            <w:tcW w:w="1200" w:type="dxa"/>
            <w:vAlign w:val="bottom"/>
          </w:tcPr>
          <w:p>
            <w:pPr>
              <w:spacing w:after="0"/>
              <w:rPr>
                <w:sz w:val="24"/>
                <w:szCs w:val="24"/>
                <w:color w:val="auto"/>
              </w:rPr>
            </w:pP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344"/>
        </w:trPr>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ITEM 2:</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MANAGEMENT'S DISCUSSION AND ANALYSIS</w:t>
            </w:r>
          </w:p>
        </w:tc>
        <w:tc>
          <w:tcPr>
            <w:tcW w:w="62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4960" w:type="dxa"/>
            <w:vAlign w:val="bottom"/>
          </w:tcPr>
          <w:p>
            <w:pPr>
              <w:ind w:left="320"/>
              <w:spacing w:after="0"/>
              <w:rPr>
                <w:sz w:val="20"/>
                <w:szCs w:val="20"/>
                <w:color w:val="auto"/>
              </w:rPr>
            </w:pPr>
            <w:r>
              <w:rPr>
                <w:rFonts w:ascii="Courier New" w:cs="Courier New" w:eastAsia="Courier New" w:hAnsi="Courier New"/>
                <w:sz w:val="15"/>
                <w:szCs w:val="15"/>
                <w:color w:val="auto"/>
              </w:rPr>
              <w:t>OF FINANCIAL CONDITION AND RESULTS OF</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2"/>
        </w:trPr>
        <w:tc>
          <w:tcPr>
            <w:tcW w:w="1200" w:type="dxa"/>
            <w:vAlign w:val="bottom"/>
          </w:tcPr>
          <w:p>
            <w:pPr>
              <w:spacing w:after="0"/>
              <w:rPr>
                <w:sz w:val="14"/>
                <w:szCs w:val="14"/>
                <w:color w:val="auto"/>
              </w:rPr>
            </w:pPr>
          </w:p>
        </w:tc>
        <w:tc>
          <w:tcPr>
            <w:tcW w:w="4960" w:type="dxa"/>
            <w:vAlign w:val="bottom"/>
          </w:tcPr>
          <w:p>
            <w:pPr>
              <w:ind w:left="320"/>
              <w:spacing w:after="0"/>
              <w:rPr>
                <w:sz w:val="20"/>
                <w:szCs w:val="20"/>
                <w:color w:val="auto"/>
              </w:rPr>
            </w:pPr>
            <w:r>
              <w:rPr>
                <w:rFonts w:ascii="Courier New" w:cs="Courier New" w:eastAsia="Courier New" w:hAnsi="Courier New"/>
                <w:sz w:val="15"/>
                <w:szCs w:val="15"/>
                <w:color w:val="auto"/>
              </w:rPr>
              <w:t>OPERATIONS</w:t>
            </w:r>
          </w:p>
        </w:tc>
        <w:tc>
          <w:tcPr>
            <w:tcW w:w="62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OTHER INFORMATION</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344"/>
        </w:trPr>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EXHIBITS</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None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688"/>
        </w:trPr>
        <w:tc>
          <w:tcPr>
            <w:tcW w:w="1200" w:type="dxa"/>
            <w:vAlign w:val="bottom"/>
          </w:tcPr>
          <w:p>
            <w:pPr>
              <w:spacing w:after="0"/>
              <w:rPr>
                <w:sz w:val="24"/>
                <w:szCs w:val="24"/>
                <w:color w:val="auto"/>
              </w:rPr>
            </w:pPr>
          </w:p>
        </w:tc>
        <w:tc>
          <w:tcPr>
            <w:tcW w:w="4960" w:type="dxa"/>
            <w:vAlign w:val="bottom"/>
          </w:tcPr>
          <w:p>
            <w:pPr>
              <w:ind w:left="2200"/>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5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30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44"/>
        </w:trPr>
        <w:tc>
          <w:tcPr>
            <w:tcW w:w="660" w:type="dxa"/>
            <w:vAlign w:val="bottom"/>
          </w:tcPr>
          <w:p>
            <w:pPr>
              <w:spacing w:after="0"/>
              <w:rPr>
                <w:sz w:val="24"/>
                <w:szCs w:val="24"/>
                <w:color w:val="auto"/>
              </w:rPr>
            </w:pPr>
          </w:p>
        </w:tc>
        <w:tc>
          <w:tcPr>
            <w:tcW w:w="5060" w:type="dxa"/>
            <w:vAlign w:val="bottom"/>
          </w:tcPr>
          <w:p>
            <w:pPr>
              <w:jc w:val="center"/>
              <w:ind w:left="765"/>
              <w:spacing w:after="0"/>
              <w:rPr>
                <w:sz w:val="20"/>
                <w:szCs w:val="20"/>
                <w:color w:val="auto"/>
              </w:rPr>
            </w:pPr>
            <w:r>
              <w:rPr>
                <w:rFonts w:ascii="Courier New" w:cs="Courier New" w:eastAsia="Courier New" w:hAnsi="Courier New"/>
                <w:sz w:val="15"/>
                <w:szCs w:val="15"/>
                <w:color w:val="auto"/>
                <w:w w:val="99"/>
              </w:rPr>
              <w:t>GARTNER GROUP, INC.</w:t>
            </w:r>
          </w:p>
        </w:tc>
        <w:tc>
          <w:tcPr>
            <w:tcW w:w="3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5060" w:type="dxa"/>
            <w:vAlign w:val="bottom"/>
          </w:tcPr>
          <w:p>
            <w:pPr>
              <w:jc w:val="center"/>
              <w:ind w:left="765"/>
              <w:spacing w:after="0"/>
              <w:rPr>
                <w:sz w:val="20"/>
                <w:szCs w:val="20"/>
                <w:color w:val="auto"/>
              </w:rPr>
            </w:pPr>
            <w:r>
              <w:rPr>
                <w:rFonts w:ascii="Courier New" w:cs="Courier New" w:eastAsia="Courier New" w:hAnsi="Courier New"/>
                <w:sz w:val="15"/>
                <w:szCs w:val="15"/>
                <w:color w:val="auto"/>
                <w:w w:val="99"/>
              </w:rPr>
              <w:t>Consolidated Balance Sheets</w:t>
            </w:r>
          </w:p>
        </w:tc>
        <w:tc>
          <w:tcPr>
            <w:tcW w:w="3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5060" w:type="dxa"/>
            <w:vAlign w:val="bottom"/>
          </w:tcPr>
          <w:p>
            <w:pPr>
              <w:jc w:val="center"/>
              <w:ind w:left="765"/>
              <w:spacing w:after="0"/>
              <w:rPr>
                <w:sz w:val="20"/>
                <w:szCs w:val="20"/>
                <w:color w:val="auto"/>
              </w:rPr>
            </w:pPr>
            <w:r>
              <w:rPr>
                <w:rFonts w:ascii="Courier New" w:cs="Courier New" w:eastAsia="Courier New" w:hAnsi="Courier New"/>
                <w:sz w:val="15"/>
                <w:szCs w:val="15"/>
                <w:color w:val="auto"/>
                <w:w w:val="99"/>
              </w:rPr>
              <w:t>(In thousands, except per share data)</w:t>
            </w:r>
          </w:p>
        </w:tc>
        <w:tc>
          <w:tcPr>
            <w:tcW w:w="30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516"/>
        </w:trPr>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040" w:type="dxa"/>
            <w:vAlign w:val="bottom"/>
          </w:tcPr>
          <w:p>
            <w:pPr>
              <w:jc w:val="right"/>
              <w:ind w:right="1625"/>
              <w:spacing w:after="0"/>
              <w:rPr>
                <w:sz w:val="20"/>
                <w:szCs w:val="20"/>
                <w:color w:val="auto"/>
              </w:rPr>
            </w:pPr>
            <w:r>
              <w:rPr>
                <w:rFonts w:ascii="Courier New" w:cs="Courier New" w:eastAsia="Courier New" w:hAnsi="Courier New"/>
                <w:sz w:val="15"/>
                <w:szCs w:val="15"/>
                <w:color w:val="auto"/>
              </w:rPr>
              <w:t>(Restated)</w:t>
            </w:r>
          </w:p>
        </w:tc>
        <w:tc>
          <w:tcPr>
            <w:tcW w:w="1960" w:type="dxa"/>
            <w:vAlign w:val="bottom"/>
          </w:tcPr>
          <w:p>
            <w:pPr>
              <w:spacing w:after="0"/>
              <w:rPr>
                <w:sz w:val="24"/>
                <w:szCs w:val="24"/>
                <w:color w:val="auto"/>
              </w:rPr>
            </w:pP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March 31,</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1996</w:t>
            </w: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0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30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2"/>
        </w:trPr>
        <w:tc>
          <w:tcPr>
            <w:tcW w:w="5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$ 65,165</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$ 66,581</w:t>
            </w:r>
          </w:p>
        </w:tc>
      </w:tr>
      <w:tr>
        <w:trPr>
          <w:trHeight w:val="172"/>
        </w:trPr>
        <w:tc>
          <w:tcPr>
            <w:tcW w:w="5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Marketable securities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47,334</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28,833</w:t>
            </w:r>
          </w:p>
        </w:tc>
      </w:tr>
      <w:tr>
        <w:trPr>
          <w:trHeight w:val="172"/>
        </w:trPr>
        <w:tc>
          <w:tcPr>
            <w:tcW w:w="5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Fees receivable, net</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97,058</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112,159</w:t>
            </w:r>
          </w:p>
        </w:tc>
      </w:tr>
      <w:tr>
        <w:trPr>
          <w:trHeight w:val="172"/>
        </w:trPr>
        <w:tc>
          <w:tcPr>
            <w:tcW w:w="5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commissions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10,838</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16,493</w:t>
            </w:r>
          </w:p>
        </w:tc>
      </w:tr>
      <w:tr>
        <w:trPr>
          <w:trHeight w:val="172"/>
        </w:trPr>
        <w:tc>
          <w:tcPr>
            <w:tcW w:w="57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16,647</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12,162</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237,042</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236,228</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27,680</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23,973</w:t>
            </w:r>
          </w:p>
        </w:tc>
      </w:tr>
      <w:tr>
        <w:trPr>
          <w:trHeight w:val="172"/>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Goodwill, net</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66,763</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62,871</w:t>
            </w:r>
          </w:p>
        </w:tc>
      </w:tr>
      <w:tr>
        <w:trPr>
          <w:trHeight w:val="172"/>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8,273</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9,834</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Total assets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$339,758</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$332,906</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0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2"/>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0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2"/>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Current portion of long-term obligations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  2,275</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6,725</w:t>
            </w:r>
          </w:p>
        </w:tc>
      </w:tr>
      <w:tr>
        <w:trPr>
          <w:trHeight w:val="172"/>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payable and accrued liabilities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53,584</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59,173</w:t>
            </w:r>
          </w:p>
        </w:tc>
      </w:tr>
      <w:tr>
        <w:trPr>
          <w:trHeight w:val="172"/>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Commissions payable</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7,067</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13,008</w:t>
            </w:r>
          </w:p>
        </w:tc>
      </w:tr>
      <w:tr>
        <w:trPr>
          <w:trHeight w:val="172"/>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Accrued bonuses payable</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8,343</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15,277</w:t>
            </w:r>
          </w:p>
        </w:tc>
      </w:tr>
      <w:tr>
        <w:trPr>
          <w:trHeight w:val="172"/>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revenues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160,096</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161,001</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Total current liabilities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231,365</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255,184</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7,138</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3,446</w:t>
            </w:r>
          </w:p>
        </w:tc>
      </w:tr>
      <w:tr>
        <w:trPr>
          <w:trHeight w:val="172"/>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r>
      <w:tr>
        <w:trPr>
          <w:trHeight w:val="344"/>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Commitments</w:t>
            </w:r>
          </w:p>
        </w:tc>
        <w:tc>
          <w:tcPr>
            <w:tcW w:w="3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44"/>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3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57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0</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r>
      <w:tr>
        <w:trPr>
          <w:trHeight w:val="172"/>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stock: $.0005 par value</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51</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w:t>
            </w:r>
          </w:p>
        </w:tc>
      </w:tr>
      <w:tr>
        <w:trPr>
          <w:trHeight w:val="172"/>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78,196</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73,278</w:t>
            </w:r>
          </w:p>
        </w:tc>
      </w:tr>
      <w:tr>
        <w:trPr>
          <w:trHeight w:val="172"/>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Cumulative translation adjustment</w:t>
            </w:r>
          </w:p>
        </w:tc>
        <w:tc>
          <w:tcPr>
            <w:tcW w:w="30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(2,002)</w:t>
            </w: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5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 earnings</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38,775</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17,257</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115,020</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88,086</w:t>
            </w: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Less:</w:t>
            </w:r>
          </w:p>
        </w:tc>
        <w:tc>
          <w:tcPr>
            <w:tcW w:w="5060" w:type="dxa"/>
            <w:vAlign w:val="bottom"/>
          </w:tcPr>
          <w:p>
            <w:pPr>
              <w:ind w:left="140"/>
              <w:spacing w:after="0"/>
              <w:rPr>
                <w:sz w:val="20"/>
                <w:szCs w:val="20"/>
                <w:color w:val="auto"/>
              </w:rPr>
            </w:pPr>
            <w:r>
              <w:rPr>
                <w:rFonts w:ascii="Courier New" w:cs="Courier New" w:eastAsia="Courier New" w:hAnsi="Courier New"/>
                <w:sz w:val="15"/>
                <w:szCs w:val="15"/>
                <w:color w:val="auto"/>
              </w:rPr>
              <w:t>Treasury stock, at cost</w:t>
            </w:r>
          </w:p>
        </w:tc>
        <w:tc>
          <w:tcPr>
            <w:tcW w:w="30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(13,765)</w:t>
            </w:r>
          </w:p>
        </w:tc>
        <w:tc>
          <w:tcPr>
            <w:tcW w:w="1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(13,835)</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Total stockholders' equity</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101,255</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74,251</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5060" w:type="dxa"/>
            <w:vAlign w:val="bottom"/>
          </w:tcPr>
          <w:p>
            <w:pPr>
              <w:ind w:left="4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$339,758</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$332,906</w:t>
            </w:r>
          </w:p>
        </w:tc>
      </w:tr>
      <w:tr>
        <w:trPr>
          <w:trHeight w:val="172"/>
        </w:trPr>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720"/>
          </w:cols>
          <w:pgMar w:left="240" w:top="289" w:right="93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GARTNER GROUP, INC.</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33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For the three months ended</w:t>
            </w:r>
          </w:p>
        </w:tc>
        <w:tc>
          <w:tcPr>
            <w:tcW w:w="3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For the six months ended</w:t>
            </w:r>
          </w:p>
        </w:tc>
      </w:tr>
      <w:tr>
        <w:trPr>
          <w:trHeight w:val="172"/>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March 31,</w:t>
            </w:r>
          </w:p>
        </w:tc>
        <w:tc>
          <w:tcPr>
            <w:tcW w:w="1380" w:type="dxa"/>
            <w:vAlign w:val="bottom"/>
          </w:tcPr>
          <w:p>
            <w:pPr>
              <w:spacing w:after="0"/>
              <w:rPr>
                <w:sz w:val="14"/>
                <w:szCs w:val="14"/>
                <w:color w:val="auto"/>
              </w:rPr>
            </w:pP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4680" w:type="dxa"/>
            <w:vAlign w:val="bottom"/>
          </w:tcPr>
          <w:p>
            <w:pPr>
              <w:spacing w:after="0"/>
              <w:rPr>
                <w:sz w:val="14"/>
                <w:szCs w:val="14"/>
                <w:color w:val="auto"/>
              </w:rPr>
            </w:pPr>
          </w:p>
        </w:tc>
        <w:tc>
          <w:tcPr>
            <w:tcW w:w="33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1996</w:t>
            </w:r>
          </w:p>
        </w:tc>
        <w:tc>
          <w:tcPr>
            <w:tcW w:w="21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Continuous services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$75,006</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$54,162</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$147,013</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$108,990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15,828</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11,377</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40,296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27,855</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ind w:left="340"/>
              <w:spacing w:after="0"/>
              <w:rPr>
                <w:sz w:val="20"/>
                <w:szCs w:val="20"/>
                <w:color w:val="auto"/>
              </w:rPr>
            </w:pPr>
            <w:r>
              <w:rPr>
                <w:rFonts w:ascii="Courier New" w:cs="Courier New" w:eastAsia="Courier New" w:hAnsi="Courier New"/>
                <w:sz w:val="15"/>
                <w:szCs w:val="15"/>
                <w:color w:val="auto"/>
              </w:rPr>
              <w:t>Total revenues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90,834</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65,539</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187,309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136,845</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Cost of services and product development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34,147</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24,203</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71,226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51,099</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Selling and marketing</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23,096</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18,419</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48,002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37,944</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10,974</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8,227</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21,455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17,237</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Transaction costs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2,012</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1,653</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4,249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3,355</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883</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939</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1,655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1,806</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ind w:left="340"/>
              <w:spacing w:after="0"/>
              <w:rPr>
                <w:sz w:val="20"/>
                <w:szCs w:val="20"/>
                <w:color w:val="auto"/>
              </w:rPr>
            </w:pPr>
            <w:r>
              <w:rPr>
                <w:rFonts w:ascii="Courier New" w:cs="Courier New" w:eastAsia="Courier New" w:hAnsi="Courier New"/>
                <w:sz w:val="15"/>
                <w:szCs w:val="15"/>
                <w:color w:val="auto"/>
              </w:rPr>
              <w:t>Total costs and expenses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71,112</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53,441</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148,252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111,441</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19,722</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12,098</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39,057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25,404</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827</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363</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 and income 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20,549</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12,461</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40,686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26,102</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&lt;25&gt;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20,549</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12,461</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40,711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26,102</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8,837</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5,184</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17,506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11,190</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$11,712</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$7,277</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$ 23,205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$ 14,912</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$0.08</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99,294</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93,884</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98,412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93,536</w:t>
            </w:r>
          </w:p>
        </w:tc>
      </w:tr>
      <w:tr>
        <w:trPr>
          <w:trHeight w:val="172"/>
        </w:trPr>
        <w:tc>
          <w:tcPr>
            <w:tcW w:w="4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080"/>
          </w:cols>
          <w:pgMar w:left="240" w:top="289" w:right="57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GARTNER GROUP, INC.</w:t>
      </w:r>
    </w:p>
    <w:p>
      <w:pPr>
        <w:spacing w:after="0" w:line="1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688"/>
        </w:trPr>
        <w:tc>
          <w:tcPr>
            <w:tcW w:w="6700" w:type="dxa"/>
            <w:vAlign w:val="bottom"/>
          </w:tcPr>
          <w:p>
            <w:pPr>
              <w:spacing w:after="0"/>
              <w:rPr>
                <w:sz w:val="24"/>
                <w:szCs w:val="24"/>
                <w:color w:val="auto"/>
              </w:rPr>
            </w:pPr>
          </w:p>
        </w:tc>
        <w:tc>
          <w:tcPr>
            <w:tcW w:w="3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For the six months ended March 31,</w:t>
            </w:r>
          </w:p>
        </w:tc>
      </w:tr>
      <w:tr>
        <w:trPr>
          <w:trHeight w:val="172"/>
        </w:trPr>
        <w:tc>
          <w:tcPr>
            <w:tcW w:w="6700" w:type="dxa"/>
            <w:vAlign w:val="bottom"/>
          </w:tcPr>
          <w:p>
            <w:pPr>
              <w:spacing w:after="0"/>
              <w:rPr>
                <w:sz w:val="14"/>
                <w:szCs w:val="14"/>
                <w:color w:val="auto"/>
              </w:rPr>
            </w:pPr>
          </w:p>
        </w:tc>
        <w:tc>
          <w:tcPr>
            <w:tcW w:w="3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14"/>
                <w:szCs w:val="14"/>
                <w:color w:val="auto"/>
              </w:rPr>
            </w:pP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(Restated)</w:t>
            </w:r>
          </w:p>
        </w:tc>
        <w:tc>
          <w:tcPr>
            <w:tcW w:w="1700" w:type="dxa"/>
            <w:vAlign w:val="bottom"/>
          </w:tcPr>
          <w:p>
            <w:pPr>
              <w:spacing w:after="0"/>
              <w:rPr>
                <w:sz w:val="14"/>
                <w:szCs w:val="14"/>
                <w:color w:val="auto"/>
              </w:rPr>
            </w:pPr>
          </w:p>
        </w:tc>
      </w:tr>
      <w:tr>
        <w:trPr>
          <w:trHeight w:val="172"/>
        </w:trPr>
        <w:tc>
          <w:tcPr>
            <w:tcW w:w="6700" w:type="dxa"/>
            <w:vAlign w:val="bottom"/>
          </w:tcPr>
          <w:p>
            <w:pPr>
              <w:spacing w:after="0"/>
              <w:rPr>
                <w:sz w:val="14"/>
                <w:szCs w:val="14"/>
                <w:color w:val="auto"/>
              </w:rPr>
            </w:pPr>
          </w:p>
        </w:tc>
        <w:tc>
          <w:tcPr>
            <w:tcW w:w="214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6700" w:type="dxa"/>
            <w:vAlign w:val="bottom"/>
          </w:tcPr>
          <w:p>
            <w:pPr>
              <w:spacing w:after="0"/>
              <w:rPr>
                <w:sz w:val="14"/>
                <w:szCs w:val="14"/>
                <w:color w:val="auto"/>
              </w:rPr>
            </w:pP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7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Cash provided by operating activities</w:t>
            </w: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$ 27,017</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$ 23,407</w:t>
            </w:r>
          </w:p>
        </w:tc>
      </w:tr>
      <w:tr>
        <w:trPr>
          <w:trHeight w:val="344"/>
        </w:trPr>
        <w:tc>
          <w:tcPr>
            <w:tcW w:w="67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Payment for net assets of subsidiaries acquired (excluding cash)</w:t>
            </w: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(18,292)</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Additions of property and equipment, net</w:t>
            </w: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(5,276)</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(9,175)</w:t>
            </w: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Purchase of short-term investments, net</w:t>
            </w: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(18,501)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(5,435)</w:t>
            </w: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Other investing</w:t>
            </w: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(60)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2"/>
        </w:trPr>
        <w:tc>
          <w:tcPr>
            <w:tcW w:w="6700" w:type="dxa"/>
            <w:vAlign w:val="bottom"/>
          </w:tcPr>
          <w:p>
            <w:pPr>
              <w:spacing w:after="0"/>
              <w:rPr>
                <w:sz w:val="14"/>
                <w:szCs w:val="14"/>
                <w:color w:val="auto"/>
              </w:rPr>
            </w:pP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Cash used for investing activities</w:t>
            </w: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(42,129)</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(14,806)</w:t>
            </w:r>
          </w:p>
        </w:tc>
      </w:tr>
      <w:tr>
        <w:trPr>
          <w:trHeight w:val="172"/>
        </w:trPr>
        <w:tc>
          <w:tcPr>
            <w:tcW w:w="6700" w:type="dxa"/>
            <w:vAlign w:val="bottom"/>
          </w:tcPr>
          <w:p>
            <w:pPr>
              <w:spacing w:after="0"/>
              <w:rPr>
                <w:sz w:val="14"/>
                <w:szCs w:val="14"/>
                <w:color w:val="auto"/>
              </w:rPr>
            </w:pP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on long-term debt and capital lease obligations</w:t>
            </w: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(4,450)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(4,825)</w:t>
            </w: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and warrants</w:t>
            </w: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6,450</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2,430</w:t>
            </w: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Purchase of treasury stock</w:t>
            </w: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Contributions (distributions) of capital between Dataquest and</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its former parent</w:t>
            </w: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(1,687)</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8,782</w:t>
            </w:r>
          </w:p>
        </w:tc>
      </w:tr>
      <w:tr>
        <w:trPr>
          <w:trHeight w:val="172"/>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Tax benefits of stock transactions with employees</w:t>
            </w: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13,538</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14"/>
                <w:szCs w:val="14"/>
                <w:color w:val="auto"/>
              </w:rPr>
            </w:pP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Cash provided by financing activities</w:t>
            </w: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13,851</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6,376</w:t>
            </w:r>
          </w:p>
        </w:tc>
      </w:tr>
      <w:tr>
        <w:trPr>
          <w:trHeight w:val="172"/>
        </w:trPr>
        <w:tc>
          <w:tcPr>
            <w:tcW w:w="6700" w:type="dxa"/>
            <w:vAlign w:val="bottom"/>
          </w:tcPr>
          <w:p>
            <w:pPr>
              <w:spacing w:after="0"/>
              <w:rPr>
                <w:sz w:val="14"/>
                <w:szCs w:val="14"/>
                <w:color w:val="auto"/>
              </w:rPr>
            </w:pP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(1,261)</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14,977</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Effects of foreign exchange rates on cash and cash equivalents</w:t>
            </w:r>
          </w:p>
        </w:tc>
        <w:tc>
          <w:tcPr>
            <w:tcW w:w="21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(155)</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66,581</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48,805</w:t>
            </w:r>
          </w:p>
        </w:tc>
      </w:tr>
      <w:tr>
        <w:trPr>
          <w:trHeight w:val="172"/>
        </w:trPr>
        <w:tc>
          <w:tcPr>
            <w:tcW w:w="6700" w:type="dxa"/>
            <w:vAlign w:val="bottom"/>
          </w:tcPr>
          <w:p>
            <w:pPr>
              <w:spacing w:after="0"/>
              <w:rPr>
                <w:sz w:val="14"/>
                <w:szCs w:val="14"/>
                <w:color w:val="auto"/>
              </w:rPr>
            </w:pP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$ 65,165</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$ 63,902</w:t>
            </w:r>
          </w:p>
        </w:tc>
      </w:tr>
      <w:tr>
        <w:trPr>
          <w:trHeight w:val="172"/>
        </w:trPr>
        <w:tc>
          <w:tcPr>
            <w:tcW w:w="6700" w:type="dxa"/>
            <w:vAlign w:val="bottom"/>
          </w:tcPr>
          <w:p>
            <w:pPr>
              <w:spacing w:after="0"/>
              <w:rPr>
                <w:sz w:val="14"/>
                <w:szCs w:val="14"/>
                <w:color w:val="auto"/>
              </w:rPr>
            </w:pPr>
          </w:p>
        </w:tc>
        <w:tc>
          <w:tcPr>
            <w:tcW w:w="21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540"/>
          </w:cols>
          <w:pgMar w:left="240" w:top="289" w:right="111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GARTNER GROUP, INC.</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Interim Consolidated Financial Statements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These interim consolidated financial statements have been prepared in accordance with generally accepted accounting principles for interim financial information and with the instructions to Form 10-Q and should be read in conjunction with the consolidated financial statements and related notes of Gartner Group, Inc. (the "Company") on Form 10-K for the fiscal year ended September 30, 1995. In the opinion of management, all adjustments (consisting of normal recurring adjustments) considered necessary for a fair presentation of financial position, results of operations and cash flows at the dates and for the periods presented have been included.</w:t>
      </w:r>
    </w:p>
    <w:p>
      <w:pPr>
        <w:spacing w:after="0" w:line="178" w:lineRule="exact"/>
        <w:rPr>
          <w:sz w:val="20"/>
          <w:szCs w:val="20"/>
          <w:color w:val="auto"/>
        </w:rPr>
      </w:pPr>
    </w:p>
    <w:p>
      <w:pPr>
        <w:ind w:right="3519"/>
        <w:spacing w:after="0" w:line="267" w:lineRule="auto"/>
        <w:rPr>
          <w:sz w:val="20"/>
          <w:szCs w:val="20"/>
          <w:color w:val="auto"/>
        </w:rPr>
      </w:pPr>
      <w:r>
        <w:rPr>
          <w:rFonts w:ascii="Courier New" w:cs="Courier New" w:eastAsia="Courier New" w:hAnsi="Courier New"/>
          <w:sz w:val="14"/>
          <w:szCs w:val="14"/>
          <w:color w:val="auto"/>
        </w:rPr>
        <w:t>All historical financial information has been restated to reflect the acquisition of Dataquest, Incorporated ("Dataquest") in a manner similar to pooling of interests accounting. (See Note 2 - Acquisition of Dataquest.)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Acquisition of Dataquest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December 1, 1995, the Company acquired Dataquest, a wholly-owned subsidiary of The Dun &amp; Bradstreet Corporation (the majority shareholder of the Company). Consideration consisted of $15.0 million in cash, 3,000,000 shares of Class A Common Stock from treasury and a five year warrant to purchase 600,000 shares of Class A Common Stock at $16.42 per share. The Company has accounted for the acquisition as a transfer and exchange between companies under common control. Accordingly, the accounts of Dataquest have been combined with the Company's at historical cost in a manner similar to a pooling of interests. Dataquest is a leading provider of information technology ("IT") market research and consulting for the IT vendor manufacturer and financial communities which complements the Company's end user focus. Similar to the Company, Dataquest provides annual subscription services, custom research and consulting. The Company anticipates it will benefit from the combined broader geographical presence, expanded distribution capabilities, strengthened research expertise and the elimination of redundant administrative functions. In connection with the acquisition, the Company recorded a one time charge in the first fiscal quarter of 1996 of $1.7 million for certain transaction costs, principally legal and other professional fees.</w:t>
      </w:r>
    </w:p>
    <w:p>
      <w:pPr>
        <w:spacing w:after="0" w:line="18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Further information on the acquisition of Dataquest, including pro forma financial information, is available in the Company's Current Report on Form 8-K dated December 1, 1995 and Form 8-K/A dated February 9,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Pending Acquisition of J3 Learning Corporation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March 11, 1996, the Company entered into a merger agreement to purchase J3 Learning Corporation ("J3"), a leading provider of IT training products based in Minneapolis, Minnesota. Upon approval by the shareholders of J3, the agreement provides for Gartner to acquire 100% ownership of J3 during June 1996, for consideration of approximately $45 million in cash and shares of Common Stock of Gartner. When consummated, the acquisition will be accounted for as a purchase, and it is anticipated that a significant portion of the consideration paid will be expensed as in-process research and development (approximately $32.0 million) immediately following the closing of the transaction, expected in July 1996. J3 publishes, markets and distributes software educational materials for corporate and individual training. The products are available in video, multimedia and computer-based training formats, and address software training needs relating to desktop applications, operating systems, relational databases, networking technologies and developer languages and tools. Although 90% of its sales are generated in the U.S., J3 intends to pursue international expansion through a subsidiary office in the United Kingdom and salespersons and distributors in Latin America, the Middle East, Africa and Asia Pacific. Further information is available in the Company's Registration Statement on Form S-4 filed April 22, 1996.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Restatement of Report on Form 10-Q for the Quarter Ended March 31, 1996</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The Company has amended the Form 10-Q to correct certain classification entries related to the Dataquest acquisition made during its second fiscal quarter which impact amounts previously reported in the balance sheet and statement of cash flows as of and for the six month period ended March 31, 1996. As a result of the corrections, certain balance sheet accounts were adjusted as of March 31, 1996 as well as amounts in the statement of cash flows for the six month period ended March 31, 1996. These adjustments did not involve cash of the Company or affect the results of operations for any previously reported periods. The following is a summary of the nature and impact of the corrections.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Adjustments</w:t>
            </w: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3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2"/>
        </w:trPr>
        <w:tc>
          <w:tcPr>
            <w:tcW w:w="2000" w:type="dxa"/>
            <w:vAlign w:val="bottom"/>
          </w:tcPr>
          <w:p>
            <w:pPr>
              <w:spacing w:after="0"/>
              <w:rPr>
                <w:sz w:val="14"/>
                <w:szCs w:val="1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Previously</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Deferred</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Cash</w:t>
            </w: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Pre-acquisition</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Correct</w:t>
            </w:r>
          </w:p>
        </w:tc>
      </w:tr>
      <w:tr>
        <w:trPr>
          <w:trHeight w:val="172"/>
        </w:trPr>
        <w:tc>
          <w:tcPr>
            <w:tcW w:w="20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recorded</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taxes(1)</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payment(2)</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liabilities(2)</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2000" w:type="dxa"/>
            <w:vAlign w:val="bottom"/>
          </w:tcPr>
          <w:p>
            <w:pPr>
              <w:spacing w:after="0"/>
              <w:rPr>
                <w:sz w:val="14"/>
                <w:szCs w:val="1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200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2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00" w:type="dxa"/>
            <w:vAlign w:val="bottom"/>
          </w:tcPr>
          <w:p>
            <w:pPr>
              <w:spacing w:after="0"/>
              <w:rPr>
                <w:sz w:val="20"/>
                <w:szCs w:val="20"/>
                <w:color w:val="auto"/>
              </w:rPr>
            </w:pPr>
            <w:r>
              <w:rPr>
                <w:rFonts w:ascii="Courier New" w:cs="Courier New" w:eastAsia="Courier New" w:hAnsi="Courier New"/>
                <w:sz w:val="15"/>
                <w:szCs w:val="15"/>
                <w:color w:val="auto"/>
              </w:rPr>
              <w:t>Accounts payable and</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$56,061</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$(2,896)</w:t>
            </w:r>
          </w:p>
        </w:tc>
        <w:tc>
          <w:tcPr>
            <w:tcW w:w="1340" w:type="dxa"/>
            <w:vAlign w:val="bottom"/>
          </w:tcPr>
          <w:p>
            <w:pPr>
              <w:spacing w:after="0"/>
              <w:rPr>
                <w:sz w:val="14"/>
                <w:szCs w:val="14"/>
                <w:color w:val="auto"/>
              </w:rPr>
            </w:pP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$ 419</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$53,584</w:t>
            </w:r>
          </w:p>
        </w:tc>
      </w:tr>
      <w:tr>
        <w:trPr>
          <w:trHeight w:val="172"/>
        </w:trPr>
        <w:tc>
          <w:tcPr>
            <w:tcW w:w="2000" w:type="dxa"/>
            <w:vAlign w:val="bottom"/>
          </w:tcPr>
          <w:p>
            <w:pPr>
              <w:spacing w:after="0"/>
              <w:rPr>
                <w:sz w:val="20"/>
                <w:szCs w:val="20"/>
                <w:color w:val="auto"/>
              </w:rPr>
            </w:pPr>
            <w:r>
              <w:rPr>
                <w:rFonts w:ascii="Courier New" w:cs="Courier New" w:eastAsia="Courier New" w:hAnsi="Courier New"/>
                <w:sz w:val="15"/>
                <w:szCs w:val="15"/>
                <w:color w:val="auto"/>
              </w:rPr>
              <w:t>Additional paid-in</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capital</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$81,696</w:t>
            </w:r>
          </w:p>
        </w:tc>
        <w:tc>
          <w:tcPr>
            <w:tcW w:w="116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$(3,500)</w:t>
            </w:r>
          </w:p>
        </w:tc>
        <w:tc>
          <w:tcPr>
            <w:tcW w:w="18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$78,196</w:t>
            </w:r>
          </w:p>
        </w:tc>
      </w:tr>
      <w:tr>
        <w:trPr>
          <w:trHeight w:val="172"/>
        </w:trPr>
        <w:tc>
          <w:tcPr>
            <w:tcW w:w="2000" w:type="dxa"/>
            <w:vAlign w:val="bottom"/>
          </w:tcPr>
          <w:p>
            <w:pPr>
              <w:spacing w:after="0"/>
              <w:rPr>
                <w:sz w:val="20"/>
                <w:szCs w:val="20"/>
                <w:color w:val="auto"/>
              </w:rPr>
            </w:pPr>
            <w:r>
              <w:rPr>
                <w:rFonts w:ascii="Courier New" w:cs="Courier New" w:eastAsia="Courier New" w:hAnsi="Courier New"/>
                <w:sz w:val="15"/>
                <w:szCs w:val="15"/>
                <w:color w:val="auto"/>
              </w:rPr>
              <w:t>Accumulated earnings</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$32,798</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$ 2,896</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3,500</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$(419)</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$38,775</w:t>
            </w:r>
          </w:p>
        </w:tc>
      </w:tr>
    </w:tbl>
    <w:p>
      <w:pPr>
        <w:sectPr>
          <w:pgSz w:w="11900" w:h="16838" w:orient="portrait"/>
          <w:cols w:equalWidth="0" w:num="1">
            <w:col w:w="10219"/>
          </w:cols>
          <w:pgMar w:left="240" w:top="289" w:right="1440" w:bottom="0" w:gutter="0" w:footer="0" w:header="0"/>
        </w:sectPr>
      </w:pPr>
    </w:p>
    <w:bookmarkStart w:id="6" w:name="page7"/>
    <w:bookmarkEnd w:id="6"/>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Statement of Cash Flow</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Cash provided by</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29,492</w:t>
            </w:r>
          </w:p>
        </w:tc>
        <w:tc>
          <w:tcPr>
            <w:tcW w:w="1420" w:type="dxa"/>
            <w:vAlign w:val="bottom"/>
          </w:tcPr>
          <w:p>
            <w:pPr>
              <w:ind w:left="340"/>
              <w:spacing w:after="0"/>
              <w:rPr>
                <w:sz w:val="20"/>
                <w:szCs w:val="20"/>
                <w:color w:val="auto"/>
              </w:rPr>
            </w:pPr>
            <w:r>
              <w:rPr>
                <w:rFonts w:ascii="Courier New" w:cs="Courier New" w:eastAsia="Courier New" w:hAnsi="Courier New"/>
                <w:sz w:val="15"/>
                <w:szCs w:val="15"/>
                <w:color w:val="auto"/>
              </w:rPr>
              <w:t>$(2,896)</w:t>
            </w:r>
          </w:p>
        </w:tc>
        <w:tc>
          <w:tcPr>
            <w:tcW w:w="144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$ 419</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$27,015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Issuance of common stock</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and warrants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9,950</w:t>
            </w:r>
          </w:p>
        </w:tc>
        <w:tc>
          <w:tcPr>
            <w:tcW w:w="1420" w:type="dxa"/>
            <w:vAlign w:val="bottom"/>
          </w:tcPr>
          <w:p>
            <w:pPr>
              <w:spacing w:after="0"/>
              <w:rPr>
                <w:sz w:val="14"/>
                <w:szCs w:val="14"/>
                <w:color w:val="auto"/>
              </w:rPr>
            </w:pP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$(3,500)</w:t>
            </w:r>
          </w:p>
        </w:tc>
        <w:tc>
          <w:tcPr>
            <w:tcW w:w="1340" w:type="dxa"/>
            <w:vAlign w:val="bottom"/>
          </w:tcPr>
          <w:p>
            <w:pPr>
              <w:spacing w:after="0"/>
              <w:rPr>
                <w:sz w:val="14"/>
                <w:szCs w:val="14"/>
                <w:color w:val="auto"/>
              </w:rPr>
            </w:pP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$ 6,450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(distributions)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of capital between</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Dataquest and its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former parent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(7,662)</w:t>
            </w:r>
          </w:p>
        </w:tc>
        <w:tc>
          <w:tcPr>
            <w:tcW w:w="1420" w:type="dxa"/>
            <w:vAlign w:val="bottom"/>
          </w:tcPr>
          <w:p>
            <w:pPr>
              <w:ind w:left="340"/>
              <w:spacing w:after="0"/>
              <w:rPr>
                <w:sz w:val="20"/>
                <w:szCs w:val="20"/>
                <w:color w:val="auto"/>
              </w:rPr>
            </w:pPr>
            <w:r>
              <w:rPr>
                <w:rFonts w:ascii="Courier New" w:cs="Courier New" w:eastAsia="Courier New" w:hAnsi="Courier New"/>
                <w:sz w:val="15"/>
                <w:szCs w:val="15"/>
                <w:color w:val="auto"/>
              </w:rPr>
              <w:t>$ 2,896</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$ 3,500</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$(419)</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w w:val="97"/>
              </w:rPr>
              <w:t>$(1,685)</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708" w:hanging="708"/>
        <w:spacing w:after="0"/>
        <w:tabs>
          <w:tab w:leader="none" w:pos="7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 a deferred tax asset originally recorded as a</w:t>
      </w:r>
    </w:p>
    <w:p>
      <w:pPr>
        <w:spacing w:after="0" w:line="3" w:lineRule="exact"/>
        <w:rPr>
          <w:rFonts w:ascii="Courier New" w:cs="Courier New" w:eastAsia="Courier New" w:hAnsi="Courier New"/>
          <w:sz w:val="15"/>
          <w:szCs w:val="15"/>
          <w:color w:val="auto"/>
        </w:rPr>
      </w:pPr>
    </w:p>
    <w:p>
      <w:pPr>
        <w:ind w:left="708" w:right="35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 of accumulated earnings and was originally recorded as a credit to accounts payable and accrued liabilities.</w:t>
      </w:r>
    </w:p>
    <w:p>
      <w:pPr>
        <w:spacing w:after="0" w:line="176" w:lineRule="exact"/>
        <w:rPr>
          <w:rFonts w:ascii="Courier New" w:cs="Courier New" w:eastAsia="Courier New" w:hAnsi="Courier New"/>
          <w:sz w:val="15"/>
          <w:szCs w:val="15"/>
          <w:color w:val="auto"/>
        </w:rPr>
      </w:pPr>
    </w:p>
    <w:p>
      <w:pPr>
        <w:ind w:left="708" w:right="3079" w:hanging="708"/>
        <w:spacing w:after="0" w:line="241" w:lineRule="auto"/>
        <w:tabs>
          <w:tab w:leader="none" w:pos="7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payment for certain assets and liabilities of Dataquest as a reduction of additional paid-in capital as opposed to retained earnings as originally recorded.</w:t>
      </w:r>
    </w:p>
    <w:p>
      <w:pPr>
        <w:spacing w:after="0" w:line="176" w:lineRule="exact"/>
        <w:rPr>
          <w:rFonts w:ascii="Courier New" w:cs="Courier New" w:eastAsia="Courier New" w:hAnsi="Courier New"/>
          <w:sz w:val="15"/>
          <w:szCs w:val="15"/>
          <w:color w:val="auto"/>
        </w:rPr>
      </w:pPr>
    </w:p>
    <w:p>
      <w:pPr>
        <w:ind w:left="708" w:right="3259" w:hanging="708"/>
        <w:spacing w:after="0"/>
        <w:tabs>
          <w:tab w:leader="none" w:pos="7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certain post-employment liabilities established in September 1995 which continue to be outstanding at March 31, 1996.</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312"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4" w:lineRule="exact"/>
        <w:rPr>
          <w:sz w:val="20"/>
          <w:szCs w:val="20"/>
          <w:color w:val="auto"/>
        </w:rPr>
      </w:pPr>
    </w:p>
    <w:p>
      <w:pPr>
        <w:ind w:left="800" w:right="5039" w:hanging="804"/>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discussion and analysis below contains trend analysis and other forward-looking statements within the meaning of Section 27A of the Securities Act of 1933, as amended and Section 21E of the Securities Exchange Act of 1934, as amended. Actual results could differ materially from those projected in the forward-looking statements as a result of the risk factors set forth below under "Quarterly Operating Income Trends," "Other Factors that may Affect Future Performance" and elsewhere in this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REVENUES increased 39% to $90.8 million for the second quarter of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from $65.5 million in the corresponding quarter of fiscal 1995. Revenues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continuous services increased by 38% to $75.0 million from $54.2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same quarter in fiscal 1995, and other revenues increased by 39%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$15.8 million from $11.4 million. For the six months ended March 31, 1996, total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increased 37% to $187.3 million, as compared to the six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1995, with continuous services revenues and other revenues increasing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35% and 45%, respectively. Continuous services are annually renewable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subscription services which, on an ongoing basis, highlight industry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developments, review new products and technologies, provide quantitative market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analyze industry trends within a particular technology or market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sector. Revenues from continuous services contracts are recognized ratably over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contract period, generally twelve months.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increases in continuous services revenues in the second fiscal quarter and first six months of 1996, as compared to the corresponding periods of the prior year, reflected primarily the results of a new sales strategy implemented in fiscal 1994 and fiscal 1995 which targets clients with revenues ranging from $500 million to $2 billion, in addition to the Company's traditional larger clients. The increases in revenues from continuous services were primarily volume-oriented as prices have remained relatively constant during the periods highlighted. Continued international expansion has also contributed to revenue growth, as a result of additional investment in direct sales personnel in Europe and continued focus on expansion of other international markets.</w:t>
      </w:r>
    </w:p>
    <w:p>
      <w:pPr>
        <w:spacing w:after="0" w:line="179"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Contract value increased 34% to $316.8 million at March 31, 1996 versus March 31, 1995. The Company believes that contract value is a significant measure of the Company's volume of business and calculates the amount of contract value as the annualized subscription fees under all continuous service contracts in effect at a given point in time, without regard to the duration of the contracts outstanding at such time. Historically, the Company has experienced that a substantial portion of client companies have renewed subscriptions for an equal or higher level of total subscription payments each year, and annual continuous services revenues in any fiscal year have closely correlated to contract value at the beginning of the fiscal year. As of March 31, 1996, 83% of the Company's clients have renewed one or more subscriptions in the last twelve months. However, this renewal rate is not necessarily indicative of the rate of retention of the Company's revenue base, and contract value at any time may not be indicative of future continuous services revenues or cash flows if the rate of renewal of continuous services contracts or the timing of new business were to significantly change during the following twelve months compared to historic patterns. Deferred revenues of $167.2 million and $164.4 million at March 31, 1996 and September 30, 1995, respectively, as presented in the Company's balance sheets, represent unamortized revenues from continuous services contracts at the balance sheet date plus unamortized revenues of certain other products and noncontinuous services. Therefore, deferred revenues do not directly correlate to contract value as of the same date, because the annualized calculation is made without regard to the duration of the contracts outstanding at such time, and contract value is limited to continuous services contracts.</w:t>
      </w:r>
    </w:p>
    <w:p>
      <w:pPr>
        <w:spacing w:after="0" w:line="34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Other revenues for the second quarter of fiscal 1996 increased 39% compared to the same quarter in fiscal 1995, to $15.8 million. Other revenues consist principally of revenues recognized as earned from conferences, consulting engagements, publications, training on technology and other noncontinuous services. The increase of $4.5 million in the current year's second fiscal quarter over the second fiscal quarter of 1995 resulted primarily from a major new conference held in March 1996, consulting revenues of Nomos Ricera, an information technology consulting firm located in Italy acquired in October 1995, and sales generated from Relational Courseware, Inc., a computer-based training company acquired in July 1995. Other revenues for the six months ended March 31, 1996 increased 45% to $40.3 million, reflecting primarily the increased revenues from conferences, consulting, computer-based training products and publications.</w:t>
      </w:r>
    </w:p>
    <w:p>
      <w:pPr>
        <w:sectPr>
          <w:pgSz w:w="11900" w:h="16838" w:orient="portrait"/>
          <w:cols w:equalWidth="0" w:num="1">
            <w:col w:w="10219"/>
          </w:cols>
          <w:pgMar w:left="240" w:top="289" w:right="1440" w:bottom="1440" w:gutter="0" w:footer="0" w:header="0"/>
        </w:sectPr>
      </w:pPr>
    </w:p>
    <w:p>
      <w:pPr>
        <w:spacing w:after="0" w:line="181"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89"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OPERATING INCOME rose 63% to $19.7 million, or 22% of revenues, for the second quarter of fiscal 1996, from $12.1 million or 18% of revenues in the corresponding quarter last fiscal year. Operating income for the six months ended March 31, 1996 rose to $39.1 million, or 21% of revenues, an increase of 54%, from $25.4 million or 18% of revenues in the first six months of the prior year, despite a nonrecurring expense of $1.7 million in the first fiscal quarter of 1996 for costs related to the Dataquest acquisition. As revenues continue to grow, the Company has benefited from economies of scale, leveraged its resources (additional revenues have been generated using essentially the same resources), and, thereby, improved margins. Margin improvement measures implemented by the Company in the prior two fiscal years continue to favorably impact operating results, including the standardization of research methodology, electronic distribution, improved productivity of the international sales force, and the further utilization of additional sales channels to reach smaller organizations.</w:t>
      </w:r>
    </w:p>
    <w:p>
      <w:pPr>
        <w:spacing w:after="0" w:line="16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While costs and expenses increased by $17.6 million to $71.1 million in the second quarter of fiscal 1996, such costs decreased to 78% of total revenues from 82% in the corresponding quarter of fiscal 1995. The increase reflected primarily the continuing expansion of the Company's distribution system and the additional personnel needed to provide high quality service and support as the client base grows. In the second fiscal quarter of 1996 as compared to the same quarter in fiscal 1995, these factors resulted in a 41% increase in cost of services and product development, a 25% increase in sales and marketing expense and a 33% increase in general and administrative expense. However, expressed as a percentage of total revenues, the costs of services and product development increased slightly to 38% of total revenues, while sales and marketing expenses decreased from 28% to 25%, and general and administrative costs decreased from 13% to 12% of revenues, in comparing the second quarter of fiscal 1996 to the second quarter of fiscal 1995. Costs and expenses increased to $148.2 million from $111.4 million for six months ended March 31, 1996 and March 31, 1995, representing 79% and 81% of total revenues, respectively.</w:t>
      </w:r>
    </w:p>
    <w:p>
      <w:pPr>
        <w:spacing w:after="0" w:line="16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INTEREST INCOME (EXPENSE), NET increased to $0.8 million in the second fiscal quarter of the current year as compared to $0.4 million in the same period of fiscal 1995. This increase is attributable primarily to the decrease in debt related to the purchase of New Science Associates and Real Decisions Corporation and an increase in the Company's average available investable funds, partially offset by lower rates earned on those funds.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PROVISION FOR INCOME TAXES increased by $3.6 million to $8.8 million in the second fiscal quarter of 1996, compared to the same quarter last year. The effective rate for the quarter ended March 31, 1996 was 43%, an increase from 42% in the comparable fiscal quarter in fiscal 1995. For the six months ended March 31, 1996, the provision for income taxes increased $6.3 million to $17.5 million and the effective rate remained at 43%.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EARNINGS PER SHARE increased 50% to 12 cents per common share for the second fiscal quarter of 1996 as compared to 8 cents for the corresponding period last year. For the six months ended March 31, 1996 and March 31, 1995, earnings per share rose to 24 cents versus 16 cents.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QUARTERLY OPERATING INCOME TRENDS. The Company has realized significant growth in contract value at the end of quarters, particularly the fourth quarter of the fiscal year. Consequently, fees receivable, deferred revenues, deferred commissions and commissions payable reflect this activity and typically show substantial increases at the end of quarters within a fiscal year, particularly at year end. All contracts are billable upon signing, absent special terms granted on a limited basis from time-to-time. All contracts are noncancellable and nonrefundable, except for government contracts which have a 30 day cancellation clause but have not produced material cancellations to date. The Company's policy is to record at the time of signing of a continuous service contract the entire amount of the contract billable as fees receivable and deferred revenue. Revenues from continuous services contracts are recognized ratably over the contract period, generally twelve months. Consequently, continuous services revenues have typically increased significantly in the first quarter of the ensuing fiscal year over the immediately preceding quarter and other revenues similarly increased from the annual conference events held in the first quarter. The level of spending as a percentage of revenues has remained relatively constant throughout the fiscal year. As a result of these factors, operating income has generally been higher in the earlier quarters of the fiscal year. The Company also records the related commission obligation upon the signing of the contract and amortizes the corresponding deferred commission expense over the contract period in which the related continuous</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services revenues are earned and amortized to income. Although historically the Company's operations have followed these trends, these trends may not be indicative of the future operating income results.</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OTHER FACTORS THAT MAY AFFECT FUTURE PERFORMANCE. The Company's future operating results will depend upon the Company's ability to continue to compete successfully in the market for information products and services. The Company faces competition from a significant number of independent providers of similar services as well as the internal marketing and planning organizations of the Company's clients. The Company also competes indirectly against other information providers, including electronic and print media companies and consulting firms. In addition, there are limited barriers to entry into the Company's market and additional new competitors could readily emerge. There can be no assurance that the Company will be able to continue to provide the products and services that meet client needs as the IT markets rapidly evolve, or that the Company can otherwise continue to compete successfully. In this regard, the Company's ability to compete is largely dependent upon the quality of its staff of IT analysts. Competition for qualified analysts is intense. There can be no assurance that the Company will be able to hire additional qualified IT analysts as may be required to support the evolving needs of customers or any growth in the Company's business. Any failure to maintain a premier staff of IT analysts could adversely affect the quality of the Company's products and services, and therefore its future business and operating results. Additionally, there may be increased business risk as the Company expands to smaller domestic companies and to other international markets.</w:t>
      </w:r>
    </w:p>
    <w:p>
      <w:pPr>
        <w:spacing w:after="0" w:line="33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March 11, 1996, the Company entered into a merger agreement to purchase J3 Learning Corporation ("J3"), a leading provider of IT training products based in Minneapolis, Minnesota. Upon approval by the shareholders of J3, the agreement provides for Gartner to acquire 100% ownership of J3 during June 1996, for consideration of approximately $45 million in cash and shares of Common Stock of Gartner. When consummated, the acquisition will be accounted for as a purchase, and it is anticipated that a significant portion of the consideration paid will be expensed as in-process research and development (approximately $32.0 million) immediately following the closing of the transaction, expected in July 1996. J3 publishes, markets and distributes software educational materials for corporate and individual training. The products are available in video, multimedia and computer-based training formats, and address software training needs relating to desktop applications, operating systems, relational databases, networking technologies and developer languages and tools. Although 90% of its sales are generated in the U.S., J3 intends to pursue international expansion through a subsidiary office in the United Kingdom and salespersons and distributors in Latin America, the Middle East, Africa and Asia Pacific. Further information is available in the Company's Registration Statement on Form S-4 filed April 22, 1996.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has financed its operations to date primarily through cash provided by operating activities. The combined historical revenue growth and operating margin improvements have contributed to positive cash provided by operating activities. In addition, cash flow has been enhanced by the Company's continuing management of working capital requirements to support increased sales volumes. The Company's cash and cash equivalents balance at March 31, 1996 and September 30, 1995 was $65.2 million and $66.6 million, respectively. Additionally, the marketable securities balance increased to $47.3 million at March 31, 1996 from $28.8 million at September 30, 1995. Cash provided by operating activities totaled $27.0 million for the six months ended March 31, 1996, compared with $23.4 million for the comparable period of the prior year. Cash used for investing activities increased to $42.1 million and consists of the $15.0 million payment to acquire Dataquest and $18.5 million for the purchase of short-term investments. Cash provided by financing activities totaled $13.9 million in the first half of fiscal 1996, and reflects $13.5 million in tax benefits from stock transactions with employees.</w:t>
      </w:r>
    </w:p>
    <w:p>
      <w:pPr>
        <w:spacing w:after="0" w:line="18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At March 31, 1996, short-term debt and capital lease obligations were $2.3 million, a decrease of $4.5 million from the fiscal year end, which represents settlement of a promissory note for the acquisition of Real Decisions Corporation. In addition, the Company has available unsecured credit lines in the amount of $5.0 million each, with The Bank of New York and Chemical Bank, under neither of which are there borrowings outstanding. The Company has outstanding letters of credit with Chase Manhattan Bank of $5.5 million. The Company currently has no material capital commitments. The Company believes that its current cash balance, marketable securities, cash provided by operating activities, and borrowings available under the existing lines of credit, will be sufficient for the anticipated short-term and foreseeable long-term cash needs of the Company.</w:t>
      </w:r>
    </w:p>
    <w:p>
      <w:pPr>
        <w:sectPr>
          <w:pgSz w:w="11900" w:h="16838" w:orient="portrait"/>
          <w:cols w:equalWidth="0" w:num="1">
            <w:col w:w="10219"/>
          </w:cols>
          <w:pgMar w:left="240" w:top="289" w:right="1440" w:bottom="1440" w:gutter="0" w:footer="0" w:header="0"/>
        </w:sectPr>
      </w:pP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89"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jc w:val="right"/>
        <w:ind w:right="665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SIGNATURE</w:t>
      </w:r>
    </w:p>
    <w:p>
      <w:pPr>
        <w:spacing w:after="0" w:line="176"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Gartner Group, Inc.</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9"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July 2, 1996</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F. Halligan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F. Halligan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Financial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Officer)</w:t>
      </w:r>
    </w:p>
    <w:p>
      <w:pPr>
        <w:spacing w:after="0" w:line="176" w:lineRule="exact"/>
        <w:rPr>
          <w:sz w:val="20"/>
          <w:szCs w:val="20"/>
          <w:color w:val="auto"/>
        </w:rPr>
      </w:pPr>
    </w:p>
    <w:p>
      <w:pPr>
        <w:sectPr>
          <w:pgSz w:w="11900" w:h="16838" w:orient="portrait"/>
          <w:cols w:equalWidth="0" w:num="2">
            <w:col w:w="3660" w:space="720"/>
            <w:col w:w="5839"/>
          </w:cols>
          <w:pgMar w:left="240" w:top="289"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219"/>
          </w:cols>
          <w:pgMar w:left="240" w:top="289"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INDEX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89" w:right="1440" w:bottom="144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EX-27</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185" w:lineRule="exact"/>
        <w:rPr>
          <w:sz w:val="20"/>
          <w:szCs w:val="20"/>
          <w:color w:val="auto"/>
        </w:rPr>
      </w:pPr>
    </w:p>
    <w:p>
      <w:pPr>
        <w:sectPr>
          <w:pgSz w:w="11900" w:h="16838" w:orient="portrait"/>
          <w:cols w:equalWidth="0" w:num="2">
            <w:col w:w="1960" w:space="720"/>
            <w:col w:w="7539"/>
          </w:cols>
          <w:pgMar w:left="240" w:top="289"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19"/>
          </w:cols>
          <w:pgMar w:left="240" w:top="289"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DOLLARS</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6-MOS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SEP-30-1996</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OCT-01-1995</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MAR-31-1996</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65,165</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47,334</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101,564</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4,506</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237,042</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58,939</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31,259</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339,758</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231,365</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51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101,204</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339,758</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187,309</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187,309</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71,226</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71,226</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75,900</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1,126</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143</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40,686</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17,506</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23,205</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23,205</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0.24</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0.24</w:t>
      </w:r>
    </w:p>
    <w:sectPr>
      <w:pgSz w:w="11900" w:h="16838" w:orient="portrait"/>
      <w:cols w:equalWidth="0" w:num="1">
        <w:col w:w="10139"/>
      </w:cols>
      <w:pgMar w:left="32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2019-12-13T14:16:05Z</dcterms:created>
  <dcterms:modified xsi:type="dcterms:W3CDTF">2019-12-13T14:16:05Z</dcterms:modified>
</cp:coreProperties>
</file>