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1-14443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Gartner,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309" w:type="dxa"/>
        <w:jc w:val="center"/>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78"/>
        <w:gridCol w:w="586"/>
        <w:gridCol w:w="586"/>
        <w:gridCol w:w="837"/>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04-3099750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 Box 10212</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06902-7700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 Top Gallant Road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Stamford,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(203) 964-0096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$.0005 par value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14"/>
        <w:gridCol w:w="716"/>
        <w:gridCol w:w="719"/>
        <w:gridCol w:w="160"/>
        <w:gridCol w:w="160"/>
        <w:gridCol w:w="160"/>
        <w:gridCol w:w="160"/>
        <w:gridCol w:w="160"/>
        <w:gridCol w:w="160"/>
        <w:gridCol w:w="857"/>
        <w:gridCol w:w="857"/>
        <w:gridCol w:w="860"/>
        <w:gridCol w:w="160"/>
        <w:gridCol w:w="160"/>
        <w:gridCol w:w="160"/>
        <w:gridCol w:w="160"/>
        <w:gridCol w:w="160"/>
        <w:gridCol w:w="160"/>
        <w:gridCol w:w="940"/>
        <w:gridCol w:w="940"/>
        <w:gridCol w:w="943"/>
        <w:gridCol w:w="160"/>
        <w:gridCol w:w="160"/>
        <w:gridCol w:w="160"/>
        <w:gridCol w:w="15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May 1, 2026, 66,951,889 shares of the registrant’s common shares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3499"/>
        <w:gridCol w:w="3059"/>
        <w:gridCol w:w="3074"/>
        <w:gridCol w:w="167"/>
        <w:gridCol w:w="167"/>
        <w:gridCol w:w="239"/>
      </w:tblGrid>
      <w:tr>
        <w:trPr/>
        <w:tc>
          <w:tcPr>
            <w:tcW w:w="3499"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0">
              <w:r>
                <w:rPr>
                  <w:rStyle w:val="InternetLink"/>
                  <w:rFonts w:ascii="Times New Roman;serif" w:hAnsi="Times New Roman;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3">
              <w:r>
                <w:rPr>
                  <w:rStyle w:val="InternetLink"/>
                  <w:rFonts w:ascii="Times New Roman;serif" w:hAnsi="Times New Roman;serif"/>
                  <w:b w:val="false"/>
                  <w:color w:val="0000FF"/>
                  <w:sz w:val="20"/>
                  <w:u w:val="single"/>
                </w:rPr>
                <w:t>ITEM 1.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6">
              <w:r>
                <w:rPr>
                  <w:rStyle w:val="InternetLink"/>
                  <w:rFonts w:ascii="Times New Roman;serif" w:hAnsi="Times New Roman;serif"/>
                  <w:b w:val="false"/>
                  <w:color w:val="0000FF"/>
                  <w:sz w:val="20"/>
                  <w:u w:val="single"/>
                </w:rPr>
                <w:t>Condensed Consolidated Balance Sheets at March 31, 2026 and December 31,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6">
              <w:r>
                <w:rPr>
                  <w:rStyle w:val="InternetLink"/>
                  <w:rFonts w:ascii="Times New Roman;serif" w:hAnsi="Times New Roman;serif"/>
                  <w:b w:val="false"/>
                  <w:color w:val="0000FF"/>
                  <w:sz w:val="20"/>
                  <w:u w:val="single"/>
                </w:rPr>
                <w:t>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22">
              <w:r>
                <w:rPr>
                  <w:rStyle w:val="InternetLink"/>
                  <w:rFonts w:ascii="Times New Roman;serif" w:hAnsi="Times New Roman;serif"/>
                  <w:b w:val="false"/>
                  <w:color w:val="0000FF"/>
                  <w:sz w:val="20"/>
                  <w:u w:val="single"/>
                </w:rPr>
                <w:t>Condensed Consolidated Statements of Operations for the Three Months Ended March 31,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22">
              <w:r>
                <w:rPr>
                  <w:rStyle w:val="InternetLink"/>
                  <w:rFonts w:ascii="Times New Roman;serif" w:hAnsi="Times New Roman;serif"/>
                  <w:b w:val="false"/>
                  <w:color w:val="0000FF"/>
                  <w:sz w:val="20"/>
                  <w:u w:val="single"/>
                </w:rPr>
                <w:t>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28">
              <w:r>
                <w:rPr>
                  <w:rStyle w:val="InternetLink"/>
                  <w:rFonts w:ascii="Times New Roman;serif" w:hAnsi="Times New Roman;serif"/>
                  <w:b w:val="false"/>
                  <w:color w:val="0000FF"/>
                  <w:sz w:val="20"/>
                  <w:u w:val="single"/>
                </w:rPr>
                <w:t>Condensed Consolidated Statements of Comprehensive Income for the Three Months Ended March 31,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28">
              <w:r>
                <w:rPr>
                  <w:rStyle w:val="InternetLink"/>
                  <w:rFonts w:ascii="Times New Roman;serif" w:hAnsi="Times New Roman;serif"/>
                  <w:b w:val="false"/>
                  <w:color w:val="0000FF"/>
                  <w:sz w:val="20"/>
                  <w:u w:val="single"/>
                </w:rPr>
                <w:t>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31">
              <w:r>
                <w:rPr>
                  <w:rStyle w:val="InternetLink"/>
                  <w:rFonts w:ascii="Times New Roman;serif" w:hAnsi="Times New Roman;serif"/>
                  <w:b w:val="false"/>
                  <w:color w:val="0000FF"/>
                  <w:sz w:val="20"/>
                  <w:u w:val="single"/>
                </w:rPr>
                <w:t>Condensed Consolidated Statements of Changes in Stockholders’ Equity for the Three Months Ended March 31,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31">
              <w:r>
                <w:rPr>
                  <w:rStyle w:val="InternetLink"/>
                  <w:rFonts w:ascii="Times New Roman;serif" w:hAnsi="Times New Roman;serif"/>
                  <w:b w:val="false"/>
                  <w:color w:val="0000FF"/>
                  <w:sz w:val="20"/>
                  <w:u w:val="single"/>
                </w:rPr>
                <w:t>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34">
              <w:r>
                <w:rPr>
                  <w:rStyle w:val="InternetLink"/>
                  <w:rFonts w:ascii="Times New Roman;serif" w:hAnsi="Times New Roman;serif"/>
                  <w:b w:val="false"/>
                  <w:color w:val="0000FF"/>
                  <w:sz w:val="20"/>
                  <w:u w:val="single"/>
                </w:rPr>
                <w:t>Condensed Consolidated Statements of Cash Flows for the Three Months Ended March 31,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34">
              <w:r>
                <w:rPr>
                  <w:rStyle w:val="InternetLink"/>
                  <w:rFonts w:ascii="Times New Roman;serif" w:hAnsi="Times New Roman;serif"/>
                  <w:b w:val="false"/>
                  <w:color w:val="0000FF"/>
                  <w:sz w:val="20"/>
                  <w:u w:val="single"/>
                </w:rPr>
                <w:t>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37">
              <w:r>
                <w:rPr>
                  <w:rStyle w:val="InternetLink"/>
                  <w:rFonts w:ascii="Times New Roman;serif" w:hAnsi="Times New Roman;serif"/>
                  <w:b w:val="false"/>
                  <w:color w:val="0000FF"/>
                  <w:sz w:val="20"/>
                  <w:u w:val="single"/>
                </w:rPr>
                <w:t>Notes to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37">
              <w:r>
                <w:rPr>
                  <w:rStyle w:val="InternetLink"/>
                  <w:rFonts w:ascii="Times New Roman;serif" w:hAnsi="Times New Roman;serif"/>
                  <w:b w:val="false"/>
                  <w:color w:val="0000FF"/>
                  <w:sz w:val="20"/>
                  <w:u w:val="single"/>
                </w:rPr>
                <w:t>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0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03">
              <w:r>
                <w:rPr>
                  <w:rStyle w:val="InternetLink"/>
                  <w:rFonts w:ascii="Times New Roman;serif" w:hAnsi="Times New Roman;serif"/>
                  <w:b w:val="false"/>
                  <w:color w:val="0000FF"/>
                  <w:sz w:val="20"/>
                  <w:u w:val="single"/>
                </w:rPr>
                <w:t>23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33">
              <w:r>
                <w:rPr>
                  <w:rStyle w:val="InternetLink"/>
                  <w:rFonts w:ascii="Times New Roman;serif" w:hAnsi="Times New Roman;serif"/>
                  <w:b w:val="false"/>
                  <w:color w:val="0000FF"/>
                  <w:sz w:val="20"/>
                  <w:u w:val="single"/>
                </w:rPr>
                <w:t>ITEM 3. 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33">
              <w:r>
                <w:rPr>
                  <w:rStyle w:val="InternetLink"/>
                  <w:rFonts w:ascii="Times New Roman;serif" w:hAnsi="Times New Roman;serif"/>
                  <w:b w:val="false"/>
                  <w:color w:val="0000FF"/>
                  <w:sz w:val="20"/>
                  <w:u w:val="single"/>
                </w:rPr>
                <w:t>34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36">
              <w:r>
                <w:rPr>
                  <w:rStyle w:val="InternetLink"/>
                  <w:rFonts w:ascii="Times New Roman;serif" w:hAnsi="Times New Roman;serif"/>
                  <w:b w:val="false"/>
                  <w:color w:val="0000FF"/>
                  <w:sz w:val="20"/>
                  <w:u w:val="single"/>
                </w:rPr>
                <w:t>ITEM 4. 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36">
              <w:r>
                <w:rPr>
                  <w:rStyle w:val="InternetLink"/>
                  <w:rFonts w:ascii="Times New Roman;serif" w:hAnsi="Times New Roman;serif"/>
                  <w:b w:val="false"/>
                  <w:color w:val="0000FF"/>
                  <w:sz w:val="20"/>
                  <w:u w:val="single"/>
                </w:rPr>
                <w:t>34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II. OTHER INFORMATION</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42">
              <w:r>
                <w:rPr>
                  <w:rStyle w:val="InternetLink"/>
                  <w:rFonts w:ascii="Times New Roman;serif" w:hAnsi="Times New Roman;serif"/>
                  <w:b w:val="false"/>
                  <w:color w:val="0000FF"/>
                  <w:sz w:val="20"/>
                  <w:u w:val="single"/>
                </w:rPr>
                <w:t>ITEM 1. 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42">
              <w:r>
                <w:rPr>
                  <w:rStyle w:val="InternetLink"/>
                  <w:rFonts w:ascii="Times New Roman;serif" w:hAnsi="Times New Roman;serif"/>
                  <w:b w:val="false"/>
                  <w:color w:val="0000FF"/>
                  <w:sz w:val="20"/>
                  <w:u w:val="single"/>
                </w:rPr>
                <w:t>35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45">
              <w:r>
                <w:rPr>
                  <w:rStyle w:val="InternetLink"/>
                  <w:rFonts w:ascii="Times New Roman;serif" w:hAnsi="Times New Roman;serif"/>
                  <w:b w:val="false"/>
                  <w:color w:val="0000FF"/>
                  <w:sz w:val="20"/>
                  <w:u w:val="single"/>
                </w:rPr>
                <w:t>ITEM 1A.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45">
              <w:r>
                <w:rPr>
                  <w:rStyle w:val="InternetLink"/>
                  <w:rFonts w:ascii="Times New Roman;serif" w:hAnsi="Times New Roman;serif"/>
                  <w:b w:val="false"/>
                  <w:color w:val="0000FF"/>
                  <w:sz w:val="20"/>
                  <w:u w:val="single"/>
                </w:rPr>
                <w:t>35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48">
              <w:r>
                <w:rPr>
                  <w:rStyle w:val="InternetLink"/>
                  <w:rFonts w:ascii="Times New Roman;serif" w:hAnsi="Times New Roman;serif"/>
                  <w:b w:val="false"/>
                  <w:color w:val="0000FF"/>
                  <w:sz w:val="20"/>
                  <w:u w:val="single"/>
                </w:rPr>
                <w:t>ITEM 2. 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48">
              <w:r>
                <w:rPr>
                  <w:rStyle w:val="InternetLink"/>
                  <w:rFonts w:ascii="Times New Roman;serif" w:hAnsi="Times New Roman;serif"/>
                  <w:b w:val="false"/>
                  <w:color w:val="0000FF"/>
                  <w:sz w:val="20"/>
                  <w:u w:val="single"/>
                </w:rPr>
                <w:t>35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51">
              <w:r>
                <w:rPr>
                  <w:rStyle w:val="InternetLink"/>
                  <w:rFonts w:ascii="Times New Roman;serif" w:hAnsi="Times New Roman;serif"/>
                  <w:b w:val="false"/>
                  <w:color w:val="0000FF"/>
                  <w:sz w:val="20"/>
                  <w:u w:val="single"/>
                </w:rPr>
                <w:t>ITEM 5.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51">
              <w:r>
                <w:rPr>
                  <w:rStyle w:val="InternetLink"/>
                  <w:rFonts w:ascii="Times New Roman;serif" w:hAnsi="Times New Roman;serif"/>
                  <w:b w:val="false"/>
                  <w:color w:val="0000FF"/>
                  <w:sz w:val="20"/>
                  <w:u w:val="single"/>
                </w:rPr>
                <w:t>35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979bb79ed64f9e849fb9b6a3b6adf9_154">
              <w:r>
                <w:rPr>
                  <w:rStyle w:val="InternetLink"/>
                  <w:rFonts w:ascii="Times New Roman;serif" w:hAnsi="Times New Roman;serif"/>
                  <w:b w:val="false"/>
                  <w:color w:val="0000FF"/>
                  <w:sz w:val="20"/>
                  <w:u w:val="single"/>
                </w:rPr>
                <w:t>ITEM 6. 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9bb79ed64f9e849fb9b6a3b6adf9_154">
              <w:r>
                <w:rPr>
                  <w:rStyle w:val="InternetLink"/>
                  <w:rFonts w:ascii="Times New Roman;serif" w:hAnsi="Times New Roman;serif"/>
                  <w:b w:val="false"/>
                  <w:color w:val="0000FF"/>
                  <w:sz w:val="20"/>
                  <w:u w:val="single"/>
                </w:rPr>
                <w:t>36</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2672"/>
        <w:gridCol w:w="2284"/>
        <w:gridCol w:w="2284"/>
        <w:gridCol w:w="211"/>
        <w:gridCol w:w="976"/>
        <w:gridCol w:w="109"/>
        <w:gridCol w:w="109"/>
        <w:gridCol w:w="109"/>
        <w:gridCol w:w="109"/>
        <w:gridCol w:w="211"/>
        <w:gridCol w:w="976"/>
        <w:gridCol w:w="155"/>
      </w:tblGrid>
      <w:tr>
        <w:trPr/>
        <w:tc>
          <w:tcPr>
            <w:tcW w:w="267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Fees receivable, net of allowances of $5,000 for both periods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held-for-sale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4,066,337 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8,085,400 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held-for-sale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4,072,092 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net of deferred financing fees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7,765,492 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Stockholders’ Equity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none issued or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$0.0005 par value, 250,000,000 shares authorized; 163,602,067 shares issued for both periods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95,724,933 and 92,752,769 common shares,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(9,040,498)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Stockholders’ Equity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8,085,400 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6925" w:type="dxa"/>
        <w:jc w:val="center"/>
        <w:tblInd w:w="0" w:type="dxa"/>
        <w:tblLayout w:type="fixed"/>
        <w:tblCellMar>
          <w:top w:w="28" w:type="dxa"/>
          <w:left w:w="28" w:type="dxa"/>
          <w:bottom w:w="28" w:type="dxa"/>
          <w:right w:w="28" w:type="dxa"/>
        </w:tblCellMar>
      </w:tblPr>
      <w:tblGrid>
        <w:gridCol w:w="1277"/>
        <w:gridCol w:w="1117"/>
        <w:gridCol w:w="1131"/>
        <w:gridCol w:w="211"/>
        <w:gridCol w:w="976"/>
        <w:gridCol w:w="109"/>
        <w:gridCol w:w="109"/>
        <w:gridCol w:w="109"/>
        <w:gridCol w:w="109"/>
        <w:gridCol w:w="211"/>
        <w:gridCol w:w="976"/>
        <w:gridCol w:w="109"/>
        <w:gridCol w:w="109"/>
        <w:gridCol w:w="109"/>
        <w:gridCol w:w="109"/>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GARTNER, INC</w:t>
      </w:r>
      <w:r>
        <w:rPr>
          <w:rFonts w:ascii="Times New Roman;serif" w:hAnsi="Times New Roman;serif"/>
          <w:b w:val="false"/>
          <w:color w:val="000000"/>
          <w:sz w:val="20"/>
        </w:rPr>
        <w:t xml:space="preserve">. </w:t>
      </w:r>
      <w:r>
        <w:rPr>
          <w:rFonts w:ascii="Times New Roman;serif" w:hAnsi="Times New Roman;serif"/>
          <w:b/>
          <w:color w:val="000000"/>
          <w:sz w:val="20"/>
        </w:rPr>
        <w:t>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7660" w:type="dxa"/>
        <w:jc w:val="center"/>
        <w:tblInd w:w="0" w:type="dxa"/>
        <w:tblLayout w:type="fixed"/>
        <w:tblCellMar>
          <w:top w:w="28" w:type="dxa"/>
          <w:left w:w="28" w:type="dxa"/>
          <w:bottom w:w="28" w:type="dxa"/>
          <w:right w:w="28" w:type="dxa"/>
        </w:tblCellMar>
      </w:tblPr>
      <w:tblGrid>
        <w:gridCol w:w="1651"/>
        <w:gridCol w:w="1447"/>
        <w:gridCol w:w="1462"/>
        <w:gridCol w:w="211"/>
        <w:gridCol w:w="826"/>
        <w:gridCol w:w="109"/>
        <w:gridCol w:w="109"/>
        <w:gridCol w:w="109"/>
        <w:gridCol w:w="109"/>
        <w:gridCol w:w="211"/>
        <w:gridCol w:w="826"/>
        <w:gridCol w:w="109"/>
        <w:gridCol w:w="109"/>
        <w:gridCol w:w="109"/>
        <w:gridCol w:w="109"/>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net change in deferred gain or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plans – net change in deferred actuarial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left"/>
        <w:rPr/>
      </w:pPr>
      <w:r>
        <w:rPr/>
      </w:r>
    </w:p>
    <w:p>
      <w:pPr>
        <w:pStyle w:val="TextBody"/>
        <w:bidi w:val="0"/>
        <w:spacing w:before="0" w:after="0"/>
        <w:jc w:val="both"/>
        <w:rPr/>
      </w:pPr>
      <w:r>
        <w:rPr/>
      </w:r>
    </w:p>
    <w:tbl>
      <w:tblPr>
        <w:tblW w:w="1039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92" w:type="dxa"/>
            <w:gridSpan w:val="3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54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9384" w:type="dxa"/>
        <w:jc w:val="center"/>
        <w:tblInd w:w="0" w:type="dxa"/>
        <w:tblLayout w:type="fixed"/>
        <w:tblCellMar>
          <w:top w:w="28" w:type="dxa"/>
          <w:left w:w="28" w:type="dxa"/>
          <w:bottom w:w="28" w:type="dxa"/>
          <w:right w:w="28" w:type="dxa"/>
        </w:tblCellMar>
      </w:tblPr>
      <w:tblGrid>
        <w:gridCol w:w="2325"/>
        <w:gridCol w:w="2040"/>
        <w:gridCol w:w="2055"/>
        <w:gridCol w:w="211"/>
        <w:gridCol w:w="976"/>
        <w:gridCol w:w="109"/>
        <w:gridCol w:w="109"/>
        <w:gridCol w:w="109"/>
        <w:gridCol w:w="109"/>
        <w:gridCol w:w="211"/>
        <w:gridCol w:w="976"/>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6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 of deferred financing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de-designated swaps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divestitures: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equipment and 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divested operation, net of cash transferred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beginning of period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end of period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 — Business and Basis of Presentation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Business.</w:t>
      </w:r>
      <w:r>
        <w:rPr>
          <w:color w:val="000000"/>
        </w:rPr>
        <w:t xml:space="preserve"> </w:t>
      </w:r>
      <w:r>
        <w:rPr>
          <w:rFonts w:ascii="Times New Roman;serif" w:hAnsi="Times New Roman;serif"/>
          <w:b w:val="false"/>
          <w:color w:val="000000"/>
          <w:sz w:val="20"/>
          <w:shd w:fill="FFFFFF" w:val="clear"/>
        </w:rPr>
        <w:t>Gartner, Inc. (NYSE: IT)</w:t>
      </w:r>
      <w:r>
        <w:rPr>
          <w:color w:val="000000"/>
        </w:rPr>
        <w:t xml:space="preserve"> </w:t>
      </w:r>
      <w:r>
        <w:rPr>
          <w:rFonts w:ascii="Times New Roman;serif" w:hAnsi="Times New Roman;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Segments</w:t>
      </w:r>
      <w:r>
        <w:rPr>
          <w:rFonts w:ascii="Times New Roman;serif" w:hAnsi="Times New Roman;serif"/>
          <w:b w:val="false"/>
          <w:color w:val="000000"/>
          <w:sz w:val="20"/>
        </w:rPr>
        <w:t xml:space="preserve">. Gartner delivers its products and services globally through three reportable segments: Business and Technology Insights (or “Insights”), Conferences and Consulting. Revenues and other financial information for the Company’s segments are discussed in Note 7 — Segment Information.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Basis of presentation</w:t>
      </w:r>
      <w:r>
        <w:rPr>
          <w:rFonts w:ascii="Times New Roman;serif" w:hAnsi="Times New Roman;serif"/>
          <w:b w:val="false"/>
          <w:color w:val="000000"/>
          <w:sz w:val="20"/>
        </w:rPr>
        <w:t>. The accompanying interim Condensed Consolidated Financial Statements have been prepared in accordance with generally accepted 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months ended March 31, 2026 may not be indicative of the results of operations for the remainder of 2026 or beyond. When used in these notes, the terms “Gartner,” the “Company,” “we,” “us,” or “our” refer to Gartner, Inc. and its consolidated subsidiaries.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Principles of consolidation</w:t>
      </w:r>
      <w:r>
        <w:rPr>
          <w:rFonts w:ascii="Times New Roman;serif" w:hAnsi="Times New Roman;serif"/>
          <w:b w:val="false"/>
          <w:color w:val="000000"/>
          <w:sz w:val="20"/>
        </w:rPr>
        <w:t>. The accompanying interim Condensed Consolidated Financial Statements include the accounts of the Company and its wholly-owned subsidiaries. All intercompany transactions and balances have been eliminated.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Use of estimates</w:t>
      </w:r>
      <w:r>
        <w:rPr>
          <w:rFonts w:ascii="Times New Roman;serif" w:hAnsi="Times New Roman;serif"/>
          <w:b w:val="false"/>
          <w:color w:val="000000"/>
          <w:sz w:val="20"/>
        </w:rPr>
        <w:t>. The preparation of the accompanying interim Condensed Consolidated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Revenue recognition. </w:t>
      </w:r>
      <w:r>
        <w:rPr>
          <w:rFonts w:ascii="Times New Roman;serif" w:hAnsi="Times New Roman;serif"/>
          <w:b w:val="false"/>
          <w:color w:val="000000"/>
          <w:sz w:val="20"/>
        </w:rPr>
        <w:t xml:space="preserve">Revenue is recognized in accordance with the requirements of FASB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4 — Revenue and Related Matters provides additional information regarding the Company’s revenues.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Adoption of new accounting standard</w:t>
      </w:r>
      <w:r>
        <w:rPr>
          <w:rFonts w:ascii="Times New Roman;serif" w:hAnsi="Times New Roman;serif"/>
          <w:b w:val="false"/>
          <w:color w:val="000000"/>
          <w:sz w:val="20"/>
        </w:rPr>
        <w:t>. The Company adopted the accounting standard described below during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Credit Losses</w:t>
      </w:r>
      <w:r>
        <w:rPr>
          <w:color w:val="000000"/>
        </w:rPr>
        <w:t xml:space="preserve">— </w:t>
      </w:r>
      <w:r>
        <w:rPr>
          <w:rFonts w:ascii="Times New Roman;serif" w:hAnsi="Times New Roman;serif"/>
          <w:b w:val="false"/>
          <w:color w:val="000000"/>
          <w:sz w:val="20"/>
        </w:rPr>
        <w:t>In July 2025, the FASB issued ASU 2025-05</w:t>
      </w:r>
      <w:r>
        <w:rPr>
          <w:rFonts w:ascii="Times New Roman;serif" w:hAnsi="Times New Roman;serif"/>
          <w:b w:val="false"/>
          <w:i/>
          <w:color w:val="000000"/>
          <w:sz w:val="20"/>
        </w:rPr>
        <w:t xml:space="preserve">, Financial Instruments – Credit Losses (Topic 326) </w:t>
      </w:r>
      <w:r>
        <w:rPr>
          <w:rFonts w:ascii="Times New Roman;serif" w:hAnsi="Times New Roman;serif"/>
          <w:b w:val="false"/>
          <w:color w:val="000000"/>
          <w:sz w:val="20"/>
        </w:rPr>
        <w:t>(“ASU 2025-05”). The amendments in this ASU introduce a practical expedient for all entities related to applying Subtopic 326-20 to current accounts receivable and current contract assets arising from transactions accounted for under Topic 606. In developing reasonable and supportable forecasts as part of estimating expected credit losses, all entities may elect a practical expedient that assumes that current conditions as of the balance sheet date do not change for the remaining life of the asset. The amendments are expected to provide decision-useful information to investors and other financial statement users while reducing the time and effort necessary to analyze and estimate credit losses for current accounts receivable and current contract assets. The amendments were effective for annual reporting periods beginning after December 15, 2025, and interim reporting periods within those annual reporting periods. Early adoption was permitted in both interim and annual reporting periods in which financial statements have not yet been issued or made available for issuance. The Company adopted ASU 2025-05 effective in 2026 and the adoption had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Accounting standards issued but not yet adopted. </w:t>
      </w:r>
      <w:r>
        <w:rPr>
          <w:rFonts w:ascii="Times New Roman;serif" w:hAnsi="Times New Roman;serif"/>
          <w:b w:val="false"/>
          <w:color w:val="000000"/>
          <w:sz w:val="20"/>
        </w:rPr>
        <w:t>The FASB has issued accounting standards that have not yet become effective as of March 31, 2026 and may impact the Company’s Consolidated Financial Statements or related disclosures in future periods. The standards and their potential impacts are discussed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Statement</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 Expense Disaggregation Disclosures </w:t>
      </w:r>
      <w:r>
        <w:rPr>
          <w:rFonts w:ascii="Times New Roman;serif" w:hAnsi="Times New Roman;serif"/>
          <w:b w:val="false"/>
          <w:color w:val="000000"/>
          <w:sz w:val="20"/>
        </w:rPr>
        <w:t>(“ASU No. 2024-03”). The amendments in this ASU are expected to improve the disclosures about a public business entity’s expenses and address 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reporting periods with fiscal years beginning after December 15, 2026, and interim reporting periods in fiscal years beginning after December 15, 2027. The Company expects this ASU to only impact its disclosures with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Internal-use Software</w:t>
      </w:r>
      <w:r>
        <w:rPr>
          <w:color w:val="000000"/>
        </w:rPr>
        <w:t xml:space="preserve">— </w:t>
      </w:r>
      <w:r>
        <w:rPr>
          <w:rFonts w:ascii="Times New Roman;serif" w:hAnsi="Times New Roman;serif"/>
          <w:b w:val="false"/>
          <w:color w:val="000000"/>
          <w:sz w:val="20"/>
        </w:rPr>
        <w:t xml:space="preserve">In September 2025, the FASB issued </w:t>
      </w:r>
      <w:r>
        <w:rPr>
          <w:rFonts w:ascii="Times New Roman;serif" w:hAnsi="Times New Roman;serif"/>
          <w:b w:val="false"/>
          <w:i/>
          <w:color w:val="000000"/>
          <w:sz w:val="20"/>
        </w:rPr>
        <w:t>ASU 2025-06, Intangibles-Goodwill and Other-Internal Use Software (Subtopic 350-40)</w:t>
      </w:r>
      <w:r>
        <w:rPr>
          <w:rFonts w:ascii="Times New Roman;serif" w:hAnsi="Times New Roman;serif"/>
          <w:b w:val="false"/>
          <w:color w:val="000000"/>
          <w:sz w:val="20"/>
        </w:rPr>
        <w:t>. The amendments in this ASU remove all references to project stages, and requires entities to start capitalizing software costs when (1) management has authorized and committed to funding the software project and (2) it is probable that the project will be completed and the software will be used to perform the function intended. The amendments are effective for annual reporting periods with fiscal years beginning after December 15, 2027, and interim reporting periods within those annual reporting periods. The Company expects this ASU will not have a material impact to the Company's results of operations, cash flows, or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2 — Divestiture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completed the sale of its Digital Markets business, for approximately $104.8 million net of cash transferred, subject to post-close adjustments. The Company recorded a pre-tax gain of $6.1 million on the sale, which is included in Gain from sale of divested operation in the Consolidated Statement of Operations during the three months ended March 31, 2026. The Digital Markets business was included in the Company’s Other segment.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test is performed. Evaluating the recoverability of goodwill requires judgments and assumptions regarding future trends and events. As a result, both the precision and reliability of the estimates are subject to uncertainty.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most recent annual impairment test of goodwill was a quantitative analysis conducted during the quarter ended September 30, 2025 that indicated an impairment of the Company’s Digital Markets reporting unit. During the three months ended September 30, 2025, ongoing weakness in the market as well as changes in the Company’s internal organization structure prompted a revision to the long-term earnings forecast for the Digital Markets business. During the three months ended September 30, 2025, a goodwill impairment loss of $150.0 million was recognized in the Digital Markets reporting unit. Subsequent to completing the 2025 annual impairment test, there were no events or changes in circumstances noted that required an interim impairment test.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changes to the carrying amount of goodwill by segment during the three months ended March 31, 2026 (in thousands).</w:t>
      </w:r>
    </w:p>
    <w:tbl>
      <w:tblPr>
        <w:tblW w:w="9083" w:type="dxa"/>
        <w:jc w:val="left"/>
        <w:tblInd w:w="0" w:type="dxa"/>
        <w:tblLayout w:type="fixed"/>
        <w:tblCellMar>
          <w:top w:w="28" w:type="dxa"/>
          <w:left w:w="28" w:type="dxa"/>
          <w:bottom w:w="28" w:type="dxa"/>
          <w:right w:w="28" w:type="dxa"/>
        </w:tblCellMar>
      </w:tblPr>
      <w:tblGrid>
        <w:gridCol w:w="1107"/>
        <w:gridCol w:w="973"/>
        <w:gridCol w:w="980"/>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97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impact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March 31, 2026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reconciliations of the carrying amounts of the Company’s finite-lived intangible assets as of the dates indicated (in thousands).</w:t>
      </w:r>
    </w:p>
    <w:tbl>
      <w:tblPr>
        <w:tblW w:w="7719" w:type="dxa"/>
        <w:jc w:val="left"/>
        <w:tblInd w:w="0" w:type="dxa"/>
        <w:tblLayout w:type="fixed"/>
        <w:tblCellMar>
          <w:top w:w="28" w:type="dxa"/>
          <w:left w:w="28" w:type="dxa"/>
          <w:bottom w:w="28" w:type="dxa"/>
          <w:right w:w="28" w:type="dxa"/>
        </w:tblCellMar>
      </w:tblPr>
      <w:tblGrid>
        <w:gridCol w:w="1107"/>
        <w:gridCol w:w="975"/>
        <w:gridCol w:w="978"/>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impact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1"/>
        <w:gridCol w:w="976"/>
        <w:gridCol w:w="109"/>
        <w:gridCol w:w="109"/>
        <w:gridCol w:w="109"/>
        <w:gridCol w:w="109"/>
        <w:gridCol w:w="109"/>
        <w:gridCol w:w="109"/>
        <w:gridCol w:w="211"/>
        <w:gridCol w:w="721"/>
        <w:gridCol w:w="109"/>
        <w:gridCol w:w="109"/>
        <w:gridCol w:w="109"/>
        <w:gridCol w:w="109"/>
        <w:gridCol w:w="211"/>
        <w:gridCol w:w="97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Finite-lived intangible assets are amortized using the straight-line method over the following periods: Customer relationships—6 to 13 years and Other—11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finite-lived intangible assets was $20.1 million and $21.9 million during the three months ended March 31, 2026 and 2025, respectively. The estimated future amortization expense by year for finite-lived intangible assets is presented in the table below (in thousands).</w:t>
      </w:r>
    </w:p>
    <w:p>
      <w:pPr>
        <w:pStyle w:val="TextBody"/>
        <w:bidi w:val="0"/>
        <w:spacing w:before="0" w:after="0"/>
        <w:jc w:val="both"/>
        <w:rPr/>
      </w:pPr>
      <w:r>
        <w:rPr/>
      </w:r>
    </w:p>
    <w:tbl>
      <w:tblPr>
        <w:tblW w:w="3770" w:type="dxa"/>
        <w:jc w:val="left"/>
        <w:tblInd w:w="0" w:type="dxa"/>
        <w:tblLayout w:type="fixed"/>
        <w:tblCellMar>
          <w:top w:w="28" w:type="dxa"/>
          <w:left w:w="28" w:type="dxa"/>
          <w:bottom w:w="28" w:type="dxa"/>
          <w:right w:w="28" w:type="dxa"/>
        </w:tblCellMar>
      </w:tblPr>
      <w:tblGrid>
        <w:gridCol w:w="933"/>
        <w:gridCol w:w="820"/>
        <w:gridCol w:w="826"/>
        <w:gridCol w:w="211"/>
        <w:gridCol w:w="82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4 — Revenue and Related Matters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Disaggregated Revenue</w:t>
      </w:r>
      <w:r>
        <w:rPr>
          <w:color w:val="000000"/>
        </w:rPr>
        <w:t xml:space="preserve"> — </w:t>
      </w:r>
      <w:r>
        <w:rPr>
          <w:rFonts w:ascii="Times New Roman;serif" w:hAnsi="Times New Roman;serif"/>
          <w:b w:val="false"/>
          <w:color w:val="000000"/>
          <w:sz w:val="20"/>
        </w:rPr>
        <w:t xml:space="preserve">The Company’s disaggregated revenue by reportable segment is presented in the tables below for the periods indicated (in thousands). </w:t>
      </w:r>
    </w:p>
    <w:p>
      <w:pPr>
        <w:pStyle w:val="TextBody"/>
        <w:bidi w:val="0"/>
        <w:spacing w:before="0" w:after="0"/>
        <w:jc w:val="both"/>
        <w:rPr/>
      </w:pPr>
      <w:r>
        <w:rPr/>
      </w:r>
    </w:p>
    <w:tbl>
      <w:tblPr>
        <w:tblW w:w="9235" w:type="dxa"/>
        <w:jc w:val="left"/>
        <w:tblInd w:w="0" w:type="dxa"/>
        <w:tblLayout w:type="fixed"/>
        <w:tblCellMar>
          <w:top w:w="28" w:type="dxa"/>
          <w:left w:w="28" w:type="dxa"/>
          <w:bottom w:w="28" w:type="dxa"/>
          <w:right w:w="28" w:type="dxa"/>
        </w:tblCellMar>
      </w:tblPr>
      <w:tblGrid>
        <w:gridCol w:w="1185"/>
        <w:gridCol w:w="1040"/>
        <w:gridCol w:w="1045"/>
        <w:gridCol w:w="211"/>
        <w:gridCol w:w="976"/>
        <w:gridCol w:w="109"/>
        <w:gridCol w:w="231"/>
        <w:gridCol w:w="790"/>
        <w:gridCol w:w="120"/>
        <w:gridCol w:w="211"/>
        <w:gridCol w:w="826"/>
        <w:gridCol w:w="109"/>
        <w:gridCol w:w="211"/>
        <w:gridCol w:w="721"/>
        <w:gridCol w:w="109"/>
        <w:gridCol w:w="211"/>
        <w:gridCol w:w="97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 Primary Geographic Market (1)</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(1)Revenue is reported based on where the sale is fulfilled.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 is generated primarily through direct sales to clients by domestic and international sales forces and a network of independent international sales agents.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By Timing of Revenue Recognition</w:t>
      </w:r>
    </w:p>
    <w:p>
      <w:pPr>
        <w:pStyle w:val="TextBody"/>
        <w:bidi w:val="0"/>
        <w:spacing w:before="0" w:after="0"/>
        <w:jc w:val="both"/>
        <w:rPr/>
      </w:pPr>
      <w:r>
        <w:rPr/>
      </w:r>
    </w:p>
    <w:tbl>
      <w:tblPr>
        <w:tblW w:w="9234" w:type="dxa"/>
        <w:jc w:val="left"/>
        <w:tblInd w:w="0" w:type="dxa"/>
        <w:tblLayout w:type="fixed"/>
        <w:tblCellMar>
          <w:top w:w="28" w:type="dxa"/>
          <w:left w:w="28" w:type="dxa"/>
          <w:bottom w:w="28" w:type="dxa"/>
          <w:right w:w="28" w:type="dxa"/>
        </w:tblCellMar>
      </w:tblPr>
      <w:tblGrid>
        <w:gridCol w:w="1184"/>
        <w:gridCol w:w="1040"/>
        <w:gridCol w:w="1045"/>
        <w:gridCol w:w="211"/>
        <w:gridCol w:w="976"/>
        <w:gridCol w:w="109"/>
        <w:gridCol w:w="231"/>
        <w:gridCol w:w="790"/>
        <w:gridCol w:w="120"/>
        <w:gridCol w:w="211"/>
        <w:gridCol w:w="826"/>
        <w:gridCol w:w="109"/>
        <w:gridCol w:w="211"/>
        <w:gridCol w:w="721"/>
        <w:gridCol w:w="109"/>
        <w:gridCol w:w="211"/>
        <w:gridCol w:w="97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(1)Insights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revenues in this category are recognized in connection with performance obligations that are satisfied at the point in time that the contractual deliverables are provided to the customer.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Performance Obligations</w:t>
      </w:r>
      <w:r>
        <w:rPr>
          <w:color w:val="000000"/>
        </w:rPr>
        <w:t xml:space="preserve"> — </w:t>
      </w:r>
      <w:r>
        <w:rPr>
          <w:rFonts w:ascii="Times New Roman;serif" w:hAnsi="Times New Roman;serif"/>
          <w:b w:val="false"/>
          <w:color w:val="000000"/>
          <w:sz w:val="20"/>
        </w:rPr>
        <w:t>For customer contracts that are greater than one year in duration, the aggregate amount of the transaction price allocated to performance obligations that were unsatisfied (or partially unsatisfied) as of March 31, 2026 was approximately $6.6 billion. The Company expects to recognize $3.2 billion, $2.6 billion and $0.8 billion of this revenue (most of which pertains to Insights) during the remainder of 2026, the year ending December 31, 2027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Insights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Customer Contract Assets and Liabilities</w:t>
      </w:r>
      <w:r>
        <w:rPr>
          <w:color w:val="000000"/>
        </w:rPr>
        <w:t xml:space="preserve"> — </w:t>
      </w:r>
      <w:r>
        <w:rPr>
          <w:rFonts w:ascii="Times New Roman;serif" w:hAnsi="Times New Roman;serif"/>
          <w:b w:val="false"/>
          <w:color w:val="000000"/>
          <w:sz w:val="20"/>
        </w:rPr>
        <w:t>The timing of the recognition of revenue and the amount and timing of the Company’s billings and cash 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pStyle w:val="TextBody"/>
        <w:bidi w:val="0"/>
        <w:spacing w:before="0" w:after="0"/>
        <w:jc w:val="both"/>
        <w:rPr/>
      </w:pPr>
      <w:r>
        <w:rPr/>
      </w:r>
    </w:p>
    <w:tbl>
      <w:tblPr>
        <w:tblW w:w="8903" w:type="dxa"/>
        <w:jc w:val="center"/>
        <w:tblInd w:w="0" w:type="dxa"/>
        <w:tblLayout w:type="fixed"/>
        <w:tblCellMar>
          <w:top w:w="28" w:type="dxa"/>
          <w:left w:w="28" w:type="dxa"/>
          <w:bottom w:w="28" w:type="dxa"/>
          <w:right w:w="28" w:type="dxa"/>
        </w:tblCellMar>
      </w:tblPr>
      <w:tblGrid>
        <w:gridCol w:w="2143"/>
        <w:gridCol w:w="1888"/>
        <w:gridCol w:w="1908"/>
        <w:gridCol w:w="211"/>
        <w:gridCol w:w="976"/>
        <w:gridCol w:w="109"/>
        <w:gridCol w:w="109"/>
        <w:gridCol w:w="109"/>
        <w:gridCol w:w="109"/>
        <w:gridCol w:w="211"/>
        <w:gridCol w:w="976"/>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gross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recorded in Prepaid expenses and other current assets (2)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Contract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(current liability) (3)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revenues recorded in Other liabilities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(1)Fees receivable represent an unconditional right to payment from the Company’s customers and include both billed and unbilled amounts.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(2)Contract assets represent recognized revenue for which the Company does not have an unconditional right to payment as of the balance sheet date because the project may be subject to a progress billing milestone or some other billing restrictions.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(3)Deferred revenues represent amounts (i) for which the Company has received an upfront customer payment or (ii) that pertain to recognized fees receivable. Both situations occur before the completion of the Company’s performance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recognized revenue of $1.1 billion and $1.0 billion during the three months ended March 31, 2026 and 2025, respectively, that was attributable to deferred revenues that were recorded at the beginning of each such period. Those amounts primarily consisted of Insights revenues that were recognized ratably as control of the goods or services passed to the customer during the reporting periods. During each of the </w:t>
      </w:r>
      <w:r>
        <w:rPr>
          <w:rFonts w:ascii="Times New Roman;serif" w:hAnsi="Times New Roman;serif"/>
          <w:b w:val="false"/>
          <w:color w:val="000000"/>
          <w:sz w:val="20"/>
          <w:shd w:fill="FFFFFF" w:val="clear"/>
        </w:rPr>
        <w:t xml:space="preserve">three </w:t>
      </w:r>
      <w:r>
        <w:rPr>
          <w:rFonts w:ascii="Times New Roman;serif" w:hAnsi="Times New Roman;serif"/>
          <w:b w:val="false"/>
          <w:color w:val="000000"/>
          <w:sz w:val="20"/>
        </w:rPr>
        <w:t xml:space="preserve">months ended March 31, 2026 and 2025, the Company did not record any material impairments related to its contract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Computation of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calculation of basic and diluted income per share for the periods indicated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0"/>
        <w:gridCol w:w="2152"/>
        <w:gridCol w:w="2165"/>
        <w:gridCol w:w="109"/>
        <w:gridCol w:w="109"/>
        <w:gridCol w:w="109"/>
        <w:gridCol w:w="211"/>
        <w:gridCol w:w="826"/>
        <w:gridCol w:w="109"/>
        <w:gridCol w:w="109"/>
        <w:gridCol w:w="109"/>
        <w:gridCol w:w="109"/>
        <w:gridCol w:w="211"/>
        <w:gridCol w:w="826"/>
        <w:gridCol w:w="109"/>
        <w:gridCol w:w="109"/>
        <w:gridCol w:w="109"/>
        <w:gridCol w:w="109"/>
        <w:gridCol w:w="155"/>
      </w:tblGrid>
      <w:tr>
        <w:trPr/>
        <w:tc>
          <w:tcPr>
            <w:tcW w:w="246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for calculating basic and diluted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common shares used in the calculation of basic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awards associated with stock-based compensation plans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used in the calculation of 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000000"/>
          <w:sz w:val="22"/>
        </w:rPr>
        <w:t>(1)</w:t>
      </w:r>
      <w:r>
        <w:rPr>
          <w:rFonts w:ascii="Times New Roman;serif" w:hAnsi="Times New Roman;serif"/>
          <w:b w:val="false"/>
          <w:color w:val="000000"/>
          <w:sz w:val="20"/>
        </w:rPr>
        <w:t>Certain outstanding awards associated with stock-based compensation plans were not included in the computation of diluted income per share because the effect would have been anti-dilutive. These anti-dilutive outstanding awards associated with stock-based compensation plans was 0.8 million and 0.2 million for the three months ended March 31, 2026 and March 31,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6 — Stock-Based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March 31, 2026, the Company had 3.9 million shares of its common stock, par value $0.0005 per share, (the “Common Stock”) available for stock-based compensation awards under the Gartner, Inc. Long-Term Incentive Plan as amended and restated in June 2023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summarize the Company’s stock-based compensation expense by award type and expense category line item during the periods indicated (in millions).</w:t>
      </w:r>
    </w:p>
    <w:tbl>
      <w:tblPr>
        <w:tblW w:w="5137" w:type="dxa"/>
        <w:jc w:val="left"/>
        <w:tblInd w:w="0" w:type="dxa"/>
        <w:tblLayout w:type="fixed"/>
        <w:tblCellMar>
          <w:top w:w="28" w:type="dxa"/>
          <w:left w:w="28" w:type="dxa"/>
          <w:bottom w:w="28" w:type="dxa"/>
          <w:right w:w="28" w:type="dxa"/>
        </w:tblCellMar>
      </w:tblPr>
      <w:tblGrid>
        <w:gridCol w:w="845"/>
        <w:gridCol w:w="744"/>
        <w:gridCol w:w="751"/>
        <w:gridCol w:w="109"/>
        <w:gridCol w:w="109"/>
        <w:gridCol w:w="109"/>
        <w:gridCol w:w="211"/>
        <w:gridCol w:w="511"/>
        <w:gridCol w:w="109"/>
        <w:gridCol w:w="109"/>
        <w:gridCol w:w="109"/>
        <w:gridCol w:w="109"/>
        <w:gridCol w:w="211"/>
        <w:gridCol w:w="511"/>
        <w:gridCol w:w="109"/>
        <w:gridCol w:w="109"/>
        <w:gridCol w:w="109"/>
        <w:gridCol w:w="109"/>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321" w:type="dxa"/>
        <w:jc w:val="left"/>
        <w:tblInd w:w="0" w:type="dxa"/>
        <w:tblLayout w:type="fixed"/>
        <w:tblCellMar>
          <w:top w:w="28" w:type="dxa"/>
          <w:left w:w="28" w:type="dxa"/>
          <w:bottom w:w="28" w:type="dxa"/>
          <w:right w:w="28" w:type="dxa"/>
        </w:tblCellMar>
      </w:tblPr>
      <w:tblGrid>
        <w:gridCol w:w="1275"/>
        <w:gridCol w:w="1120"/>
        <w:gridCol w:w="1129"/>
        <w:gridCol w:w="109"/>
        <w:gridCol w:w="109"/>
        <w:gridCol w:w="109"/>
        <w:gridCol w:w="211"/>
        <w:gridCol w:w="511"/>
        <w:gridCol w:w="109"/>
        <w:gridCol w:w="109"/>
        <w:gridCol w:w="109"/>
        <w:gridCol w:w="109"/>
        <w:gridCol w:w="211"/>
        <w:gridCol w:w="511"/>
        <w:gridCol w:w="109"/>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 category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000000"/>
          <w:sz w:val="22"/>
        </w:rPr>
        <w:t>(1)</w:t>
      </w:r>
      <w:r>
        <w:rPr>
          <w:rFonts w:ascii="Times New Roman;serif" w:hAnsi="Times New Roman;serif"/>
          <w:b w:val="false"/>
          <w:color w:val="000000"/>
          <w:sz w:val="20"/>
        </w:rPr>
        <w:t>Includes costs of $23.5 million and $28.0 million during the three months ended March 31, 2026 and 2025, respectively, for awards to retirement-eligible employees. Those awards are expensed on an accelerated basis.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7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products and services are delivered through three reportable segments – Business and Technology Insights, or “Insights”, Conferences and Consulting,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Insights</w:t>
      </w:r>
      <w:r>
        <w:rPr>
          <w:color w:val="000000"/>
        </w:rPr>
        <w:t xml:space="preserve"> </w:t>
      </w:r>
      <w:r>
        <w:rPr>
          <w:rFonts w:ascii="Times New Roman;serif" w:hAnsi="Times New Roman;serif"/>
          <w:b w:val="false"/>
          <w:color w:val="000000"/>
          <w:sz w:val="20"/>
        </w:rPr>
        <w:t>equips executives and their teams from every function and across all industries with actionable, objective business and technology insights,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industry-leading conferences to peer-driven communities – each focused on the mission-critical priorities of specific business roles – our offerings enable attendees to experience the best of Gartner insights and guidance.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insights. Through custom analysis and on-the-ground support we enable optimized technology investments and stronger performance on our clients’ mission 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its chief operating decision maker (CODM). The CODM evaluates segment performance and allocates resources based on gross contribution. Gross contribution, as presented in the tables below, is defined as operating income or loss excluding certain Cost of services and product development expenses, Selling, general and administrative expenses, Depreciation, Amortization of intangibles and Gain from sale of divested operation. Certain bonus and fringe benefit costs included in consolidated Cost of services and product development are not allocated to segment expense. The CODM uses gross contribution to allocate resources (including financial resources and employees) for each segment primarily in the Company's annual budgeting process. The CODM then monitors budgeted versus actual results regularly to assess segment operating performance, identify business trends, and modify resource allocations as needed.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present information about the Company’s reportable segments for the periods indicated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8"/>
        <w:gridCol w:w="1317"/>
        <w:gridCol w:w="1323"/>
        <w:gridCol w:w="211"/>
        <w:gridCol w:w="976"/>
        <w:gridCol w:w="109"/>
        <w:gridCol w:w="231"/>
        <w:gridCol w:w="790"/>
        <w:gridCol w:w="120"/>
        <w:gridCol w:w="211"/>
        <w:gridCol w:w="826"/>
        <w:gridCol w:w="109"/>
        <w:gridCol w:w="211"/>
        <w:gridCol w:w="721"/>
        <w:gridCol w:w="109"/>
        <w:gridCol w:w="211"/>
        <w:gridCol w:w="976"/>
        <w:gridCol w:w="156"/>
      </w:tblGrid>
      <w:tr>
        <w:trPr/>
        <w:tc>
          <w:tcPr>
            <w:tcW w:w="15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8"/>
        <w:gridCol w:w="1317"/>
        <w:gridCol w:w="1323"/>
        <w:gridCol w:w="211"/>
        <w:gridCol w:w="976"/>
        <w:gridCol w:w="109"/>
        <w:gridCol w:w="231"/>
        <w:gridCol w:w="790"/>
        <w:gridCol w:w="120"/>
        <w:gridCol w:w="211"/>
        <w:gridCol w:w="826"/>
        <w:gridCol w:w="109"/>
        <w:gridCol w:w="211"/>
        <w:gridCol w:w="721"/>
        <w:gridCol w:w="109"/>
        <w:gridCol w:w="211"/>
        <w:gridCol w:w="976"/>
        <w:gridCol w:w="156"/>
      </w:tblGrid>
      <w:tr>
        <w:trPr/>
        <w:tc>
          <w:tcPr>
            <w:tcW w:w="15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1,534,130 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includes the Company's Digital Markets operating segment, which was divested during the three months ended March 31, 2026. See Note 2 — Divestiture for additional information.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expenses consists primarily of travel and entertainment and workplace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8 —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total outstanding borrowings are summarized in the table below (in thousands).</w:t>
      </w:r>
    </w:p>
    <w:tbl>
      <w:tblPr>
        <w:tblW w:w="8256" w:type="dxa"/>
        <w:jc w:val="left"/>
        <w:tblInd w:w="0" w:type="dxa"/>
        <w:tblLayout w:type="fixed"/>
        <w:tblCellMar>
          <w:top w:w="28" w:type="dxa"/>
          <w:left w:w="28" w:type="dxa"/>
          <w:bottom w:w="28" w:type="dxa"/>
          <w:right w:w="28" w:type="dxa"/>
        </w:tblCellMar>
      </w:tblPr>
      <w:tblGrid>
        <w:gridCol w:w="1799"/>
        <w:gridCol w:w="1581"/>
        <w:gridCol w:w="1585"/>
        <w:gridCol w:w="109"/>
        <w:gridCol w:w="109"/>
        <w:gridCol w:w="109"/>
        <w:gridCol w:w="211"/>
        <w:gridCol w:w="976"/>
        <w:gridCol w:w="109"/>
        <w:gridCol w:w="109"/>
        <w:gridCol w:w="109"/>
        <w:gridCol w:w="109"/>
        <w:gridCol w:w="211"/>
        <w:gridCol w:w="97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Credit Agreement - Revolving credit facility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4.50% Senior Notes due 2028 (“2028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3.63% Senior Notes due 2029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3.75% Senior Notes due 2030 (“2030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 Senior Notes due 2031 (“2031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 Senior Notes due 2035 (“2035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outstanding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financing fees and unamortized discounts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sheet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had approximately $1.0 billion of available borrowing capacity on the 2024 Credit Agreement revolver (not including the expansion feature) as of March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(2)Consists of a State of Connecticut economic development loan originated in 2019 with a 10-year maturity and bears interest at a fixed rate of 1.75%. The Company repaid the loan in April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weighted average annual effective rate on the Company’s outstanding debt for the three months ended March 31, 2026, was 4.34%.</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(4)Deferred financing fees and unamortized discounts are being amortized to Interest expense, net over the term of the related debt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2024 Credit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the Company entered into a Credit Agreement (the “2024 Credit Agreement”) among the Company, as borrower, the lenders party thereto and JPMorgan Chase Bank, N.A., as administrative agent (the “Administrative Agent”).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 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The Company was in compliance with all financial covenants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March 31, 2026, the applicable all-in margin on the revolving facility was 1.48% (including the credit spread adjustment). The contractual annualized interest rate as of March 31, 2026 on the 2024 Credit Agreement was 5.23%, which consisted of Term Secured Overnight Financing Rate (“SOFR”) of 3.75% plus a margin of 1.48%. The commitment fee payable on the unused portion of the facility is equal to between 0.125% and 0.25% based on utilization of the facility. The Company has also agreed to pay customary letter of credit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2031 and 2035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20, 2025, the Company completed the public offering and issuance of $350.0 million aggregate principal amount of its 4.950% Senior Notes due 2031 and $450.0 million aggregate principal amount of its 5.600% Senior Notes due 2035 (together, the “Notes”). The 2031 Notes were issued at an issue price of 99.970% and the 2035 Notes were issued at an issue price of 99.992%. The Notes were offered and sold pursuant to Gartner’s automatic shelf registration statement on Form S-3 (File No. 333-291447) and the prospectus included therein, filed with the Securities and Exchange Commission on November 12, 2025, and supplemented by the prospectus supplement dated November 13,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received approximately $799.9 million in net proceeds, after discounts and before underwriting fees and offering expenses, from the sale of the Notes. The Company used a portion of the net proceeds from the offering of the notes to repay the $274.4 million then outstanding under the 2024 Credit Agreement and to pay related fees and expenses, with remaining amounts to be used for general corporate purposes, which may include, without limitation, potential repurchases of its common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2029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2021, the Company issued $600.0 million aggregate principal amount of 3.625% Senior Notes due 2029. 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 redemption prices set forth in the 2029 Notes Indenture, plus accrued and unpaid interest to, but excluding, the redemption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28, 2020, the Company issued $800.0 million aggregate principal amount of 3.75% Senior Notes due 2030. The 2030 Notes were issued at an issue price of 100.0% and bear interest at a rate of 3.75% per annum. Interest on the 2030 Notes is payable on April 1 and October 1 of each year, beginning on April 1, 2021. The 2030 Notes will mature on October 1,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2028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22, 2020, the Company issued $800.0 million aggregate principal amount of 4.50% Senior Notes due 2028. The 2028 Notes were issued at an issue price of 100.0% and bear interest at a rate of 4.50% per annum. Interest on the 2028 Notes is payable on January 1 and July 1 of each year, beginning on January 1, 2021. The 2028 Notes will mature on July 1,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of the 2028 Notes at any time on or after July 1, 2023 for cash at the redemption prices set forth in the 2028 Note Indenture, plus accrued and unpaid interest to, but excluding, the redemption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9 —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2015, the Company’s Board of Directors (the “Board”) authorized a share repurchase program to repurchase up to $1.2 billion of the Company’s common stock. The Board authorized incremental share repurchases of up to an aggregate additional $6.3 billion of the Company’s common stock from February 2021 to January 2026. As of March 31, 2026, $0.7 billion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share repurchase activity is presented in the table below for the periods indicated.</w:t>
      </w:r>
    </w:p>
    <w:tbl>
      <w:tblPr>
        <w:tblW w:w="7656" w:type="dxa"/>
        <w:jc w:val="left"/>
        <w:tblInd w:w="0" w:type="dxa"/>
        <w:tblLayout w:type="fixed"/>
        <w:tblCellMar>
          <w:top w:w="28" w:type="dxa"/>
          <w:left w:w="28" w:type="dxa"/>
          <w:bottom w:w="28" w:type="dxa"/>
          <w:right w:w="28" w:type="dxa"/>
        </w:tblCellMar>
      </w:tblPr>
      <w:tblGrid>
        <w:gridCol w:w="1532"/>
        <w:gridCol w:w="1346"/>
        <w:gridCol w:w="1351"/>
        <w:gridCol w:w="109"/>
        <w:gridCol w:w="109"/>
        <w:gridCol w:w="109"/>
        <w:gridCol w:w="211"/>
        <w:gridCol w:w="826"/>
        <w:gridCol w:w="109"/>
        <w:gridCol w:w="109"/>
        <w:gridCol w:w="109"/>
        <w:gridCol w:w="109"/>
        <w:gridCol w:w="211"/>
        <w:gridCol w:w="826"/>
        <w:gridCol w:w="109"/>
        <w:gridCol w:w="109"/>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repurchased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repurchased shares (in thousands)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average purchase price for repurchased shares was $158.49 and $507.65 for the three months ended March 31, 2026 and 2025, respectively. The repurchased shares during the three months ended March 31, 2026 and 2025 included purchases for both open market purchases and stock-based compensation award settlements.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cash paid for repurchased shares during the three months ended March 31, 2026 excluded excise tax accrued and included $10.0 million of open market purchases with trade dates in December 2025 that settled in January 2026. The cash paid for repurchased shares during the three months ended March 31, 2025 included $10.0 million of open market purchases with trade dates in December 2024 that settled in January 2025.</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 net (“AOCL”)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changes in AOCL by component and the related amounts reclassified out of AOCL to income during the periods indicated (net of tax, in thousands) (1).</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March 31, 2026</w:t>
      </w:r>
    </w:p>
    <w:tbl>
      <w:tblPr>
        <w:tblW w:w="9459" w:type="dxa"/>
        <w:jc w:val="left"/>
        <w:tblInd w:w="0" w:type="dxa"/>
        <w:tblLayout w:type="fixed"/>
        <w:tblCellMar>
          <w:top w:w="28" w:type="dxa"/>
          <w:left w:w="28" w:type="dxa"/>
          <w:bottom w:w="28" w:type="dxa"/>
          <w:right w:w="28" w:type="dxa"/>
        </w:tblCellMar>
      </w:tblPr>
      <w:tblGrid>
        <w:gridCol w:w="1866"/>
        <w:gridCol w:w="1642"/>
        <w:gridCol w:w="1652"/>
        <w:gridCol w:w="266"/>
        <w:gridCol w:w="872"/>
        <w:gridCol w:w="137"/>
        <w:gridCol w:w="109"/>
        <w:gridCol w:w="109"/>
        <w:gridCol w:w="109"/>
        <w:gridCol w:w="227"/>
        <w:gridCol w:w="796"/>
        <w:gridCol w:w="119"/>
        <w:gridCol w:w="109"/>
        <w:gridCol w:w="109"/>
        <w:gridCol w:w="109"/>
        <w:gridCol w:w="211"/>
        <w:gridCol w:w="796"/>
        <w:gridCol w:w="221"/>
      </w:tblGrid>
      <w:tr>
        <w:trPr/>
        <w:tc>
          <w:tcPr>
            <w:tcW w:w="186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(45,055)</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March 31, 2025</w:t>
      </w:r>
    </w:p>
    <w:tbl>
      <w:tblPr>
        <w:tblW w:w="10205" w:type="dxa"/>
        <w:jc w:val="left"/>
        <w:tblInd w:w="0" w:type="dxa"/>
        <w:tblLayout w:type="fixed"/>
        <w:tblCellMar>
          <w:top w:w="28" w:type="dxa"/>
          <w:left w:w="28" w:type="dxa"/>
          <w:bottom w:w="28" w:type="dxa"/>
          <w:right w:w="28" w:type="dxa"/>
        </w:tblCellMar>
      </w:tblPr>
      <w:tblGrid>
        <w:gridCol w:w="1629"/>
        <w:gridCol w:w="1324"/>
        <w:gridCol w:w="1332"/>
        <w:gridCol w:w="109"/>
        <w:gridCol w:w="109"/>
        <w:gridCol w:w="109"/>
        <w:gridCol w:w="238"/>
        <w:gridCol w:w="766"/>
        <w:gridCol w:w="122"/>
        <w:gridCol w:w="109"/>
        <w:gridCol w:w="109"/>
        <w:gridCol w:w="109"/>
        <w:gridCol w:w="252"/>
        <w:gridCol w:w="813"/>
        <w:gridCol w:w="130"/>
        <w:gridCol w:w="109"/>
        <w:gridCol w:w="109"/>
        <w:gridCol w:w="109"/>
        <w:gridCol w:w="227"/>
        <w:gridCol w:w="795"/>
        <w:gridCol w:w="119"/>
        <w:gridCol w:w="109"/>
        <w:gridCol w:w="109"/>
        <w:gridCol w:w="109"/>
        <w:gridCol w:w="211"/>
        <w:gridCol w:w="781"/>
        <w:gridCol w:w="158"/>
      </w:tblGrid>
      <w:tr>
        <w:trPr/>
        <w:tc>
          <w:tcPr>
            <w:tcW w:w="162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br/>
              <w:t xml:space="preserve">Swaps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in parentheses represent debits (deferred losses).</w:t>
      </w:r>
    </w:p>
    <w:p>
      <w:pPr>
        <w:pStyle w:val="TextBody"/>
        <w:bidi w:val="0"/>
        <w:spacing w:lineRule="auto" w:line="288" w:before="60" w:after="283"/>
        <w:ind w:left="0" w:right="0" w:hanging="360"/>
        <w:jc w:val="both"/>
        <w:rPr/>
      </w:pPr>
      <w:r>
        <w:rPr>
          <w:rFonts w:ascii="Times New Roman;serif" w:hAnsi="Times New Roman;serif"/>
          <w:b w:val="false"/>
          <w:color w:val="000000"/>
          <w:sz w:val="20"/>
          <w:shd w:fill="FFFFFF" w:val="clear"/>
        </w:rPr>
        <w:t>(2)</w:t>
      </w:r>
      <w:r>
        <w:rPr>
          <w:rFonts w:ascii="Times New Roman;serif" w:hAnsi="Times New Roman;serif"/>
          <w:b w:val="false"/>
          <w:color w:val="000000"/>
          <w:sz w:val="20"/>
        </w:rPr>
        <w:t xml:space="preserve">The reclassifications related to defined benefit pension plans were recorded in Other (expense) income, net.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(3)$4.5 million of the reclassifications related to interest rate swaps (cash flow hedges) were recorded in Interest expense, net, for the three months ended March 31, 2025. The swap contract matured in September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10 —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$70.1 million and $56.1 million for the three months ended March 31, 2026 and 2025, respectively. The effective income tax rate was 24.0% and 21.0%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the effective income tax rate in the current period was primarily due to the unfavorable impact of stock-based compensation, partially offset by the favorable release of reserves upon the resolution of the related inquiries.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gross unrecognized tax benefits of $292.6 million on March 31, 2026 and $301.6 million on December 31,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Recent legislative developments in the U.S. and internationally have introduced significant changes to tax frameworks, including modifications impacting business provisions, international taxation, and global minimum tax requirements. These changes have various effective dates, with some provisions already in effect and others to be implemented over the coming years. While these evolving legislative measures have not had a material impact on the Company’s consolidated financial results in the current period, the Company is actively monitoring and assessing their potential effects. The Company will continue to evaluate and reflect the impact of these legislative changes in its future financial statements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11 — Derivatives and Hedging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5"/>
        <w:gridCol w:w="700"/>
        <w:gridCol w:w="693"/>
        <w:gridCol w:w="109"/>
        <w:gridCol w:w="109"/>
        <w:gridCol w:w="109"/>
        <w:gridCol w:w="329"/>
        <w:gridCol w:w="329"/>
        <w:gridCol w:w="331"/>
        <w:gridCol w:w="109"/>
        <w:gridCol w:w="109"/>
        <w:gridCol w:w="109"/>
        <w:gridCol w:w="211"/>
        <w:gridCol w:w="826"/>
        <w:gridCol w:w="109"/>
        <w:gridCol w:w="109"/>
        <w:gridCol w:w="109"/>
        <w:gridCol w:w="109"/>
        <w:gridCol w:w="548"/>
        <w:gridCol w:w="666"/>
        <w:gridCol w:w="285"/>
        <w:gridCol w:w="109"/>
        <w:gridCol w:w="109"/>
        <w:gridCol w:w="109"/>
        <w:gridCol w:w="923"/>
        <w:gridCol w:w="923"/>
        <w:gridCol w:w="920"/>
        <w:gridCol w:w="109"/>
        <w:gridCol w:w="160"/>
      </w:tblGrid>
      <w:tr>
        <w:trPr/>
        <w:tc>
          <w:tcPr>
            <w:tcW w:w="83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Sheet</w:t>
              <w:br/>
              <w:t>Line Item</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5"/>
        <w:gridCol w:w="663"/>
        <w:gridCol w:w="665"/>
        <w:gridCol w:w="109"/>
        <w:gridCol w:w="109"/>
        <w:gridCol w:w="109"/>
        <w:gridCol w:w="537"/>
        <w:gridCol w:w="537"/>
        <w:gridCol w:w="538"/>
        <w:gridCol w:w="109"/>
        <w:gridCol w:w="109"/>
        <w:gridCol w:w="109"/>
        <w:gridCol w:w="211"/>
        <w:gridCol w:w="826"/>
        <w:gridCol w:w="109"/>
        <w:gridCol w:w="109"/>
        <w:gridCol w:w="109"/>
        <w:gridCol w:w="109"/>
        <w:gridCol w:w="387"/>
        <w:gridCol w:w="853"/>
        <w:gridCol w:w="200"/>
        <w:gridCol w:w="109"/>
        <w:gridCol w:w="109"/>
        <w:gridCol w:w="109"/>
        <w:gridCol w:w="763"/>
        <w:gridCol w:w="763"/>
        <w:gridCol w:w="1080"/>
      </w:tblGrid>
      <w:tr>
        <w:trPr/>
        <w:tc>
          <w:tcPr>
            <w:tcW w:w="7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Sheet</w:t>
              <w:br/>
              <w:t>Line Item</w:t>
            </w:r>
          </w:p>
        </w:tc>
      </w:tr>
      <w:tr>
        <w:trPr/>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assets/accrued liabilities</w:t>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(expense) income, net because the Company does not designate these contracts as hedges for accounting purposes. All of the outstanding foreign currency forward exchange contracts at March 31, 2026 matured before April 28, 2026.</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(2)See Note 12 — Fair Value Disclosures for the determination of the fair values of these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pStyle w:val="TextBody"/>
        <w:bidi w:val="0"/>
        <w:spacing w:before="0" w:after="0"/>
        <w:jc w:val="both"/>
        <w:rPr/>
      </w:pPr>
      <w:r>
        <w:rPr/>
      </w:r>
    </w:p>
    <w:tbl>
      <w:tblPr>
        <w:tblW w:w="5661" w:type="dxa"/>
        <w:jc w:val="left"/>
        <w:tblInd w:w="0" w:type="dxa"/>
        <w:tblLayout w:type="fixed"/>
        <w:tblCellMar>
          <w:top w:w="28" w:type="dxa"/>
          <w:left w:w="28" w:type="dxa"/>
          <w:bottom w:w="28" w:type="dxa"/>
          <w:right w:w="28" w:type="dxa"/>
        </w:tblCellMar>
      </w:tblPr>
      <w:tblGrid>
        <w:gridCol w:w="962"/>
        <w:gridCol w:w="844"/>
        <w:gridCol w:w="848"/>
        <w:gridCol w:w="109"/>
        <w:gridCol w:w="109"/>
        <w:gridCol w:w="109"/>
        <w:gridCol w:w="211"/>
        <w:gridCol w:w="616"/>
        <w:gridCol w:w="109"/>
        <w:gridCol w:w="109"/>
        <w:gridCol w:w="109"/>
        <w:gridCol w:w="109"/>
        <w:gridCol w:w="211"/>
        <w:gridCol w:w="616"/>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 recorded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(1)Consists of interest expense from interest rate swap contracts.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(2)Consists of net realized and unrealized gains and losses on foreign currency forward contracts and in 2025 also included a gain on a de-designated interest rate swap.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12 — Fair Value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3 — Goodwill and Intangible Assets. The Company does not typically transfer assets or liabilities between different levels of the valuation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values of certain financial assets and liabilities that are measured at fair value on a recurring basis in the Company's financial statements (in thousands).</w:t>
      </w:r>
    </w:p>
    <w:tbl>
      <w:tblPr>
        <w:tblW w:w="6643" w:type="dxa"/>
        <w:jc w:val="left"/>
        <w:tblInd w:w="0" w:type="dxa"/>
        <w:tblLayout w:type="fixed"/>
        <w:tblCellMar>
          <w:top w:w="28" w:type="dxa"/>
          <w:left w:w="28" w:type="dxa"/>
          <w:bottom w:w="28" w:type="dxa"/>
          <w:right w:w="28" w:type="dxa"/>
        </w:tblCellMar>
      </w:tblPr>
      <w:tblGrid>
        <w:gridCol w:w="1283"/>
        <w:gridCol w:w="1127"/>
        <w:gridCol w:w="1129"/>
        <w:gridCol w:w="109"/>
        <w:gridCol w:w="109"/>
        <w:gridCol w:w="109"/>
        <w:gridCol w:w="211"/>
        <w:gridCol w:w="826"/>
        <w:gridCol w:w="109"/>
        <w:gridCol w:w="109"/>
        <w:gridCol w:w="109"/>
        <w:gridCol w:w="109"/>
        <w:gridCol w:w="231"/>
        <w:gridCol w:w="905"/>
        <w:gridCol w:w="168"/>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1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157,118 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176,306 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plan liabilities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enters into foreign currency forward exchange contracts to hedge the effects of adverse fluctuations in foreign currency exchange rates (see Note 11 — Derivatives and Hedging). Valuation of these contracts is based on observable foreign currency exchange rates in active markets, which the Company considers to be a Level 2 input.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 </w:t>
      </w:r>
    </w:p>
    <w:tbl>
      <w:tblPr>
        <w:tblW w:w="7633"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13 — Contingencies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The Company is involved in legal proceedings, claims and compliance matters arising in the ordinary course of business. The Company 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Indemnifications.</w:t>
      </w:r>
      <w:r>
        <w:rPr>
          <w:color w:val="000000"/>
        </w:rPr>
        <w:t xml:space="preserve"> </w:t>
      </w:r>
      <w:r>
        <w:rPr>
          <w:rFonts w:ascii="Times New Roman;serif" w:hAnsi="Times New Roman;serif"/>
          <w:b w:val="false"/>
          <w:color w:val="000000"/>
          <w:sz w:val="20"/>
        </w:rPr>
        <w:t>The Company has various agreements that may obligate it to indemnify the other party with respect to certain matters. Generally, these 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agreements have not been material. As of March 31, 2026, the Company did not have any material payment obligations under any such indemnification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14 —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leasing activities are primarily for facilities under cancelable and non-cancelable lease agreements expiring during 2026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subleases certain office space that it does not intend to occupy. Such sublease arrangements expire during 2026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pStyle w:val="TextBody"/>
        <w:bidi w:val="0"/>
        <w:spacing w:before="0" w:after="0"/>
        <w:jc w:val="both"/>
        <w:rPr/>
      </w:pPr>
      <w:r>
        <w:rPr/>
      </w:r>
    </w:p>
    <w:tbl>
      <w:tblPr>
        <w:tblW w:w="9847" w:type="dxa"/>
        <w:jc w:val="center"/>
        <w:tblInd w:w="0" w:type="dxa"/>
        <w:tblLayout w:type="fixed"/>
        <w:tblCellMar>
          <w:top w:w="28" w:type="dxa"/>
          <w:left w:w="28" w:type="dxa"/>
          <w:bottom w:w="28" w:type="dxa"/>
          <w:right w:w="28" w:type="dxa"/>
        </w:tblCellMar>
      </w:tblPr>
      <w:tblGrid>
        <w:gridCol w:w="2400"/>
        <w:gridCol w:w="2112"/>
        <w:gridCol w:w="2118"/>
        <w:gridCol w:w="109"/>
        <w:gridCol w:w="109"/>
        <w:gridCol w:w="109"/>
        <w:gridCol w:w="211"/>
        <w:gridCol w:w="721"/>
        <w:gridCol w:w="109"/>
        <w:gridCol w:w="109"/>
        <w:gridCol w:w="109"/>
        <w:gridCol w:w="109"/>
        <w:gridCol w:w="211"/>
        <w:gridCol w:w="721"/>
        <w:gridCol w:w="109"/>
        <w:gridCol w:w="109"/>
        <w:gridCol w:w="109"/>
        <w:gridCol w:w="109"/>
        <w:gridCol w:w="154"/>
      </w:tblGrid>
      <w:tr>
        <w:trPr/>
        <w:tc>
          <w:tcPr>
            <w:tcW w:w="2400"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 net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from sublease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operating lease cost was $8.0 million and $8.5 million for the three months ended March 31, 2026 and 2025, respectively, for costs related to subleasing activities.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amounts are primarily variable lease and nonlease costs that are not fixed at the lease commencement date or are dependent on something other than an index or a rate.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did not capitalize any operating lease costs during any of the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indicates where the discounted operating lease payments from the above table are classified in the accompanying Condensed Consolidated Balance Sheets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575"/>
        <w:gridCol w:w="2261"/>
        <w:gridCol w:w="2267"/>
        <w:gridCol w:w="109"/>
        <w:gridCol w:w="109"/>
        <w:gridCol w:w="109"/>
        <w:gridCol w:w="211"/>
        <w:gridCol w:w="826"/>
        <w:gridCol w:w="109"/>
        <w:gridCol w:w="109"/>
        <w:gridCol w:w="109"/>
        <w:gridCol w:w="109"/>
        <w:gridCol w:w="230"/>
        <w:gridCol w:w="902"/>
        <w:gridCol w:w="170"/>
      </w:tblGrid>
      <w:tr>
        <w:trPr/>
        <w:tc>
          <w:tcPr>
            <w:tcW w:w="257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270,200 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included in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366,276 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15 — Subsequent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Company’s Board of Directors authorized incremental share repurchases of up to an additional $600.0 million of Gartner’s common stock. This authorization is in addition to the previously authorized repurchases of up to $7.5 billion, which, as of the end of April 2026, had approximately $640.0 million remaining.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purpose </w:t>
      </w:r>
      <w:r>
        <w:rPr>
          <w:rFonts w:ascii="Times New Roman;serif" w:hAnsi="Times New Roman;serif"/>
          <w:b w:val="false"/>
          <w:color w:val="000000"/>
          <w:sz w:val="20"/>
        </w:rPr>
        <w:t>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2025 (the “2025 Form 10-K”). Historical results and percentage relationships are not necessarily indicative of operating results for future periods. References to “Gartner,” the “Company,” “we,” “our” and “us” in this MD&amp;A are to Gartner, Inc.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addition to historical inf</w:t>
      </w:r>
      <w:r>
        <w:rPr>
          <w:rFonts w:ascii="Times New Roman;serif" w:hAnsi="Times New Roman;serif"/>
          <w:b w:val="false"/>
          <w:color w:val="000000"/>
          <w:sz w:val="20"/>
        </w:rPr>
        <w:t>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We operate i</w:t>
      </w:r>
      <w:r>
        <w:rPr>
          <w:rFonts w:ascii="Times New Roman;serif" w:hAnsi="Times New Roman;serif"/>
          <w:b w:val="false"/>
          <w:color w:val="000000"/>
          <w:sz w:val="20"/>
        </w:rPr>
        <w:t>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our ability to maintain and expand our products and services; our ability to keep pace with technological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related monetary policy by governments in response to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tensions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2025 Form 10-K, which is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Forward-looking</w:t>
      </w:r>
      <w:r>
        <w:rPr>
          <w:color w:val="000000"/>
        </w:rPr>
        <w:t xml:space="preserve"> </w:t>
      </w:r>
      <w:r>
        <w:rPr>
          <w:rFonts w:ascii="Times New Roman;serif" w:hAnsi="Times New Roman;serif"/>
          <w:b w:val="false"/>
          <w:color w:val="000000"/>
          <w:sz w:val="20"/>
        </w:rPr>
        <w:t>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2025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Gartner, Inc. (NYSE: IT)</w:t>
      </w:r>
      <w:r>
        <w:rPr>
          <w:color w:val="000000"/>
        </w:rPr>
        <w:t xml:space="preserve"> </w:t>
      </w:r>
      <w:r>
        <w:rPr>
          <w:rFonts w:ascii="Times New Roman;serif" w:hAnsi="Times New Roman;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products and services globally through three reportable segments – Business and Technology Insights ("Insights"), Conferences and Consulting, as described below.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Insights</w:t>
      </w:r>
      <w:r>
        <w:rPr>
          <w:color w:val="000000"/>
        </w:rPr>
        <w:t xml:space="preserve"> </w:t>
      </w:r>
      <w:r>
        <w:rPr>
          <w:rFonts w:ascii="Times New Roman;serif" w:hAnsi="Times New Roman;serif"/>
          <w:b w:val="false"/>
          <w:color w:val="000000"/>
          <w:sz w:val="20"/>
        </w:rPr>
        <w:t>equips executives and their teams from every function and across all industries with actionable, objective business and technology insights,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industry-leading conferences to peer-driven communities – each focused on the mission-critical priorities of specific business roles – our offerings enable attendees to experience the best of Gartner insights and guidance.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insights. Through custom analysis and on-the-ground support we enable optimized technology investments and stronger performance on our clients’ mission critical priorities.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19,367 employees globally, a decrease of 8% from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completed the sale of our Digital Markets business, for approximately $104.8 million net of cash transferred, subject to post-close adjustments. We recorded a pre-tax gain of $6.1 million on the sale, which is included in Gain from sale of divested operation in the Consolidated Statement of Operations during the three months ended March 31, 2026. The Digital Markets business represented the entirety of our Other segment.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MEASUREMENTS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believe t</w:t>
      </w:r>
      <w:r>
        <w:rPr>
          <w:rFonts w:ascii="Times New Roman;serif" w:hAnsi="Times New Roman;serif"/>
          <w:b w:val="false"/>
          <w:color w:val="000000"/>
          <w:sz w:val="20"/>
        </w:rPr>
        <w:t xml:space="preserve">hat the following business measurements are important performance indicators for our reportable business segments: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6"/>
        <w:gridCol w:w="377"/>
        <w:gridCol w:w="378"/>
        <w:gridCol w:w="109"/>
        <w:gridCol w:w="109"/>
        <w:gridCol w:w="109"/>
        <w:gridCol w:w="2582"/>
        <w:gridCol w:w="2514"/>
        <w:gridCol w:w="3571"/>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w:t>
            </w:r>
          </w:p>
        </w:tc>
      </w:tr>
      <w:tr>
        <w:trPr/>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Contract value</w:t>
            </w:r>
            <w:r>
              <w:rPr>
                <w:color w:val="000000"/>
                <w:shd w:fill="FFFFFF" w:val="clear"/>
              </w:rPr>
              <w:t xml:space="preserve"> </w:t>
            </w:r>
            <w:r>
              <w:rPr>
                <w:rFonts w:ascii="Times New Roman;serif" w:hAnsi="Times New Roman;serif"/>
                <w:b w:val="false"/>
                <w:color w:val="000000"/>
                <w:sz w:val="20"/>
              </w:rPr>
              <w:t xml:space="preserve">represents the dollar value attributable to all of our subscription-related contracts. It is calculated as the annualized value of all contracts in effect at a specific point in time, without regard to the duration of the contract. Contract value primarily includes Insights deliverables for which revenue is recognized on a ratable basis, as well as other deliverables (primarily Conferences tickets) for which revenue is recognized when the deliverable is utilized. Comparing contract value year-over-year not only measures the short-term growth of our business, but also signals the long-term health of our Insights subscription business since it measures revenue that is highly likely to recur over a multi-year period. Our contract value consists of </w:t>
            </w:r>
            <w:r>
              <w:rPr>
                <w:rFonts w:ascii="Times New Roman;serif" w:hAnsi="Times New Roman;serif"/>
                <w:b/>
                <w:color w:val="000000"/>
                <w:sz w:val="20"/>
              </w:rPr>
              <w:t>Global Technology Sales</w:t>
            </w:r>
            <w:r>
              <w:rPr>
                <w:color w:val="000000"/>
              </w:rPr>
              <w:t xml:space="preserve"> </w:t>
            </w:r>
            <w:r>
              <w:rPr>
                <w:rFonts w:ascii="Times New Roman;serif" w:hAnsi="Times New Roman;serif"/>
                <w:b w:val="false"/>
                <w:color w:val="000000"/>
                <w:sz w:val="20"/>
              </w:rPr>
              <w:t xml:space="preserve">contract value, which includes sales to users and providers of technology, and </w:t>
            </w:r>
            <w:r>
              <w:rPr>
                <w:rFonts w:ascii="Times New Roman;serif" w:hAnsi="Times New Roman;serif"/>
                <w:b/>
                <w:color w:val="000000"/>
                <w:sz w:val="20"/>
              </w:rPr>
              <w:t>Global Business Sales</w:t>
            </w:r>
            <w:r>
              <w:rPr>
                <w:color w:val="000000"/>
              </w:rPr>
              <w:t xml:space="preserve"> </w:t>
            </w:r>
            <w:r>
              <w:rPr>
                <w:rFonts w:ascii="Times New Roman;serif" w:hAnsi="Times New Roman;serif"/>
                <w:b w:val="false"/>
                <w:color w:val="000000"/>
                <w:sz w:val="20"/>
              </w:rPr>
              <w:t>contract value, which includes sales to all other functional leaders.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Client retention rate</w:t>
            </w:r>
            <w:r>
              <w:rPr>
                <w:color w:val="000000"/>
                <w:shd w:fill="FFFFFF" w:val="clear"/>
              </w:rPr>
              <w:t xml:space="preserve"> </w:t>
            </w:r>
            <w:r>
              <w:rPr>
                <w:rFonts w:ascii="Times New Roman;serif" w:hAnsi="Times New Roman;serif"/>
                <w:b w:val="false"/>
                <w:color w:val="000000"/>
                <w:sz w:val="20"/>
              </w:rPr>
              <w:t>represents a measure of client satisfaction and renewed business relationships at a specific point in time. Client retention is calculated on a percentage basis by dividing our current clients, who were also clients a year ago, by all clients from a year ago. Client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Wallet retention rate</w:t>
            </w:r>
            <w:r>
              <w:rPr>
                <w:color w:val="000000"/>
              </w:rPr>
              <w:t xml:space="preserve"> </w:t>
            </w:r>
            <w:r>
              <w:rPr>
                <w:rFonts w:ascii="Times New Roman;serif" w:hAnsi="Times New Roman;serif"/>
                <w:b w:val="false"/>
                <w:color w:val="000000"/>
                <w:sz w:val="20"/>
              </w:rPr>
              <w:t>represents a measure of the amount of contract value we have retained with clients over a twelve-month period. Wallet retention is calculated on a percentage basis by dividing the contract value of our current clients, who were also clients a year ago, by the contract value from a year ago, excluding the impact of foreign currency exchange. When wallet retention exceeds client retention, it is an indication of retention of higher-spending clients, or increased spending by retained clients, or both. Wallet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Number of destination conferences</w:t>
            </w:r>
            <w:r>
              <w:rPr>
                <w:color w:val="000000"/>
              </w:rPr>
              <w:t xml:space="preserve"> </w:t>
            </w:r>
            <w:r>
              <w:rPr>
                <w:rFonts w:ascii="Times New Roman;serif" w:hAnsi="Times New Roman;serif"/>
                <w:b w:val="false"/>
                <w:color w:val="000000"/>
                <w:sz w:val="20"/>
              </w:rPr>
              <w:t>represents the total number of hosted in-person conferences completed during the period. Single day, local meetings are excluded.</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Number of destination conferences</w:t>
            </w:r>
            <w:r>
              <w:rPr>
                <w:color w:val="000000"/>
              </w:rPr>
              <w:t xml:space="preserve"> </w:t>
            </w:r>
            <w:r>
              <w:rPr>
                <w:rFonts w:ascii="Times New Roman;serif" w:hAnsi="Times New Roman;serif"/>
                <w:b/>
                <w:color w:val="000000"/>
                <w:sz w:val="20"/>
              </w:rPr>
              <w:t>attendees</w:t>
            </w:r>
            <w:r>
              <w:rPr>
                <w:color w:val="000000"/>
              </w:rPr>
              <w:t xml:space="preserve"> </w:t>
            </w:r>
            <w:r>
              <w:rPr>
                <w:rFonts w:ascii="Times New Roman;serif" w:hAnsi="Times New Roman;serif"/>
                <w:b w:val="false"/>
                <w:color w:val="000000"/>
                <w:sz w:val="20"/>
              </w:rPr>
              <w:t>represents the total number of people who attend in-person conferences. Single day, local meetings are excluded.</w:t>
            </w:r>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Consulting backlog</w:t>
            </w:r>
            <w:r>
              <w:rPr>
                <w:color w:val="000000"/>
              </w:rPr>
              <w:t xml:space="preserve"> </w:t>
            </w:r>
            <w:r>
              <w:rPr>
                <w:rFonts w:ascii="Times New Roman;serif" w:hAnsi="Times New Roman;serif"/>
                <w:b w:val="false"/>
                <w:color w:val="000000"/>
                <w:sz w:val="20"/>
              </w:rPr>
              <w:t>represents future revenue to be derived from in-process consulting and benchmark analytics engagements.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Utilization rate</w:t>
            </w:r>
            <w:r>
              <w:rPr>
                <w:color w:val="000000"/>
              </w:rPr>
              <w:t xml:space="preserve"> </w:t>
            </w:r>
            <w:r>
              <w:rPr>
                <w:rFonts w:ascii="Times New Roman;serif" w:hAnsi="Times New Roman;serif"/>
                <w:b w:val="false"/>
                <w:color w:val="000000"/>
                <w:sz w:val="20"/>
              </w:rPr>
              <w:t>represents a measure of productivity of our consultants. Utilization rates are calculated for billable headcount on a percentage basis by dividing total hours billed by total hours available to bill.</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SUMMARY OF OPERATIONS AND FINANCIAL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fundamentals of our strategy include a focus on creating actionable business and technology insights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total revenues of $1.5 billion during the first quarter of 2026, a decrease of 2% compared to the first quarter of 2025. The decrease was primarily due to the sale of our Digital Markets business in February 2026. During the first quarter of 2026, compared to the first quarter of 2025, Insights revenues increased by 3%, Conferences revenues increased by 8%, and Consulting revenues decreased by 15%. For a more complete discussion of our results by segment, see Segment Results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first quarter of 2026 and 2025, we had net income of $222.3 million and $210.9 million, respectively, and diluted net income per share of $3.18 and $2.71, respectively. Cash provided by operating activities was $391.0 million and $313.5 million during the three months ended March 31, 2026 and 2025, respectively. As of March 31, 2026, we had $1.7 billion of cash and cash equivalents and approximately $1.0 billion of available borrowing capacity on our revolving credit facility. For a more complete discussion of our cash flows and financial position, see the Liquidity and Capital Resources section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our critical accounting policies and estimates, please refer to Part II, Item 7, “Critical Accounting Policies and Estimates” contained in our Annual Report on Form 10-K for the fiscal year ended December 31, 2025. There have been no material changes to the critical accounting policies previously disclosed in that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an analysis of selected line items and period-over-period changes in our interim Condensed Consolidated Statements of Operations for the periods indicated (in thousands).</w:t>
      </w:r>
    </w:p>
    <w:tbl>
      <w:tblPr>
        <w:tblW w:w="10205" w:type="dxa"/>
        <w:jc w:val="left"/>
        <w:tblInd w:w="0" w:type="dxa"/>
        <w:tblLayout w:type="fixed"/>
        <w:tblCellMar>
          <w:top w:w="28" w:type="dxa"/>
          <w:left w:w="28" w:type="dxa"/>
          <w:bottom w:w="28" w:type="dxa"/>
          <w:right w:w="28" w:type="dxa"/>
        </w:tblCellMar>
      </w:tblPr>
      <w:tblGrid>
        <w:gridCol w:w="898"/>
        <w:gridCol w:w="707"/>
        <w:gridCol w:w="716"/>
        <w:gridCol w:w="358"/>
        <w:gridCol w:w="1657"/>
        <w:gridCol w:w="184"/>
        <w:gridCol w:w="109"/>
        <w:gridCol w:w="109"/>
        <w:gridCol w:w="109"/>
        <w:gridCol w:w="358"/>
        <w:gridCol w:w="1657"/>
        <w:gridCol w:w="184"/>
        <w:gridCol w:w="109"/>
        <w:gridCol w:w="109"/>
        <w:gridCol w:w="109"/>
        <w:gridCol w:w="283"/>
        <w:gridCol w:w="968"/>
        <w:gridCol w:w="146"/>
        <w:gridCol w:w="109"/>
        <w:gridCol w:w="109"/>
        <w:gridCol w:w="109"/>
        <w:gridCol w:w="253"/>
        <w:gridCol w:w="254"/>
        <w:gridCol w:w="601"/>
      </w:tblGrid>
      <w:tr>
        <w:trPr/>
        <w:tc>
          <w:tcPr>
            <w:tcW w:w="8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br/>
              <w:t>%</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1,511,041 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1,534,130 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316,092 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278,032 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income taxes</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2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Total revenues for the three months ended March 31, 2026 were $1.5 billion, a decrease of $23.1 million, or 2% compared to the same period in 2025 on a reported basis and 4% excluding the foreign currency impact. The decrease was primarily due to the sale of our Digital Markets business in February 2026. Refer to the section of this MD&amp;A below entitled “Segment Results” for a discussion of revenues and results by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and product development was $429.3 million during the three months ended March 31, 2026, a decrease of $45.7 million compared to the same period in 2025, or 10% on a reported basis and 11% excluding the foreign currency impact. The decrease in Cost of services and product development during the three months ended March 31, 2026 was primarily due to a $25.8 million decrease in product and content delivery expenses principally as a result of the sale of our Digital Markets business in February 2026, in addition to a $20.0 million decrease in personnel expenses due to lower headcount. Cost of services and product development as a percent of revenues was 28% and 31% for the three months ended March 31,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 was $726.3 million during the three months ended March 31, 2026, a decrease of $4.0 million compared to the same period in 2025, or 1% on a reported basis and 3% excluding the foreign currency impact. The decrease in SG&amp;A expense during the three months ended March 31, 2026 was primarily due to reduced facility-related expenses. The number of quota-bearing sales associates in Global Technology Sales decreased by 3% to 3,584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Business Sales, decreased by 4% to 1,282 compared to March 31, 2025. On a combined basis, the total number of quota-bearing sales associates decreased by 3% when compared to March 31, 2025. SG&amp;A expense as a percent of revenues was 48% during both the three months ended March 31,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decreased by 12% during the three months ended March 31, 2026, respectively, compared to the same period in 2025. The decrease for the three months ended March 31, 2026 was primarily due to the sale of our Digital Markets business in February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intangibles decreased by 8% during the three months ended March 31, 2026, compared to the same period in 2025, due to certain intangible assets becoming fully amortized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from sale of divested operation of $6.1 million was attributable to the sale of our Digital Markets business in February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was $316.1 million and $278.0 million during the three months ended March 31, 2026 and 2025, respectively. The increase in operating income for the three months ended March 31, 2026 as compared to the prior year period was primarily due to the reduction in operating expenses, as well as the gain on sale of our Digital Markets business in February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$7.6 million during the three months ended March 31, 2026, compared to the same period in 2025. The increase for the three months ended March 31, 2026 was due to a decrease in interest income, as a result of lower average cash balances and lower interest rates than the prior year as well as an increase in interest expense related to the issuance of our 2031 and 2035 Notes, which were issued in November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 net for the periods presented herein primarily consisted of the net impact of foreign currency gains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$70.1 million and $56.1 million for the three months ended March 31, 2026 and 2025, respectively. The effective income tax rate was 24.0% and 21.0% for the three months ended March 31, 2026 and 2025, respectively. The increase in the effective income tax rate in the current period was primarily due to the unfavorable impact of stock-based compensation, partially offset by the favorable release of reserves upon the resolution of the related inquiries.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income</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March 31, 2026 and 2025 was $222.3 million and $210.9 million, respectively. Our diluted net income per share during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 xml:space="preserve">three </w:t>
      </w:r>
      <w:r>
        <w:rPr>
          <w:rFonts w:ascii="Times New Roman;serif" w:hAnsi="Times New Roman;serif"/>
          <w:b w:val="false"/>
          <w:color w:val="000000"/>
          <w:sz w:val="20"/>
        </w:rPr>
        <w:t>months ended March 31, 2026 increased b</w:t>
      </w:r>
      <w:r>
        <w:rPr>
          <w:rFonts w:ascii="Times New Roman;serif" w:hAnsi="Times New Roman;serif"/>
          <w:b w:val="false"/>
          <w:color w:val="000000"/>
          <w:sz w:val="20"/>
          <w:shd w:fill="FFFFFF" w:val="clear"/>
        </w:rPr>
        <w:t>y $0.47</w:t>
      </w:r>
      <w:r>
        <w:rPr>
          <w:rFonts w:ascii="Times New Roman;serif" w:hAnsi="Times New Roman;serif"/>
          <w:b w:val="false"/>
          <w:color w:val="000000"/>
          <w:sz w:val="20"/>
        </w:rPr>
        <w:t>. The increase in net income during the three months ended March 31, 2026 was primarily due to a decrease in operating expenses, partially offset by a decrease in revenues.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evaluate</w:t>
      </w:r>
      <w:r>
        <w:rPr>
          <w:color w:val="000000"/>
        </w:rPr>
        <w:t xml:space="preserve"> </w:t>
      </w:r>
      <w:r>
        <w:rPr>
          <w:rFonts w:ascii="Times New Roman;serif" w:hAnsi="Times New Roman;serif"/>
          <w:b w:val="false"/>
          <w:color w:val="000000"/>
          <w:sz w:val="20"/>
        </w:rPr>
        <w:t>segment performance and allocate resources based on gross contribution margin. Gross contribution is defined as operating income or loss excluding certain Cost of services and product development expenses, SG&amp;A expenses, Depreciation, Amortization of intangibles and Gain from sale of divested operation. Gross contribution margin is defined as gross contribution as a percent of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sections below</w:t>
      </w:r>
      <w:r>
        <w:rPr>
          <w:color w:val="000000"/>
        </w:rPr>
        <w:t xml:space="preserve"> </w:t>
      </w:r>
      <w:r>
        <w:rPr>
          <w:rFonts w:ascii="Times New Roman;serif" w:hAnsi="Times New Roman;serif"/>
          <w:b w:val="false"/>
          <w:color w:val="000000"/>
          <w:sz w:val="20"/>
        </w:rPr>
        <w:t>present the results of the Company’s three reportable business segments: Insights, Conferences and Consulting.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Insights</w:t>
      </w:r>
    </w:p>
    <w:tbl>
      <w:tblPr>
        <w:tblW w:w="10205" w:type="dxa"/>
        <w:jc w:val="left"/>
        <w:tblInd w:w="0" w:type="dxa"/>
        <w:tblLayout w:type="fixed"/>
        <w:tblCellMar>
          <w:top w:w="28" w:type="dxa"/>
          <w:left w:w="28" w:type="dxa"/>
          <w:bottom w:w="28" w:type="dxa"/>
          <w:right w:w="28" w:type="dxa"/>
        </w:tblCellMar>
      </w:tblPr>
      <w:tblGrid>
        <w:gridCol w:w="581"/>
        <w:gridCol w:w="510"/>
        <w:gridCol w:w="511"/>
        <w:gridCol w:w="780"/>
        <w:gridCol w:w="667"/>
        <w:gridCol w:w="969"/>
        <w:gridCol w:w="109"/>
        <w:gridCol w:w="109"/>
        <w:gridCol w:w="109"/>
        <w:gridCol w:w="780"/>
        <w:gridCol w:w="667"/>
        <w:gridCol w:w="969"/>
        <w:gridCol w:w="109"/>
        <w:gridCol w:w="109"/>
        <w:gridCol w:w="109"/>
        <w:gridCol w:w="196"/>
        <w:gridCol w:w="646"/>
        <w:gridCol w:w="109"/>
        <w:gridCol w:w="109"/>
        <w:gridCol w:w="109"/>
        <w:gridCol w:w="109"/>
        <w:gridCol w:w="217"/>
        <w:gridCol w:w="217"/>
        <w:gridCol w:w="482"/>
        <w:gridCol w:w="109"/>
        <w:gridCol w:w="109"/>
        <w:gridCol w:w="109"/>
        <w:gridCol w:w="109"/>
        <w:gridCol w:w="109"/>
        <w:gridCol w:w="109"/>
        <w:gridCol w:w="109"/>
        <w:gridCol w:w="160"/>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2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(1)</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1,255,569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(1)</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1,011,517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965,947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Business Measurements</w:t>
            </w:r>
            <w:r>
              <w:rPr>
                <w:rFonts w:ascii="Times New Roman;serif" w:hAnsi="Times New Roman;serif"/>
                <w:b w:val="false"/>
                <w:color w:val="000000"/>
                <w:sz w:val="17"/>
              </w:rPr>
              <w:t>:</w:t>
            </w:r>
          </w:p>
        </w:tc>
        <w:tc>
          <w:tcPr>
            <w:tcW w:w="2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Global Technology Sales (2): </w:t>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Client retention </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Wallet retention </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101 </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Global Business Sales (2): </w:t>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Client retention </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Wallet retention </w:t>
            </w:r>
          </w:p>
        </w:tc>
        <w:tc>
          <w:tcPr>
            <w:tcW w:w="14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98 </w:t>
            </w:r>
          </w:p>
        </w:tc>
        <w:tc>
          <w:tcPr>
            <w:tcW w:w="9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9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Dollars </w:t>
      </w:r>
      <w:r>
        <w:rPr>
          <w:rFonts w:ascii="Times New Roman;serif" w:hAnsi="Times New Roman;serif"/>
          <w:b w:val="false"/>
          <w:color w:val="000000"/>
          <w:sz w:val="20"/>
        </w:rPr>
        <w:t>in thousands.</w:t>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Global Technology Sales</w:t>
      </w:r>
      <w:r>
        <w:rPr>
          <w:color w:val="000000"/>
        </w:rPr>
        <w:t xml:space="preserve"> </w:t>
      </w:r>
      <w:r>
        <w:rPr>
          <w:rFonts w:ascii="Times New Roman;serif" w:hAnsi="Times New Roman;serif"/>
          <w:b w:val="false"/>
          <w:color w:val="000000"/>
          <w:sz w:val="20"/>
        </w:rPr>
        <w:t>includes sales to users and providers of technology. Global Business Sales includes sales to all other functional leaders.</w:t>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 xml:space="preserve">Contract values </w:t>
      </w:r>
      <w:r>
        <w:rPr>
          <w:rFonts w:ascii="Times New Roman;serif" w:hAnsi="Times New Roman;serif"/>
          <w:b w:val="false"/>
          <w:color w:val="000000"/>
          <w:sz w:val="20"/>
        </w:rPr>
        <w:t xml:space="preserve">are on a foreign currency neutral basis. Contract values as of March 31, 2025 have been calculated using the same foreign currency rates as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Insights revenues i</w:t>
      </w:r>
      <w:r>
        <w:rPr>
          <w:rFonts w:ascii="Times New Roman;serif" w:hAnsi="Times New Roman;serif"/>
          <w:b w:val="false"/>
          <w:color w:val="000000"/>
          <w:sz w:val="20"/>
        </w:rPr>
        <w:t xml:space="preserve">ncreased by $38.6 million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March 31, 2026 compared to the same period in 2025, or 3% on a reported basis and nearly flat excluding the foreign currency impact. The segment gross contribution margin was 78% and 77% for the three months ended March 31, 2026 and 2025</w:t>
      </w:r>
      <w:r>
        <w:rPr>
          <w:rFonts w:ascii="Times New Roman;serif" w:hAnsi="Times New Roman;serif"/>
          <w:b w:val="false"/>
          <w:color w:val="000000"/>
          <w:sz w:val="20"/>
          <w:shd w:fill="FFFFFF" w:val="clear"/>
        </w:rPr>
        <w:t>,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value increased to $5.3 billion at March 31, 2026, or 1% compared to March 31, 2025 excluding the foreign currency impact. Approximately half of industry sectors grew mid single-digit rates. Growth was led by the banking and energy sectors, partially offset by a high single digit decrease in public sector, primarily related to the US federal government. Global Technology Sales (“GTS”) contract value increased slightly at March 31, 2026 when compared to March 31, 2025. The slight increase in GTS contract value was primarily due to business from new clients. GTS contract value increased by mid single-digit rates for nearly all commercial enterprise sizes and mid-single digits for half of industry sectors. Global Business Sales (“GBS”) contract value increased by 3% year-over-year, primarily driven by business from new clients. The majority of our GBS practices achieved mid single-digit rates or faster growth rates, with all commercial enterprise sizes and the majority of sectors also growing mid single-digit rates or faster year-over-year. Public sector contract value decreased by high single digits and mid single digits for GTS and GBS,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GTS client retention was 85% and 84% as of March 31, 2026 and 2025, respectively, while wallet retention was 97% and 101% as of March 31, 2026 and 2025, respectively. GBS client retention was 86% as of both March 31, 2026 and 2025, while wallet retention was 98% and 105%, respectively. The decrease in GTS and GBS wallet retention was largely due to lower levels of spending by existing clients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Conferences </w:t>
      </w:r>
    </w:p>
    <w:tbl>
      <w:tblPr>
        <w:tblW w:w="10205" w:type="dxa"/>
        <w:jc w:val="left"/>
        <w:tblInd w:w="0" w:type="dxa"/>
        <w:tblLayout w:type="fixed"/>
        <w:tblCellMar>
          <w:top w:w="28" w:type="dxa"/>
          <w:left w:w="28" w:type="dxa"/>
          <w:bottom w:w="28" w:type="dxa"/>
          <w:right w:w="28" w:type="dxa"/>
        </w:tblCellMar>
      </w:tblPr>
      <w:tblGrid>
        <w:gridCol w:w="887"/>
        <w:gridCol w:w="779"/>
        <w:gridCol w:w="780"/>
        <w:gridCol w:w="368"/>
        <w:gridCol w:w="1216"/>
        <w:gridCol w:w="453"/>
        <w:gridCol w:w="109"/>
        <w:gridCol w:w="109"/>
        <w:gridCol w:w="109"/>
        <w:gridCol w:w="368"/>
        <w:gridCol w:w="1216"/>
        <w:gridCol w:w="453"/>
        <w:gridCol w:w="109"/>
        <w:gridCol w:w="109"/>
        <w:gridCol w:w="109"/>
        <w:gridCol w:w="197"/>
        <w:gridCol w:w="559"/>
        <w:gridCol w:w="109"/>
        <w:gridCol w:w="109"/>
        <w:gridCol w:w="109"/>
        <w:gridCol w:w="109"/>
        <w:gridCol w:w="217"/>
        <w:gridCol w:w="217"/>
        <w:gridCol w:w="482"/>
        <w:gridCol w:w="109"/>
        <w:gridCol w:w="109"/>
        <w:gridCol w:w="109"/>
        <w:gridCol w:w="109"/>
        <w:gridCol w:w="109"/>
        <w:gridCol w:w="109"/>
        <w:gridCol w:w="109"/>
        <w:gridCol w:w="160"/>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(1)</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78,325 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72,597 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(1)</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30,408 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27,382 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Business Measurements:</w:t>
            </w:r>
          </w:p>
        </w:tc>
        <w:tc>
          <w:tcPr>
            <w:tcW w:w="2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destination conferences (2)</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destination conferences attendees (2)</w:t>
            </w:r>
          </w:p>
        </w:tc>
        <w:tc>
          <w:tcPr>
            <w:tcW w:w="1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11,473 </w:t>
            </w:r>
          </w:p>
        </w:tc>
        <w:tc>
          <w:tcPr>
            <w:tcW w:w="4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11,911 </w:t>
            </w:r>
          </w:p>
        </w:tc>
        <w:tc>
          <w:tcPr>
            <w:tcW w:w="4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4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(1)Dollars in thousands.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(2)Single day, local meetings are excluded.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Conferences revenues increased by $5.7 million during the three months ended March 31, 2026 compared to the same period in 2025, or 8% on a reported basis and 6% excluding the foreign currency impact. The increase in revenues for the three months ended March 31, 2026 was primarily due to higher exhibitor revenue. We held 10 destination conferences during both the three months ended March 31, 2026 and 2025. Gross contribution increased to $30.4 million during the three months ended March 31, 2026 compared to $27.4 million in the same period last year. The increase in gross contribution during the three months ended March 31, 2026 was primarily the result of the increase in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Consulting</w:t>
      </w:r>
    </w:p>
    <w:tbl>
      <w:tblPr>
        <w:tblW w:w="10205" w:type="dxa"/>
        <w:jc w:val="left"/>
        <w:tblInd w:w="0" w:type="dxa"/>
        <w:tblLayout w:type="fixed"/>
        <w:tblCellMar>
          <w:top w:w="28" w:type="dxa"/>
          <w:left w:w="28" w:type="dxa"/>
          <w:bottom w:w="28" w:type="dxa"/>
          <w:right w:w="28" w:type="dxa"/>
        </w:tblCellMar>
      </w:tblPr>
      <w:tblGrid>
        <w:gridCol w:w="539"/>
        <w:gridCol w:w="473"/>
        <w:gridCol w:w="474"/>
        <w:gridCol w:w="410"/>
        <w:gridCol w:w="1541"/>
        <w:gridCol w:w="504"/>
        <w:gridCol w:w="109"/>
        <w:gridCol w:w="109"/>
        <w:gridCol w:w="109"/>
        <w:gridCol w:w="410"/>
        <w:gridCol w:w="1541"/>
        <w:gridCol w:w="504"/>
        <w:gridCol w:w="109"/>
        <w:gridCol w:w="109"/>
        <w:gridCol w:w="109"/>
        <w:gridCol w:w="196"/>
        <w:gridCol w:w="686"/>
        <w:gridCol w:w="109"/>
        <w:gridCol w:w="109"/>
        <w:gridCol w:w="109"/>
        <w:gridCol w:w="109"/>
        <w:gridCol w:w="217"/>
        <w:gridCol w:w="217"/>
        <w:gridCol w:w="482"/>
        <w:gridCol w:w="109"/>
        <w:gridCol w:w="109"/>
        <w:gridCol w:w="109"/>
        <w:gridCol w:w="109"/>
        <w:gridCol w:w="109"/>
        <w:gridCol w:w="109"/>
        <w:gridCol w:w="109"/>
        <w:gridCol w:w="15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Revenues (1)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119,129 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139,706 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Gross contribution (1)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36,805 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53,392 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Business Measurements:</w:t>
            </w:r>
          </w:p>
        </w:tc>
        <w:tc>
          <w:tcPr>
            <w:tcW w:w="2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Backlog (1), (2)</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200,500 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219,400 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Billable headcount</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Consultant utilization</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(1)Dollars in thousands.</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 xml:space="preserve">(2)Backlog is </w:t>
      </w:r>
      <w:r>
        <w:rPr>
          <w:rFonts w:ascii="Times New Roman;serif" w:hAnsi="Times New Roman;serif"/>
          <w:b w:val="false"/>
          <w:color w:val="000000"/>
          <w:sz w:val="20"/>
        </w:rPr>
        <w:t>on a foreign currency neutral basis. Backlog as of March 31, 2025 has been calculated using the same foreign currency rates as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Consulting revenues</w:t>
      </w:r>
      <w:r>
        <w:rPr>
          <w:color w:val="000000"/>
        </w:rPr>
        <w:t xml:space="preserve"> </w:t>
      </w:r>
      <w:r>
        <w:rPr>
          <w:rFonts w:ascii="Times New Roman;serif" w:hAnsi="Times New Roman;serif"/>
          <w:b w:val="false"/>
          <w:color w:val="000000"/>
          <w:sz w:val="20"/>
        </w:rPr>
        <w:t xml:space="preserve">decreased by 15%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March 31, 2026 compared to the same period in 2025 on a reported basis and 17% excluding the foreign currency impact, with a decrease in labor-based consulting revenue of 13% and a decrease in contract optimization revenue of 19%, each on a reported basis. The primary regions driving the decrease in revenue compared to the prior year period were the United States, principally in the public sector, and Japan. Contract optimization revenue may vary significantly and, as such, revenues for the first quarter of 2026 may not be indicative of results for the remainder of 2026 or beyond. The segment gross contribution margin was 31% and </w:t>
      </w:r>
      <w:r>
        <w:rPr>
          <w:rFonts w:ascii="Times New Roman;serif" w:hAnsi="Times New Roman;serif"/>
          <w:b w:val="false"/>
          <w:color w:val="000000"/>
          <w:sz w:val="20"/>
          <w:shd w:fill="FFFFFF" w:val="clear"/>
        </w:rPr>
        <w:t>38%</w:t>
      </w:r>
      <w:r>
        <w:rPr>
          <w:color w:val="000000"/>
        </w:rPr>
        <w:t xml:space="preserve"> </w:t>
      </w:r>
      <w:r>
        <w:rPr>
          <w:rFonts w:ascii="Times New Roman;serif" w:hAnsi="Times New Roman;serif"/>
          <w:b w:val="false"/>
          <w:color w:val="000000"/>
          <w:sz w:val="20"/>
        </w:rPr>
        <w:t xml:space="preserve">for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March 31, 2026 and 2025, respectively. The decrease in gross contribution margin for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March 31, 2026 was primarily due to the decrease in revenues.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Backlog</w:t>
      </w:r>
      <w:r>
        <w:rPr>
          <w:color w:val="000000"/>
        </w:rPr>
        <w:t xml:space="preserve"> </w:t>
      </w:r>
      <w:r>
        <w:rPr>
          <w:rFonts w:ascii="Times New Roman;serif" w:hAnsi="Times New Roman;serif"/>
          <w:b w:val="false"/>
          <w:color w:val="000000"/>
          <w:sz w:val="20"/>
        </w:rPr>
        <w:t>decreased by $18.9 million, or 9%, from March 31, 2025 to March 31, 2026, excluding the foreign currency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finance </w:t>
      </w:r>
      <w:r>
        <w:rPr>
          <w:rFonts w:ascii="Times New Roman;serif" w:hAnsi="Times New Roman;serif"/>
          <w:b w:val="false"/>
          <w:color w:val="000000"/>
          <w:sz w:val="20"/>
        </w:rPr>
        <w:t>our operations through cash generated from our operating activities and, to a lesser extent, borrowings. Note 8 — Debt in the Notes to Condensed Consolidated Financial Statements provides additional information regarding the Company’s outstanding debt obligations. At March 31, 2026, we had $1.7 billion of cash and cash equivalents and approximately $1.0 billion of available borrowing capacity on the revolving credit facility under our 2024 Credit Agreement. We believe that the Company has adequate liquidity to meet its currently anticipated needs for both the next twelve months and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historically generated significant cash flows from our operating activities, benefiting from the favorable working capital dynamics of our subscription-based business model in our Insights segment, which is our largest business segment and historically has constituted a significant portion of our total revenues. The majority of our Insights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cash and cash </w:t>
      </w:r>
      <w:r>
        <w:rPr>
          <w:rFonts w:ascii="Times New Roman;serif" w:hAnsi="Times New Roman;serif"/>
          <w:b w:val="false"/>
          <w:color w:val="000000"/>
          <w:sz w:val="20"/>
        </w:rPr>
        <w:t>equivalents are held in numerous locations throughout the world with 60% held outside the U.S. at March 31, 2026. We continue to assert our intention to reinvest substantially all remaining accumulated undistributed foreign earnings, except in instances where repatriation would result in minimal additional tax.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table below</w:t>
      </w:r>
      <w:r>
        <w:rPr>
          <w:color w:val="000000"/>
        </w:rPr>
        <w:t xml:space="preserve"> </w:t>
      </w:r>
      <w:r>
        <w:rPr>
          <w:rFonts w:ascii="Times New Roman;serif" w:hAnsi="Times New Roman;serif"/>
          <w:b w:val="false"/>
          <w:color w:val="000000"/>
          <w:sz w:val="20"/>
        </w:rPr>
        <w:t xml:space="preserve">summarizes the changes in our cash balances for the periods indicated (in thousands). </w:t>
      </w:r>
    </w:p>
    <w:tbl>
      <w:tblPr>
        <w:tblW w:w="10205" w:type="dxa"/>
        <w:jc w:val="left"/>
        <w:tblInd w:w="0" w:type="dxa"/>
        <w:tblLayout w:type="fixed"/>
        <w:tblCellMar>
          <w:top w:w="28" w:type="dxa"/>
          <w:left w:w="28" w:type="dxa"/>
          <w:bottom w:w="28" w:type="dxa"/>
          <w:right w:w="28" w:type="dxa"/>
        </w:tblCellMar>
      </w:tblPr>
      <w:tblGrid>
        <w:gridCol w:w="1362"/>
        <w:gridCol w:w="1131"/>
        <w:gridCol w:w="1134"/>
        <w:gridCol w:w="381"/>
        <w:gridCol w:w="1764"/>
        <w:gridCol w:w="196"/>
        <w:gridCol w:w="109"/>
        <w:gridCol w:w="109"/>
        <w:gridCol w:w="109"/>
        <w:gridCol w:w="381"/>
        <w:gridCol w:w="1764"/>
        <w:gridCol w:w="196"/>
        <w:gridCol w:w="109"/>
        <w:gridCol w:w="109"/>
        <w:gridCol w:w="109"/>
        <w:gridCol w:w="211"/>
        <w:gridCol w:w="873"/>
        <w:gridCol w:w="158"/>
      </w:tblGrid>
      <w:tr>
        <w:trPr/>
        <w:tc>
          <w:tcPr>
            <w:tcW w:w="136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2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(187,077)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and cash equivalents</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and cash equivalents</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2,091,048 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(424,102)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$391.0 million and $313.5 million during the three months ended March 31, 2026 and 2025, respectively. The year-over-year increase was primarily due to the improved timing of collections partially offset by higher income tax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 was $84.4 million and $(25.6) million during the three months ended March 31, 2026 and 2025, respectively. The change from 2025 to 2026 was primarily the result of the proceeds from the sale of our Digital Markets business in February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was $527.5 million and $152.9 million during the three months ended March 31, 2026 and 2025, respectively. We used $534.6 million and $162.7 million of cash for share repurchases during the three months ended March 31,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Debt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$3.0 billion of principal amount of debt outstanding. Note 8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2026 through March 31, 2026, the Company has not entered into any material off-balance sheet arrangements or transactions with unconsolidated entities or other persons.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March 31, 2026,</w:t>
      </w:r>
      <w:r>
        <w:rPr>
          <w:color w:val="000000"/>
        </w:rPr>
        <w:t xml:space="preserve"> </w:t>
      </w:r>
      <w:r>
        <w:rPr>
          <w:rFonts w:ascii="Times New Roman;serif" w:hAnsi="Times New Roman;serif"/>
          <w:b w:val="false"/>
          <w:color w:val="000000"/>
          <w:sz w:val="20"/>
        </w:rPr>
        <w:t xml:space="preserve">the Company had $3.0 billion in total debt principal outstanding. None of the Company’s total debt outstanding as of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was based on a floating base rate of interest. Note 8 — Debt in the Notes to Condensed Consolidated Financial Statements provides additional information regarding the Company’s outstanding debt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 significant portion o</w:t>
      </w:r>
      <w:r>
        <w:rPr>
          <w:rFonts w:ascii="Times New Roman;serif" w:hAnsi="Times New Roman;serif"/>
          <w:b w:val="false"/>
          <w:color w:val="000000"/>
          <w:sz w:val="20"/>
        </w:rPr>
        <w:t>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Translation risk</w:t>
      </w:r>
      <w:r>
        <w:rPr>
          <w:color w:val="000000"/>
        </w:rPr>
        <w:t xml:space="preserve"> </w:t>
      </w:r>
      <w:r>
        <w:rPr>
          <w:rFonts w:ascii="Times New Roman;serif" w:hAnsi="Times New Roman;serif"/>
          <w:b w:val="false"/>
          <w:color w:val="000000"/>
          <w:sz w:val="20"/>
        </w:rPr>
        <w:t>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March 31, 2026, we had $1.7 billion of cash and cash equivalents, with a substantial portion denominated in foreign currencies. If the exchange rates of the foreign currencies we hold all changed in comparison to the U.S. dollar by 10%, the amount of cash and cash equivalents we would have reported on March 31, 2026 could have increased or decreased by approximately $117.5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Transaction risk</w:t>
      </w:r>
      <w:r>
        <w:rPr>
          <w:color w:val="000000"/>
        </w:rPr>
        <w:t xml:space="preserve"> </w:t>
      </w:r>
      <w:r>
        <w:rPr>
          <w:rFonts w:ascii="Times New Roman;serif" w:hAnsi="Times New Roman;serif"/>
          <w:b w:val="false"/>
          <w:color w:val="000000"/>
          <w:sz w:val="20"/>
        </w:rPr>
        <w:t>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March 31, 2026 had an immaterial net unrealized gain.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Financial instruments</w:t>
      </w:r>
      <w:r>
        <w:rPr>
          <w:color w:val="000000"/>
        </w:rPr>
        <w:t xml:space="preserve"> </w:t>
      </w:r>
      <w:r>
        <w:rPr>
          <w:rFonts w:ascii="Times New Roman;serif" w:hAnsi="Times New Roman;serif"/>
          <w:b w:val="false"/>
          <w:color w:val="000000"/>
          <w:sz w:val="20"/>
        </w:rPr>
        <w:t>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as of March 31, 2026,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March 31, 2026, the Company’s disclosure controls and procedures were effective.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There have been no changes in our internal control over financial reporting identified in connection with the evaluation required by paragraph (d) of Exchange Act</w:t>
      </w:r>
      <w:r>
        <w:rPr>
          <w:color w:val="0067B1"/>
          <w:u w:val="single"/>
        </w:rPr>
        <w:t xml:space="preserve"> </w:t>
      </w:r>
      <w:r>
        <w:rPr>
          <w:rFonts w:ascii="Times New Roman;serif" w:hAnsi="Times New Roman;serif"/>
          <w:b w:val="false"/>
          <w:color w:val="000000"/>
          <w:sz w:val="20"/>
        </w:rPr>
        <w:t>Rules 13a-15 or 15d-15 that occurred during the quarter ended March 31,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are involved </w:t>
      </w:r>
      <w:r>
        <w:rPr>
          <w:rFonts w:ascii="Times New Roman;serif" w:hAnsi="Times New Roman;serif"/>
          <w:b w:val="false"/>
          <w:color w:val="000000"/>
          <w:sz w:val="20"/>
        </w:rPr>
        <w:t>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disclosed in Part I, Item 1A of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unregistered sales of equity securities during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May 2015,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 xml:space="preserve">Board of Directors </w:t>
      </w:r>
      <w:r>
        <w:rPr>
          <w:rFonts w:ascii="Times New Roman;serif" w:hAnsi="Times New Roman;serif"/>
          <w:b w:val="false"/>
          <w:color w:val="000000"/>
          <w:sz w:val="20"/>
        </w:rPr>
        <w:t xml:space="preserve">(the “Board”) </w:t>
      </w:r>
      <w:r>
        <w:rPr>
          <w:rFonts w:ascii="Times New Roman;serif" w:hAnsi="Times New Roman;serif"/>
          <w:b w:val="false"/>
          <w:color w:val="000000"/>
          <w:sz w:val="20"/>
          <w:shd w:fill="FFFFFF" w:val="clear"/>
        </w:rPr>
        <w:t xml:space="preserve">authorized a share repurchase program to repurchase up to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of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common stoc</w:t>
      </w:r>
      <w:r>
        <w:rPr>
          <w:rFonts w:ascii="Times New Roman;serif" w:hAnsi="Times New Roman;serif"/>
          <w:b w:val="false"/>
          <w:color w:val="000000"/>
          <w:sz w:val="20"/>
        </w:rPr>
        <w:t>k. The Board authorized incremental share repurchases of up to an aggregate additional $6.3 billion of the Company’s common stock from February 2021 to January 2026. The Board also authorized incremental share repurchases of up to an additional $600.0 million in April 2026.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March 31, 2026.</w:t>
      </w:r>
    </w:p>
    <w:tbl>
      <w:tblPr>
        <w:tblW w:w="10205" w:type="dxa"/>
        <w:jc w:val="left"/>
        <w:tblInd w:w="0" w:type="dxa"/>
        <w:tblLayout w:type="fixed"/>
        <w:tblCellMar>
          <w:top w:w="28" w:type="dxa"/>
          <w:left w:w="28" w:type="dxa"/>
          <w:bottom w:w="28" w:type="dxa"/>
          <w:right w:w="28" w:type="dxa"/>
        </w:tblCellMar>
      </w:tblPr>
      <w:tblGrid>
        <w:gridCol w:w="653"/>
        <w:gridCol w:w="525"/>
        <w:gridCol w:w="529"/>
        <w:gridCol w:w="109"/>
        <w:gridCol w:w="109"/>
        <w:gridCol w:w="109"/>
        <w:gridCol w:w="488"/>
        <w:gridCol w:w="488"/>
        <w:gridCol w:w="363"/>
        <w:gridCol w:w="109"/>
        <w:gridCol w:w="109"/>
        <w:gridCol w:w="109"/>
        <w:gridCol w:w="223"/>
        <w:gridCol w:w="764"/>
        <w:gridCol w:w="115"/>
        <w:gridCol w:w="109"/>
        <w:gridCol w:w="109"/>
        <w:gridCol w:w="109"/>
        <w:gridCol w:w="1096"/>
        <w:gridCol w:w="920"/>
        <w:gridCol w:w="923"/>
        <w:gridCol w:w="109"/>
        <w:gridCol w:w="109"/>
        <w:gridCol w:w="109"/>
        <w:gridCol w:w="284"/>
        <w:gridCol w:w="1313"/>
        <w:gridCol w:w="213"/>
      </w:tblGrid>
      <w:tr>
        <w:trPr/>
        <w:tc>
          <w:tcPr>
            <w:tcW w:w="65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Number of</w:t>
              <w:br/>
              <w:t>Shares</w:t>
              <w:br/>
              <w:t>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Under Announced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w:t>
              <w:br/>
              <w:t xml:space="preserve">Dollar Value of Shares </w:t>
              <w:br/>
              <w:t xml:space="preserve">That May Yet Be Purchased </w:t>
              <w:br/>
              <w:t>Under the Plans or Programs</w:t>
              <w:br/>
              <w:t>(in thousands)</w:t>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1,245,347 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2,042,841 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1,931,202 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1,267,365 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1,267,228 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738,472 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the quarter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3,310,253 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3,198,430 </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The repurchased shares during the three months ended March 31, 2026 included 111,823 shares purchased for the settlement of stock-based compensation awards and 3,198,430 shares purchased in the open market. Amounts presented exclude the excise tax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Insider Trading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director or Section 16 officer adopted or terminated a trading arrangement intended to satisfy the affirmative defense conditions of Rule 10b5-1(c) or a non-Rule 10b5–1 trading arrangement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606"/>
        <w:gridCol w:w="2606"/>
        <w:gridCol w:w="3690"/>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the Company (Incorporated by reference from the Company’s Current Report on Form 8-K filed on July 6, 2005).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Gartner, Inc, effective October 30, 2025. (Incorporated by reference from the Company’s Quarterly Report on Form 10-Q filed on November 4,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3312026x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3312026xex311.htm">
              <w:r>
                <w:rPr>
                  <w:rStyle w:val="InternetLink"/>
                  <w:rFonts w:ascii="Times New Roman;serif" w:hAnsi="Times New Roman;serif"/>
                  <w:b w:val="false"/>
                  <w:color w:val="0000FF"/>
                  <w:sz w:val="20"/>
                  <w:u w:val="single"/>
                </w:rPr>
                <w:t>Certification of chief executive officer under Rule 13a — 14(a)/15d — 14(a).</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3312026x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3312026xex312.htm">
              <w:r>
                <w:rPr>
                  <w:rStyle w:val="InternetLink"/>
                  <w:rFonts w:ascii="Times New Roman;serif" w:hAnsi="Times New Roman;serif"/>
                  <w:b w:val="false"/>
                  <w:color w:val="0000FF"/>
                  <w:sz w:val="20"/>
                  <w:u w:val="single"/>
                </w:rPr>
                <w:t>Certification of chief financial officer under Rule 13a — 14(a)/15d — 14(a).</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3312026xex32.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3312026xex32.htm">
              <w:r>
                <w:rPr>
                  <w:rStyle w:val="InternetLink"/>
                  <w:rFonts w:ascii="Times New Roman;serif" w:hAnsi="Times New Roman;serif"/>
                  <w:b w:val="false"/>
                  <w:color w:val="0000FF"/>
                  <w:sz w:val="20"/>
                  <w:u w:val="single"/>
                </w:rPr>
                <w:t>Certification under 18 U.S.C. 1350.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Label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shd w:fill="FFFFFF" w:val="clear"/>
        </w:rPr>
        <w:t>*     Filed with</w:t>
      </w:r>
      <w:r>
        <w:rPr>
          <w:color w:val="000000"/>
        </w:rPr>
        <w:t xml:space="preserve"> </w:t>
      </w:r>
      <w:r>
        <w:rPr>
          <w:rFonts w:ascii="Times New Roman;serif" w:hAnsi="Times New Roman;serif"/>
          <w:b w:val="false"/>
          <w:color w:val="000000"/>
          <w:sz w:val="20"/>
        </w:rPr>
        <w:t>this report.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Items 3 and 4</w:t>
      </w:r>
      <w:r>
        <w:rPr>
          <w:color w:val="000000"/>
        </w:rPr>
        <w:t xml:space="preserve"> </w:t>
      </w:r>
      <w:r>
        <w:rPr>
          <w:rFonts w:ascii="Times New Roman;serif" w:hAnsi="Times New Roman;serif"/>
          <w:b w:val="false"/>
          <w:color w:val="000000"/>
          <w:sz w:val="20"/>
        </w:rPr>
        <w:t>of Part II are not 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shd w:fill="FFFFFF" w:val="clear"/>
        </w:rPr>
        <w:t>Pursuant to</w:t>
      </w:r>
      <w:r>
        <w:rPr>
          <w:color w:val="000000"/>
        </w:rPr>
        <w:t xml:space="preserve"> </w:t>
      </w:r>
      <w:r>
        <w:rPr>
          <w:rFonts w:ascii="Times New Roman;serif" w:hAnsi="Times New Roman;serif"/>
          <w:b w:val="false"/>
          <w:color w:val="000000"/>
          <w:sz w:val="20"/>
        </w:rPr>
        <w:t>the requirements of the Securities Exchange Act of 1934, the registrant has caused this report to be signed on its behalf by the undersigned thereunto duly authorized.</w:t>
      </w:r>
    </w:p>
    <w:tbl>
      <w:tblPr>
        <w:tblW w:w="6177"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298"/>
        <w:gridCol w:w="1298"/>
        <w:gridCol w:w="184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Gartner,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Eugene A. Hall,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March 31, 2026,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5"/>
        <w:gridCol w:w="583"/>
        <w:gridCol w:w="837"/>
      </w:tblGrid>
      <w:tr>
        <w:trPr/>
        <w:tc>
          <w:tcPr>
            <w:tcW w:w="66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Craig W. Safian,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March 31, 2026,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540"/>
        <w:jc w:val="both"/>
        <w:rPr/>
      </w:pPr>
      <w:r>
        <w:rPr/>
      </w:r>
    </w:p>
    <w:tbl>
      <w:tblPr>
        <w:tblW w:w="2025" w:type="dxa"/>
        <w:jc w:val="left"/>
        <w:tblInd w:w="0" w:type="dxa"/>
        <w:tblLayout w:type="fixed"/>
        <w:tblCellMar>
          <w:top w:w="28" w:type="dxa"/>
          <w:left w:w="28" w:type="dxa"/>
          <w:bottom w:w="28" w:type="dxa"/>
          <w:right w:w="28" w:type="dxa"/>
        </w:tblCellMar>
      </w:tblPr>
      <w:tblGrid>
        <w:gridCol w:w="647"/>
        <w:gridCol w:w="569"/>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Gartner, Inc. (the “Company”) on Form 10-Q for the quarter ended March 31, 2026,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pStyle w:val="TextBody"/>
        <w:bidi w:val="0"/>
        <w:spacing w:lineRule="auto" w:line="312" w:before="0" w:after="0"/>
        <w:ind w:left="0" w:right="0" w:firstLine="720"/>
        <w:jc w:val="both"/>
        <w:rPr>
          <w:color w:val="000000"/>
        </w:rPr>
      </w:pPr>
      <w:r>
        <w:rPr>
          <w:color w:val="000000"/>
        </w:rPr>
        <w:t> </w:t>
      </w:r>
    </w:p>
    <w:p>
      <w:pPr>
        <w:pStyle w:val="TextBody"/>
        <w:bidi w:val="0"/>
        <w:spacing w:lineRule="auto" w:line="312"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ind w:left="0" w:right="0" w:hanging="450"/>
        <w:jc w:val="both"/>
        <w:rPr/>
      </w:pPr>
      <w:r>
        <w:rPr/>
      </w:r>
    </w:p>
    <w:p>
      <w:pPr>
        <w:pStyle w:val="TextBody"/>
        <w:bidi w:val="0"/>
        <w:spacing w:lineRule="auto" w:line="312"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450"/>
        <w:jc w:val="both"/>
        <w:rPr/>
      </w:pPr>
      <w:r>
        <w:rPr/>
      </w:r>
    </w:p>
    <w:tbl>
      <w:tblPr>
        <w:tblW w:w="2997" w:type="dxa"/>
        <w:jc w:val="left"/>
        <w:tblInd w:w="0" w:type="dxa"/>
        <w:tblLayout w:type="fixed"/>
        <w:tblCellMar>
          <w:top w:w="28" w:type="dxa"/>
          <w:left w:w="28" w:type="dxa"/>
          <w:bottom w:w="28" w:type="dxa"/>
          <w:right w:w="28" w:type="dxa"/>
        </w:tblCellMar>
      </w:tblPr>
      <w:tblGrid>
        <w:gridCol w:w="946"/>
        <w:gridCol w:w="834"/>
        <w:gridCol w:w="845"/>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Eugene A. Hall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Craig W. Safian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9251/000095012305008192/y10586exv3w1.htm" TargetMode="External"/><Relationship Id="rId3" Type="http://schemas.openxmlformats.org/officeDocument/2006/relationships/hyperlink" Target="https://www.sec.gov/Archives/edgar/data/749251/000074925125000082/ex32-byxlawsofgartnerinc_o.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16430</Words>
  <Characters>93078</Characters>
  <CharactersWithSpaces>108458</CharactersWithSpaces>
  <Paragraphs>2123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