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FERGUSON DIANA SUE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 TOP GALLANT RD.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STAMFORD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06902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GARTNER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201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2,807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30"/>
        <w:gridCol w:w="861"/>
        <w:gridCol w:w="891"/>
        <w:gridCol w:w="771"/>
        <w:gridCol w:w="591"/>
        <w:gridCol w:w="300"/>
        <w:gridCol w:w="456"/>
        <w:gridCol w:w="45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13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3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 Equivalents (CSE)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201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133.76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 Equivalents (CSE)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reporting person has elected to receive an immediate distribution of the CSE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are Common Stock Equivalents ("CSEs") received as compensation for service as an outside director of Gartner, Inc. They were granted under the Gartner, Inc. Long-Term Incentive Plan ("LTIP"). The CSEs convert into Gartner common stock on the date the outside director's continuous status as a director terminates, or as otherwise provided in the LTIP.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Tang for Diana S. Ferguson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75975" TargetMode="External"/><Relationship Id="rId5" Type="http://schemas.openxmlformats.org/officeDocument/2006/relationships/hyperlink" Target="http://www.sec.gov/cgi-bin/browse-edgar?action=getcompany&amp;CIK=00007492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662</Words>
  <Characters>3540</Characters>
  <CharactersWithSpaces>4128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