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Genovese Yvonne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56 TOP GALLANT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STAMFORD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06902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GARTNER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IT</w:t>
            </w:r>
            <w:r>
              <w:rPr/>
              <w:t xml:space="preserve"> ] 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Bus. &amp; Tech. Insights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02/06/2026</w:t>
            </w:r>
            <w:r>
              <w:rPr/>
              <w:t xml:space="preserve"> 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5,465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156.33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5,294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02/08/2026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6,144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02/08/2026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156.33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5,957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85"/>
        <w:gridCol w:w="516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5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576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1,727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850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1,700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acquired upon the release of the performance-based RSUs awarded on February 6, 2025 and certified in February 2026. These performance-based RSUs convert into common stock on a one-for-one basis and vest in four substantially equal annual installments commencing on February 6, 2026. This represents the 2026 installment.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withheld for the payment of applicable income and payroll withholding taxes.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shares acquired upon the release of RSUs, which convert into common stock on a one-for-one basis. These RSUs vest in four substantially equal annual installments commencing on February 8, 2025. This represents the 2026 installment.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Kevin Tang for Yvonne Genovese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43710" TargetMode="External"/><Relationship Id="rId5" Type="http://schemas.openxmlformats.org/officeDocument/2006/relationships/hyperlink" Target="http://www.sec.gov/cgi-bin/browse-edgar?action=getcompany&amp;CIK=000074925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720</Words>
  <Characters>3872</Characters>
  <CharactersWithSpaces>4499</CharactersWithSpaces>
  <Paragraphs>145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